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安排情况表(草案)说明</w:t>
      </w:r>
    </w:p>
    <w:bookmarkEnd w:id="0"/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2023年兴国县政府性基金预算收入安排24.4亿元，同比增长31.4%。主要是：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国有土地收益基金收入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国有土地使用权出让收入</w:t>
      </w:r>
      <w:r>
        <w:rPr>
          <w:rFonts w:hint="eastAsia" w:ascii="仿宋_GB2312" w:hAnsi="仿宋_GB2312" w:eastAsia="仿宋_GB2312" w:cs="仿宋_GB2312"/>
          <w:sz w:val="32"/>
          <w:szCs w:val="32"/>
        </w:rPr>
        <w:t>分别上涨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增长17.6%、11.8%，主要是随着疫情形势好转和稳定房地产系列政策有效落实，预计房地产市场将回暖，带动土地收入增长。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54EF7E03"/>
    <w:rsid w:val="54EF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2023-03-01T02:45:00Z</dcterms:created>
  <dc:creator>凌联福</dc:creator>
  <cp:lastModifiedBy>凌联福</cp:lastModifiedBy>
  <dcterms:modified xsi:type="dcterms:W3CDTF">2023-03-01T02:45:32Z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3B75B10CB3AF4CA5BE4EE754C9F65B27</vt:lpwstr>
  </property>
</Properties>
</file>