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1320" w:firstLineChars="300"/>
        <w:jc w:val="both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2022年县本级一般公共预算收入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2022年兴国县县本级一般公共预算收入执行数10.07亿元，比2021年决算数(下同)增长4.7%，同口径增长10%。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1.增值税执行数下降31.7%，主要是落实大规模增值税留抵退税政策形成政策性减收。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2.企业所得税执行数下降10.1%，主要是受疫情、经济下行等因素影响，企业利润下降，导致企业所得税下降。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3.资源税执行数增长44.2%，主要是南方水泥补交以前年度税款，中萤发展入库税收增加。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4.个人所得税执行数下降16.1%，主要是赣州诚正房地产开发有限公司、江西国兴集团有限公司股息、红利下降。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城</w:t>
      </w:r>
      <w:r>
        <w:rPr>
          <w:rFonts w:hint="eastAsia" w:ascii="仿宋_GB2312" w:hAnsi="仿宋_GB2312" w:eastAsia="仿宋_GB2312" w:cs="仿宋_GB2312"/>
          <w:sz w:val="32"/>
          <w:szCs w:val="32"/>
        </w:rPr>
        <w:t>市维护建设税预计执行数下降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1.6</w:t>
      </w:r>
      <w:r>
        <w:rPr>
          <w:rFonts w:hint="eastAsia" w:ascii="仿宋_GB2312" w:hAnsi="仿宋_GB2312" w:eastAsia="仿宋_GB2312" w:cs="仿宋_GB2312"/>
          <w:sz w:val="32"/>
          <w:szCs w:val="32"/>
        </w:rPr>
        <w:t>%，主要是因为增值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税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减少，带动此项税收的减少。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6.房产税执行数增长113.6%，印花税执行数增长94.3%，主要是财税部门通过数字赋能大数据比对纳税申报数据，筛选风险疑点数据，实现房产税、印花税堵漏增收。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7.城镇土地使用税执行数增长56.2%，主要是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普惠性减免政策扩大享受范围。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8.土地增值税执行数下降1.6%，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主要是房地产建设项目减少，影响收入减少。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9.车船税执行数增长52.8%，主要是加强保险公司车船税的征收管理，车船税增长较多。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10.耕地占用税执行数下降46.4%，主要是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涉农用地报批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税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收为一次性收入，涉农用地面积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同比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减少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72" w:firstLineChars="200"/>
        <w:jc w:val="left"/>
        <w:textAlignment w:val="bottom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.契税执行数下降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22.8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%，主要是受房地产市场持续低迷和土地市场遇冷影响，契税大幅下降。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72" w:firstLineChars="200"/>
        <w:jc w:val="left"/>
        <w:textAlignment w:val="bottom"/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12.行政事业性收费收入执行数增长13倍，罚没收入执行数增长1.9倍，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主要是按照上级要求，将历年延压的非税收入全部清缴入库，带动相关收入增长较大。</w:t>
      </w:r>
    </w:p>
    <w:p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13.国有资产(资源)有偿使用收入执行数下降78.8%，主要是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按照上级要求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val="en-US" w:eastAsia="zh-CN"/>
        </w:rPr>
        <w:t>，将历年延压的非税收入全部清缴入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1E5270BD"/>
    <w:rsid w:val="1E52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2023-03-01T02:39:00Z</dcterms:created>
  <dc:creator>凌联福</dc:creator>
  <cp:lastModifiedBy>凌联福</cp:lastModifiedBy>
  <dcterms:modified xsi:type="dcterms:W3CDTF">2023-03-01T02:40:05Z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1C033209A544485FBBD97A4FD32A1FE5</vt:lpwstr>
  </property>
</Properties>
</file>