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2023年一般公共预算支出安排52.3亿元，下降6.1%。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1.一般公共服务支出预算数下降31.8%，主要是贯彻落实过紧日子思想和根据《关于加强“三公”经费管理严控一般性支出的通知》要求，各部门大力压减“三公”经费和一般性支出。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2.住房保障支出预算数下降19.9%，主要是2022年上级下达的保障性安居工程补助资金较大，抬高了基数。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3.预备费安排1.2亿元，占全县一般公共预算支出的2.3%，符合预算法“按照本级一般公共预算支出额的百分之一至百分之三设置预备费”的规定。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4.债务付息支出预算数增长2.4%，主要是</w:t>
      </w:r>
      <w:r>
        <w:rPr>
          <w:rFonts w:ascii="仿宋" w:hAnsi="仿宋" w:eastAsia="仿宋" w:cs="仿宋"/>
          <w:spacing w:val="4"/>
          <w:sz w:val="32"/>
          <w:szCs w:val="32"/>
        </w:rPr>
        <w:t>预计需支</w:t>
      </w:r>
      <w:r>
        <w:rPr>
          <w:rFonts w:ascii="仿宋" w:hAnsi="仿宋" w:eastAsia="仿宋" w:cs="仿宋"/>
          <w:spacing w:val="3"/>
          <w:sz w:val="32"/>
          <w:szCs w:val="32"/>
        </w:rPr>
        <w:t>付</w:t>
      </w:r>
      <w:r>
        <w:rPr>
          <w:rFonts w:ascii="仿宋" w:hAnsi="仿宋" w:eastAsia="仿宋" w:cs="仿宋"/>
          <w:sz w:val="32"/>
          <w:szCs w:val="32"/>
        </w:rPr>
        <w:t>的</w:t>
      </w:r>
      <w:r>
        <w:rPr>
          <w:rFonts w:ascii="仿宋" w:hAnsi="仿宋" w:eastAsia="仿宋" w:cs="仿宋"/>
          <w:spacing w:val="6"/>
          <w:sz w:val="32"/>
          <w:szCs w:val="32"/>
        </w:rPr>
        <w:t>一</w:t>
      </w:r>
      <w:r>
        <w:rPr>
          <w:rFonts w:ascii="仿宋" w:hAnsi="仿宋" w:eastAsia="仿宋" w:cs="仿宋"/>
          <w:spacing w:val="5"/>
          <w:sz w:val="32"/>
          <w:szCs w:val="32"/>
        </w:rPr>
        <w:t>般债券利息增加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5CC49B1"/>
    <w:rsid w:val="05CC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296</Characters>
  <Lines>0</Lines>
  <Paragraphs>0</Paragraphs>
  <TotalTime>1</TotalTime>
  <ScaleCrop>false</ScaleCrop>
  <LinksUpToDate>false</LinksUpToDate>
  <CharactersWithSpaces>296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2023-03-01T02:41:00Z</dcterms:created>
  <dc:creator>凌联福</dc:creator>
  <cp:lastModifiedBy>凌联福</cp:lastModifiedBy>
  <dcterms:modified xsi:type="dcterms:W3CDTF">2023-03-01T02:42:28Z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4963142A258147F4B45F69D1B8FC27E8</vt:lpwstr>
  </property>
</Properties>
</file>