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2022年全县一般公共预算收入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bookmarkEnd w:id="0"/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2022年兴国县一般公共预算收入执行数10.07亿元，比2021年决算数(下同)增长4.7%，同口径增长10%。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1.增值税执行数下降31.7%，主要是落实大规模增值税留抵退税政策形成政策性减收。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2.企业所得税执行数下降10.1%，主要是受疫情、经济下行等因素影响，企业利润下降，导致企业所得税下降。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3.资源税执行数增长44.2%，主要是南方水泥补交以前年度税款，中萤发展入库税收增加。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4.个人所得税执行数下降16.1%，主要是赣州诚正房地产开发有限公司、江西国兴集团有限公司股息、红利下降。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"/>
          <w:sz w:val="31"/>
          <w:szCs w:val="31"/>
          <w:lang w:val="en-US" w:eastAsia="zh-CN"/>
        </w:rPr>
        <w:t>5.</w:t>
      </w:r>
      <w:r>
        <w:rPr>
          <w:rFonts w:ascii="仿宋" w:hAnsi="仿宋" w:eastAsia="仿宋" w:cs="仿宋"/>
          <w:spacing w:val="1"/>
          <w:sz w:val="31"/>
          <w:szCs w:val="31"/>
        </w:rPr>
        <w:t>城</w:t>
      </w:r>
      <w:r>
        <w:rPr>
          <w:rFonts w:ascii="仿宋" w:hAnsi="仿宋" w:eastAsia="仿宋" w:cs="仿宋"/>
          <w:sz w:val="31"/>
          <w:szCs w:val="31"/>
        </w:rPr>
        <w:t>市维护建设税预计执行数下降</w:t>
      </w:r>
      <w:r>
        <w:rPr>
          <w:rFonts w:hint="eastAsia" w:ascii="仿宋" w:hAnsi="仿宋" w:eastAsia="仿宋" w:cs="仿宋"/>
          <w:sz w:val="31"/>
          <w:szCs w:val="31"/>
          <w:lang w:val="en-US" w:eastAsia="zh-CN"/>
        </w:rPr>
        <w:t>1.6</w:t>
      </w:r>
      <w:r>
        <w:rPr>
          <w:rFonts w:ascii="仿宋" w:hAnsi="仿宋" w:eastAsia="仿宋" w:cs="仿宋"/>
          <w:sz w:val="31"/>
          <w:szCs w:val="31"/>
        </w:rPr>
        <w:t>%，主要是因为增值</w:t>
      </w:r>
      <w:r>
        <w:rPr>
          <w:rFonts w:ascii="仿宋" w:hAnsi="仿宋" w:eastAsia="仿宋" w:cs="仿宋"/>
          <w:spacing w:val="16"/>
          <w:sz w:val="31"/>
          <w:szCs w:val="31"/>
        </w:rPr>
        <w:t>税</w:t>
      </w:r>
      <w:r>
        <w:rPr>
          <w:rFonts w:ascii="仿宋" w:hAnsi="仿宋" w:eastAsia="仿宋" w:cs="仿宋"/>
          <w:spacing w:val="9"/>
          <w:sz w:val="31"/>
          <w:szCs w:val="31"/>
        </w:rPr>
        <w:t>的</w:t>
      </w:r>
      <w:r>
        <w:rPr>
          <w:rFonts w:ascii="仿宋" w:hAnsi="仿宋" w:eastAsia="仿宋" w:cs="仿宋"/>
          <w:spacing w:val="8"/>
          <w:sz w:val="31"/>
          <w:szCs w:val="31"/>
        </w:rPr>
        <w:t>减少，带动此项税收的减少。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6.房产税执行数增长113.6%，印花税执行数增长94.3%，主要是财税部门通过数字赋能大数据比对纳税申报数据，筛选风险疑点数据，实现房产税、印花税堵漏增收。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7.城镇土地使用税执行数增长56.2%，主要是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普惠性减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免政策扩大享受范围。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8.土地增值税执行数下降1.6%，</w:t>
      </w:r>
      <w:r>
        <w:rPr>
          <w:rFonts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主要是房地产建设项</w:t>
      </w: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目减少，影响收入减少。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9.车船税执行数增长52.8%，主要是加强保险公司车船税的征收管理，车船税增长较多。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10.耕地占用税执行数下降46.4%，主要是</w:t>
      </w:r>
      <w:r>
        <w:rPr>
          <w:rFonts w:ascii="仿宋" w:hAnsi="仿宋" w:eastAsia="仿宋" w:cs="仿宋"/>
          <w:spacing w:val="9"/>
          <w:sz w:val="31"/>
          <w:szCs w:val="31"/>
        </w:rPr>
        <w:t>涉农用地报批</w:t>
      </w:r>
      <w:r>
        <w:rPr>
          <w:rFonts w:ascii="仿宋" w:hAnsi="仿宋" w:eastAsia="仿宋" w:cs="仿宋"/>
          <w:spacing w:val="11"/>
          <w:sz w:val="31"/>
          <w:szCs w:val="31"/>
        </w:rPr>
        <w:t>税</w:t>
      </w:r>
      <w:r>
        <w:rPr>
          <w:rFonts w:ascii="仿宋" w:hAnsi="仿宋" w:eastAsia="仿宋" w:cs="仿宋"/>
          <w:spacing w:val="8"/>
          <w:sz w:val="31"/>
          <w:szCs w:val="31"/>
        </w:rPr>
        <w:t>收为一次性收入，涉农用地面积</w:t>
      </w: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同比</w:t>
      </w:r>
      <w:r>
        <w:rPr>
          <w:rFonts w:ascii="仿宋" w:hAnsi="仿宋" w:eastAsia="仿宋" w:cs="仿宋"/>
          <w:spacing w:val="8"/>
          <w:sz w:val="31"/>
          <w:szCs w:val="31"/>
        </w:rPr>
        <w:t>减少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52" w:firstLineChars="200"/>
        <w:jc w:val="left"/>
        <w:textAlignment w:val="bottom"/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11</w:t>
      </w:r>
      <w:r>
        <w:rPr>
          <w:rFonts w:ascii="仿宋" w:hAnsi="仿宋" w:eastAsia="仿宋" w:cs="仿宋"/>
          <w:spacing w:val="8"/>
          <w:sz w:val="31"/>
          <w:szCs w:val="31"/>
        </w:rPr>
        <w:t>.契税执行数下降</w:t>
      </w: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22.8</w:t>
      </w:r>
      <w:r>
        <w:rPr>
          <w:rFonts w:ascii="仿宋" w:hAnsi="仿宋" w:eastAsia="仿宋" w:cs="仿宋"/>
          <w:spacing w:val="8"/>
          <w:sz w:val="31"/>
          <w:szCs w:val="31"/>
        </w:rPr>
        <w:t>%，主要是受房地产市场持续低迷和土地市场遇冷影响，契税大幅下降。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52" w:firstLineChars="200"/>
        <w:jc w:val="left"/>
        <w:textAlignment w:val="bottom"/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12.行政事业性收费收入执行数增长13倍，罚没收入执行数增长1.9倍，</w:t>
      </w:r>
      <w:r>
        <w:rPr>
          <w:rFonts w:ascii="仿宋" w:hAnsi="仿宋" w:eastAsia="仿宋" w:cs="仿宋"/>
          <w:spacing w:val="8"/>
          <w:sz w:val="31"/>
          <w:szCs w:val="31"/>
        </w:rPr>
        <w:t>主要是按照上级要求，将历年延压的非税收入全部清缴入库，带动相关收入增长较大。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52" w:firstLineChars="200"/>
        <w:jc w:val="left"/>
        <w:textAlignment w:val="bottom"/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</w:pP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13.国有资产(资源)有偿使用收入执行数下降78.8%，主要是</w:t>
      </w:r>
      <w:r>
        <w:rPr>
          <w:rFonts w:ascii="仿宋" w:hAnsi="仿宋" w:eastAsia="仿宋" w:cs="仿宋"/>
          <w:spacing w:val="8"/>
          <w:sz w:val="31"/>
          <w:szCs w:val="31"/>
        </w:rPr>
        <w:t>按照上级要求</w:t>
      </w:r>
      <w:r>
        <w:rPr>
          <w:rFonts w:hint="eastAsia" w:ascii="仿宋" w:hAnsi="仿宋" w:eastAsia="仿宋" w:cs="仿宋"/>
          <w:spacing w:val="8"/>
          <w:sz w:val="31"/>
          <w:szCs w:val="31"/>
          <w:lang w:val="en-US" w:eastAsia="zh-CN"/>
        </w:rPr>
        <w:t>，将历年延压的非税收入全部清缴入库。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2CE63B98"/>
    <w:rsid w:val="2CE63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1"/>
    <w:basedOn w:val="1"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2023-03-01T02:35:00Z</dcterms:created>
  <dc:creator>凌联福</dc:creator>
  <cp:lastModifiedBy>凌联福</cp:lastModifiedBy>
  <dcterms:modified xsi:type="dcterms:W3CDTF">2023-03-01T02:36:50Z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2A36B0FDF1E343779D0F723DA82CD7CF</vt:lpwstr>
  </property>
</Properties>
</file>