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both"/>
        <w:rPr>
          <w:rFonts w:hint="eastAsia" w:ascii="楷体" w:hAnsi="楷体" w:eastAsia="楷体" w:cs="楷体"/>
          <w:sz w:val="30"/>
          <w:szCs w:val="30"/>
          <w:lang w:val="en-US" w:eastAsia="zh-CN"/>
        </w:rPr>
      </w:pPr>
      <w:bookmarkStart w:id="0" w:name="_GoBack"/>
      <w:bookmarkEnd w:id="0"/>
    </w:p>
    <w:p>
      <w:pPr>
        <w:spacing w:line="600" w:lineRule="exact"/>
        <w:jc w:val="center"/>
        <w:outlineLvl w:val="0"/>
        <w:rPr>
          <w:rFonts w:hint="eastAsia" w:ascii="宋体" w:hAnsi="宋体" w:cs="宋体"/>
          <w:b/>
          <w:bCs/>
          <w:sz w:val="44"/>
          <w:szCs w:val="36"/>
          <w:lang w:val="en-US" w:eastAsia="zh-CN"/>
        </w:rPr>
      </w:pPr>
      <w:r>
        <w:rPr>
          <w:rFonts w:hint="eastAsia" w:ascii="宋体" w:hAnsi="宋体" w:cs="宋体"/>
          <w:b/>
          <w:bCs/>
          <w:sz w:val="44"/>
          <w:szCs w:val="36"/>
          <w:lang w:val="en-US" w:eastAsia="zh-CN"/>
        </w:rPr>
        <w:t>兴国县杰村乡2024年度部门决算</w:t>
      </w:r>
    </w:p>
    <w:p>
      <w:pPr>
        <w:spacing w:line="600" w:lineRule="exact"/>
        <w:jc w:val="center"/>
        <w:rPr>
          <w:rFonts w:hint="eastAsia" w:ascii="黑体" w:eastAsia="黑体"/>
          <w:sz w:val="44"/>
          <w:szCs w:val="36"/>
          <w:lang w:val="en-US" w:eastAsia="zh-CN"/>
        </w:rPr>
      </w:pPr>
    </w:p>
    <w:p>
      <w:pPr>
        <w:spacing w:line="600" w:lineRule="exact"/>
        <w:jc w:val="center"/>
        <w:outlineLvl w:val="0"/>
        <w:rPr>
          <w:rFonts w:hint="eastAsia" w:ascii="宋体" w:hAnsi="宋体" w:cs="宋体"/>
          <w:b/>
          <w:bCs/>
          <w:sz w:val="36"/>
          <w:szCs w:val="36"/>
          <w:lang w:val="en-US" w:eastAsia="zh-CN"/>
        </w:rPr>
      </w:pPr>
      <w:r>
        <w:rPr>
          <w:rFonts w:hint="eastAsia" w:ascii="宋体" w:hAnsi="宋体" w:cs="宋体"/>
          <w:b/>
          <w:bCs/>
          <w:sz w:val="36"/>
          <w:szCs w:val="36"/>
          <w:lang w:val="en-US" w:eastAsia="zh-CN"/>
        </w:rPr>
        <w:t>目    录</w:t>
      </w:r>
    </w:p>
    <w:p>
      <w:pPr>
        <w:widowControl/>
        <w:spacing w:line="600" w:lineRule="exact"/>
        <w:ind w:firstLine="640"/>
        <w:jc w:val="left"/>
        <w:rPr>
          <w:rFonts w:hint="eastAsia" w:ascii="仿宋_GB2312" w:eastAsia="仿宋_GB2312"/>
          <w:sz w:val="32"/>
          <w:szCs w:val="30"/>
          <w:lang w:val="en-US" w:eastAsia="zh-CN"/>
        </w:rPr>
      </w:pPr>
    </w:p>
    <w:p>
      <w:pPr>
        <w:widowControl/>
        <w:spacing w:line="600" w:lineRule="exact"/>
        <w:ind w:firstLine="640"/>
        <w:jc w:val="left"/>
        <w:outlineLvl w:val="0"/>
        <w:rPr>
          <w:rFonts w:hint="eastAsia" w:ascii="黑体" w:hAnsi="黑体" w:eastAsia="黑体"/>
          <w:b/>
          <w:sz w:val="32"/>
          <w:szCs w:val="32"/>
          <w:lang w:val="en-US" w:eastAsia="zh-CN"/>
        </w:rPr>
      </w:pPr>
      <w:r>
        <w:rPr>
          <w:rFonts w:hint="eastAsia" w:ascii="黑体" w:hAnsi="黑体" w:eastAsia="黑体"/>
          <w:bCs/>
          <w:sz w:val="32"/>
          <w:szCs w:val="32"/>
          <w:lang w:val="en-US" w:eastAsia="zh-CN"/>
        </w:rPr>
        <w:t>第一部分  兴国县杰村乡概况</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一、部门主要职责</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二、机构设置及人员情况</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第二部分  2024年度部门决算表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二、收入决算表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lang w:val="en-US" w:eastAsia="zh-CN"/>
        </w:rPr>
      </w:pPr>
      <w:r>
        <w:rPr>
          <w:rFonts w:hint="eastAsia" w:ascii="仿宋_GB2312" w:hAnsi="仿宋_GB2312" w:eastAsia="仿宋_GB2312" w:cs="宋体"/>
          <w:kern w:val="0"/>
          <w:sz w:val="32"/>
          <w:szCs w:val="32"/>
          <w:lang w:val="en-US" w:eastAsia="zh-CN"/>
        </w:rPr>
        <w:t>十、国有资产占用情况表</w:t>
      </w:r>
    </w:p>
    <w:p>
      <w:pPr>
        <w:widowControl/>
        <w:spacing w:line="600" w:lineRule="exact"/>
        <w:jc w:val="left"/>
        <w:outlineLvl w:val="0"/>
        <w:rPr>
          <w:rFonts w:hint="eastAsia" w:ascii="黑体" w:hAnsi="黑体" w:eastAsia="黑体"/>
          <w:sz w:val="32"/>
          <w:szCs w:val="32"/>
          <w:lang w:val="en-US" w:eastAsia="zh-CN"/>
        </w:rPr>
      </w:pPr>
      <w:r>
        <w:rPr>
          <w:rFonts w:hint="eastAsia" w:ascii="仿宋_GB2312" w:hAnsi="仿宋_GB2312" w:eastAsia="仿宋_GB2312" w:cs="宋体"/>
          <w:kern w:val="0"/>
          <w:sz w:val="32"/>
          <w:szCs w:val="32"/>
          <w:lang w:val="en-US" w:eastAsia="zh-CN"/>
        </w:rPr>
        <w:t xml:space="preserve">    </w:t>
      </w:r>
      <w:r>
        <w:rPr>
          <w:rFonts w:hint="eastAsia" w:ascii="黑体" w:hAnsi="黑体" w:eastAsia="黑体"/>
          <w:sz w:val="32"/>
          <w:szCs w:val="32"/>
          <w:lang w:val="en-US" w:eastAsia="zh-CN"/>
        </w:rPr>
        <w:t>第三部分  2024年度部门决算情况说明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lang w:val="en-US" w:eastAsia="zh-CN"/>
        </w:rPr>
      </w:pPr>
      <w:r>
        <w:rPr>
          <w:rFonts w:hint="eastAsia" w:ascii="仿宋_GB2312" w:hAnsi="仿宋_GB2312" w:eastAsia="仿宋_GB2312"/>
          <w:sz w:val="32"/>
          <w:szCs w:val="30"/>
          <w:lang w:val="en-US" w:eastAsia="zh-CN"/>
        </w:rPr>
        <w:t>九、预算绩效情况说明</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第四部分  名词解释</w:t>
      </w:r>
    </w:p>
    <w:p>
      <w:pPr>
        <w:widowControl/>
        <w:spacing w:line="600" w:lineRule="exact"/>
        <w:ind w:firstLine="640"/>
        <w:jc w:val="left"/>
        <w:outlineLvl w:val="0"/>
        <w:rPr>
          <w:rFonts w:hint="eastAsia" w:ascii="黑体" w:hAnsi="黑体" w:eastAsia="黑体"/>
          <w:sz w:val="32"/>
          <w:szCs w:val="32"/>
          <w:lang w:val="en-US" w:eastAsia="zh-CN"/>
        </w:rPr>
      </w:pPr>
      <w:r>
        <w:rPr>
          <w:rFonts w:hint="eastAsia" w:ascii="黑体" w:hAnsi="黑体" w:eastAsia="黑体"/>
          <w:sz w:val="32"/>
          <w:szCs w:val="32"/>
          <w:lang w:val="en-US" w:eastAsia="zh-CN"/>
        </w:rPr>
        <w:t>第五部分  附件</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lang w:val="en-US" w:eastAsia="zh-CN"/>
        </w:rPr>
      </w:pPr>
      <w:r>
        <w:rPr>
          <w:rFonts w:hint="eastAsia" w:ascii="仿宋_GB2312" w:hAnsi="仿宋_GB2312" w:eastAsia="仿宋_GB2312"/>
          <w:sz w:val="32"/>
          <w:szCs w:val="30"/>
          <w:lang w:val="en-US" w:eastAsia="zh-CN"/>
        </w:rPr>
        <w:t>注：本报告因金额单位转换原因可能存在尾数误差。</w:t>
      </w:r>
    </w:p>
    <w:p>
      <w:pPr>
        <w:pageBreakBefore/>
        <w:jc w:val="both"/>
        <w:rPr>
          <w:rFonts w:hint="eastAsia"/>
          <w:sz w:val="32"/>
          <w:szCs w:val="32"/>
          <w:lang w:val="en-US" w:eastAsia="zh-CN"/>
        </w:rPr>
      </w:pPr>
    </w:p>
    <w:p>
      <w:pPr>
        <w:widowControl/>
        <w:spacing w:line="58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第一部分 兴国县杰村乡概况</w:t>
      </w:r>
    </w:p>
    <w:p>
      <w:pPr>
        <w:ind w:firstLine="630"/>
        <w:jc w:val="center"/>
        <w:rPr>
          <w:rFonts w:hint="eastAsia"/>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一、部门主要职责</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一）宣传贯彻党的路线、方针、政策，执行党中央、上级党组织的决定，领导本镇工作，对本镇重大工作、重点问题进行决策，认真抓好党的思想、组织和作风建设，支持和保证行政组织、经济组织、群众组织充分行使职权，充分发挥基层党支部战斗堡垒作用和共产党的先锋模范作用。</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（二）监督本乡国家公务员和机关工作人员依法行政，秉公办事。</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（三）执行本级人民代表大会的决议和上级国家行政机关的决定与命令，发布决定。</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（四）管理行政区域内的经济、教育、科学、文化、卫生、体育事业和财政、民政优抚、社会治安综合治理、计划生育、乡村建设等行政事务工作。</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（五）建立健全农业科技体系，为农民和经济组织服务，调整产业结构，发展特色产业。</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（六）加快全乡公益事业的发展，组织救灾抢险重大工作。</w:t>
      </w:r>
    </w:p>
    <w:p>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_GB2312" w:hAnsi="仿宋_GB2312" w:eastAsia="仿宋_GB2312"/>
          <w:sz w:val="32"/>
          <w:szCs w:val="32"/>
          <w:lang w:val="en-US" w:eastAsia="zh-CN"/>
        </w:rPr>
      </w:pPr>
      <w:r>
        <w:rPr>
          <w:rFonts w:hint="eastAsia" w:ascii="仿宋" w:hAnsi="仿宋" w:eastAsia="仿宋"/>
          <w:sz w:val="30"/>
          <w:szCs w:val="30"/>
        </w:rPr>
        <w:t>（七）承办县委、县政府交办的其他工作</w:t>
      </w:r>
      <w:r>
        <w:rPr>
          <w:rFonts w:hint="eastAsia" w:ascii="仿宋" w:hAnsi="仿宋" w:eastAsia="仿宋"/>
          <w:sz w:val="30"/>
          <w:szCs w:val="30"/>
          <w:lang w:eastAsia="zh-CN"/>
        </w:rPr>
        <w:t>。</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二、机构设置及人员情况</w:t>
      </w:r>
    </w:p>
    <w:p>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sz w:val="32"/>
          <w:szCs w:val="32"/>
          <w:lang w:val="en-US" w:eastAsia="zh-CN"/>
        </w:rPr>
        <w:t>纳入本套部门决算汇编范围的单位共</w:t>
      </w:r>
      <w:r>
        <w:rPr>
          <w:rFonts w:hint="eastAsia" w:ascii="仿宋_GB2312" w:eastAsia="仿宋_GB2312" w:cs="仿宋_GB2312"/>
          <w:sz w:val="32"/>
          <w:szCs w:val="32"/>
          <w:lang w:val="en-US" w:eastAsia="zh-CN" w:bidi="ar"/>
        </w:rPr>
        <w:t>1</w:t>
      </w:r>
      <w:r>
        <w:rPr>
          <w:rFonts w:hint="eastAsia" w:ascii="仿宋_GB2312" w:hAnsi="仿宋_GB2312" w:eastAsia="仿宋_GB2312"/>
          <w:sz w:val="32"/>
          <w:szCs w:val="32"/>
          <w:lang w:val="en-US" w:eastAsia="zh-CN"/>
        </w:rPr>
        <w:t>个，即</w:t>
      </w:r>
      <w:r>
        <w:rPr>
          <w:rFonts w:hint="eastAsia" w:ascii="仿宋_GB2312" w:hAnsi="仿宋_GB2312" w:eastAsia="仿宋_GB2312" w:cs="Times New Roman"/>
          <w:sz w:val="32"/>
          <w:szCs w:val="32"/>
          <w:lang w:val="en-US" w:eastAsia="zh-CN"/>
        </w:rPr>
        <w:t>兴国县杰村乡（本级）。</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cs="Times New Roman"/>
          <w:sz w:val="32"/>
          <w:szCs w:val="32"/>
          <w:lang w:val="en-US" w:eastAsia="zh-CN"/>
        </w:rPr>
        <w:t>兴国县杰村乡（本级）</w:t>
      </w:r>
      <w:r>
        <w:rPr>
          <w:rFonts w:hint="eastAsia" w:ascii="仿宋_GB2312" w:hAnsi="仿宋_GB2312" w:eastAsia="仿宋_GB2312"/>
          <w:sz w:val="32"/>
          <w:szCs w:val="32"/>
          <w:lang w:val="en-US" w:eastAsia="zh-CN"/>
        </w:rPr>
        <w:t>设立5个内设机构，分别是：党政办公室、党建办公室、经济发展办公室、民生服务办公室、平安法制办公室。</w:t>
      </w:r>
    </w:p>
    <w:p>
      <w:pPr>
        <w:ind w:firstLine="640" w:firstLineChars="200"/>
        <w:jc w:val="left"/>
        <w:rPr>
          <w:rFonts w:hint="eastAsia"/>
          <w:lang w:val="en-US" w:eastAsia="zh-CN"/>
        </w:rPr>
      </w:pPr>
      <w:r>
        <w:rPr>
          <w:rFonts w:hint="eastAsia" w:ascii="仿宋_GB2312" w:hAnsi="仿宋_GB2312" w:eastAsia="仿宋_GB2312"/>
          <w:sz w:val="32"/>
          <w:szCs w:val="32"/>
          <w:lang w:val="en-US" w:eastAsia="zh-CN"/>
        </w:rPr>
        <w:t>本部门年末编制内实有人员46人，其他人员24人。离退休人员</w:t>
      </w:r>
      <w:r>
        <w:rPr>
          <w:rFonts w:hint="eastAsia" w:ascii="仿宋_GB2312" w:eastAsia="仿宋_GB2312" w:cs="仿宋_GB2312"/>
          <w:sz w:val="32"/>
          <w:szCs w:val="32"/>
          <w:lang w:val="en-US" w:eastAsia="zh-CN" w:bidi="ar"/>
        </w:rPr>
        <w:t>14</w:t>
      </w:r>
      <w:r>
        <w:rPr>
          <w:rFonts w:hint="eastAsia" w:ascii="仿宋_GB2312" w:hAnsi="仿宋_GB2312" w:eastAsia="仿宋_GB2312"/>
          <w:sz w:val="32"/>
          <w:szCs w:val="32"/>
          <w:lang w:val="en-US" w:eastAsia="zh-CN"/>
        </w:rPr>
        <w:t>人，其中：单位发放离退休费的人员</w:t>
      </w:r>
      <w:r>
        <w:rPr>
          <w:rFonts w:hint="eastAsia" w:ascii="仿宋_GB2312" w:eastAsia="仿宋_GB2312" w:cs="仿宋_GB2312"/>
          <w:sz w:val="32"/>
          <w:szCs w:val="32"/>
          <w:lang w:val="en-US" w:eastAsia="zh-CN" w:bidi="ar"/>
        </w:rPr>
        <w:t>0</w:t>
      </w:r>
      <w:r>
        <w:rPr>
          <w:rFonts w:hint="eastAsia" w:ascii="仿宋_GB2312" w:hAnsi="仿宋_GB2312" w:eastAsia="仿宋_GB2312"/>
          <w:sz w:val="32"/>
          <w:szCs w:val="32"/>
          <w:lang w:val="en-US" w:eastAsia="zh-CN"/>
        </w:rPr>
        <w:t>人，养老保险基金发放养老金的人员14人。</w:t>
      </w:r>
    </w:p>
    <w:p>
      <w:pPr>
        <w:pageBreakBefore/>
        <w:widowControl/>
        <w:spacing w:line="600" w:lineRule="exact"/>
        <w:ind w:firstLine="641"/>
        <w:jc w:val="center"/>
        <w:outlineLvl w:val="0"/>
        <w:rPr>
          <w:rFonts w:hint="eastAsia" w:ascii="宋体" w:hAnsi="宋体" w:cs="宋体"/>
          <w:b/>
          <w:sz w:val="44"/>
          <w:szCs w:val="44"/>
          <w:lang w:val="en-US" w:eastAsia="zh-CN"/>
        </w:rPr>
      </w:pPr>
    </w:p>
    <w:p>
      <w:pPr>
        <w:widowControl/>
        <w:spacing w:line="600" w:lineRule="exact"/>
        <w:ind w:firstLine="641"/>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第二部分  2024年度部门决算表</w:t>
      </w:r>
    </w:p>
    <w:p>
      <w:pPr>
        <w:jc w:val="both"/>
        <w:rPr>
          <w:rFonts w:hint="eastAsia"/>
          <w:lang w:val="en-US" w:eastAsia="zh-CN"/>
        </w:rPr>
      </w:pPr>
    </w:p>
    <w:p>
      <w:pPr>
        <w:ind w:firstLine="2880" w:firstLineChars="900"/>
        <w:jc w:val="left"/>
        <w:outlineLvl w:val="1"/>
        <w:rPr>
          <w:rFonts w:hint="eastAsia" w:ascii="黑体" w:hAnsi="黑体" w:eastAsia="黑体" w:cs="黑体"/>
          <w:sz w:val="36"/>
          <w:szCs w:val="36"/>
          <w:lang w:val="en-US" w:eastAsia="zh-CN"/>
        </w:rPr>
      </w:pPr>
      <w:r>
        <w:rPr>
          <w:rFonts w:hint="eastAsia" w:ascii="黑体" w:hAnsi="宋体" w:eastAsia="黑体" w:cs="黑体"/>
          <w:sz w:val="32"/>
          <w:szCs w:val="32"/>
          <w:lang w:val="en-US" w:eastAsia="zh-CN" w:bidi="ar"/>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420"/>
        <w:gridCol w:w="420"/>
        <w:gridCol w:w="1440"/>
        <w:gridCol w:w="2180"/>
        <w:gridCol w:w="420"/>
        <w:gridCol w:w="14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gridSpan w:val="3"/>
            <w:noWrap w:val="0"/>
            <w:vAlign w:val="center"/>
          </w:tcPr>
          <w:p>
            <w:pPr>
              <w:jc w:val="center"/>
              <w:rPr>
                <w:lang w:val="en-US" w:eastAsia="zh-CN"/>
              </w:rPr>
            </w:pPr>
            <w:r>
              <w:rPr>
                <w:rFonts w:ascii="宋体" w:hAnsi="宋体" w:eastAsia="宋体" w:cs="宋体"/>
                <w:b w:val="0"/>
                <w:i w:val="0"/>
                <w:color w:val="000000"/>
                <w:sz w:val="13"/>
                <w:lang w:val="en-US" w:eastAsia="zh-CN"/>
              </w:rPr>
              <w:t>收入</w:t>
            </w:r>
          </w:p>
        </w:tc>
        <w:tc>
          <w:tcPr>
            <w:tcW w:w="2180" w:type="dxa"/>
            <w:gridSpan w:val="3"/>
            <w:noWrap w:val="0"/>
            <w:vAlign w:val="center"/>
          </w:tcPr>
          <w:p>
            <w:pPr>
              <w:jc w:val="center"/>
              <w:rPr>
                <w:lang w:val="en-US" w:eastAsia="zh-CN"/>
              </w:rPr>
            </w:pPr>
            <w:r>
              <w:rPr>
                <w:rFonts w:ascii="宋体" w:hAnsi="宋体" w:eastAsia="宋体" w:cs="宋体"/>
                <w:b w:val="0"/>
                <w:i w:val="0"/>
                <w:color w:val="000000"/>
                <w:sz w:val="13"/>
                <w:lang w:val="en-US" w:eastAsia="zh-CN"/>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项    目</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行次</w:t>
            </w:r>
          </w:p>
        </w:tc>
        <w:tc>
          <w:tcPr>
            <w:tcW w:w="14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金额</w:t>
            </w:r>
          </w:p>
        </w:tc>
        <w:tc>
          <w:tcPr>
            <w:tcW w:w="218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项目（按功能分类）</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行次</w:t>
            </w:r>
          </w:p>
        </w:tc>
        <w:tc>
          <w:tcPr>
            <w:tcW w:w="142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2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pPr>
              <w:jc w:val="both"/>
              <w:rPr>
                <w:lang w:val="en-US" w:eastAsia="zh-CN"/>
              </w:rPr>
            </w:pPr>
          </w:p>
        </w:tc>
        <w:tc>
          <w:tcPr>
            <w:tcW w:w="14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w:t>
            </w:r>
          </w:p>
        </w:tc>
        <w:tc>
          <w:tcPr>
            <w:tcW w:w="218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栏    次</w:t>
            </w:r>
          </w:p>
        </w:tc>
        <w:tc>
          <w:tcPr>
            <w:tcW w:w="420" w:type="dxa"/>
            <w:tcBorders>
              <w:tl2br w:val="nil"/>
              <w:tr2bl w:val="nil"/>
            </w:tcBorders>
            <w:noWrap w:val="0"/>
            <w:vAlign w:val="center"/>
          </w:tcPr>
          <w:p>
            <w:pPr>
              <w:jc w:val="both"/>
              <w:rPr>
                <w:lang w:val="en-US" w:eastAsia="zh-CN"/>
              </w:rPr>
            </w:pPr>
          </w:p>
        </w:tc>
        <w:tc>
          <w:tcPr>
            <w:tcW w:w="142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一、一般公共预算财政拨款收入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3,077.00</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一、一般公共服务支出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32</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1,296.55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二、政府性基金预算财政拨款收入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714.08</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二、外交支出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33</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三、国有资本经营预算财政拨款收入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三、国防支出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34</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四、上级补助收入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四、公共安全支出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35</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五、事业收入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五、教育支出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36</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六、经营收入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6</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六、科学技术支出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37</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七、附属单位上缴收入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7</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0.00</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七、文化旅游体育与传媒支出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38</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11.71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八、其他收入</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8</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938.32</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八、社会保障和就业支出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39</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342.38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9</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九、卫生健康支出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40</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37.27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10</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十、节能环保支出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41</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25.00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11</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十一、城乡社区支出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42</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155.78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12</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十二、农林水支出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43</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1,197.21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13</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十三、交通运输支出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44</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14</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十四、资源勘探工业信息等支出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45</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15</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十五、商业服务业等支出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46</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16</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十六、金融支出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47</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17</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十七、援助其他地区支出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48</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18</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十八、自然资源海洋气象等支出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49</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19</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十九、住房保障支出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50</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58.88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20</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二十、粮油物资储备支出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51</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21</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二十一、国有资本经营预算支出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52</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22</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二十二、灾害防治及应急管理支出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53</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29.35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23</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二十三、其他支出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54</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1,534.49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24</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二十四、债务还本支出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55</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25</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二十五、债务付息支出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56</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26</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二十六、抗疫特别国债安排的支出</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57</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本年收入合计</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27</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4,729.40</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本年支出合计</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58</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4,708.63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 xml:space="preserve">  使用非财政拨款结余（含专用结余）</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28</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 xml:space="preserve">  结余分配                 </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59</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 xml:space="preserve">  年初结转和结余</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29</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59.16</w:t>
            </w:r>
          </w:p>
        </w:tc>
        <w:tc>
          <w:tcPr>
            <w:tcW w:w="21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 xml:space="preserve">  年末结转和结余                                </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60</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79.94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30</w:t>
            </w:r>
          </w:p>
        </w:tc>
        <w:tc>
          <w:tcPr>
            <w:tcW w:w="1440" w:type="dxa"/>
            <w:tcBorders>
              <w:tl2br w:val="nil"/>
              <w:tr2bl w:val="nil"/>
            </w:tcBorders>
            <w:noWrap w:val="0"/>
            <w:vAlign w:val="center"/>
          </w:tcPr>
          <w:p>
            <w:pPr>
              <w:jc w:val="both"/>
              <w:rPr>
                <w:lang w:val="en-US" w:eastAsia="zh-CN"/>
              </w:rPr>
            </w:pPr>
          </w:p>
        </w:tc>
        <w:tc>
          <w:tcPr>
            <w:tcW w:w="2180" w:type="dxa"/>
            <w:tcBorders>
              <w:tl2br w:val="nil"/>
              <w:tr2bl w:val="nil"/>
            </w:tcBorders>
            <w:noWrap w:val="0"/>
            <w:vAlign w:val="center"/>
          </w:tcPr>
          <w:p>
            <w:pPr>
              <w:jc w:val="both"/>
              <w:rPr>
                <w:lang w:val="en-US" w:eastAsia="zh-CN"/>
              </w:rPr>
            </w:pP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61</w:t>
            </w: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86" w:hRule="exact"/>
          <w:jc w:val="center"/>
        </w:trPr>
        <w:tc>
          <w:tcPr>
            <w:tcW w:w="2420" w:type="dxa"/>
            <w:tcBorders>
              <w:tl2br w:val="nil"/>
              <w:tr2bl w:val="nil"/>
            </w:tcBorders>
            <w:noWrap w:val="0"/>
            <w:vAlign w:val="center"/>
          </w:tcPr>
          <w:p>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31</w:t>
            </w:r>
          </w:p>
        </w:tc>
        <w:tc>
          <w:tcPr>
            <w:tcW w:w="14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4,788.57</w:t>
            </w:r>
          </w:p>
        </w:tc>
        <w:tc>
          <w:tcPr>
            <w:tcW w:w="2180" w:type="dxa"/>
            <w:tcBorders>
              <w:tl2br w:val="nil"/>
              <w:tr2bl w:val="nil"/>
            </w:tcBorders>
            <w:noWrap w:val="0"/>
            <w:vAlign w:val="center"/>
          </w:tcPr>
          <w:p>
            <w:pPr>
              <w:jc w:val="center"/>
              <w:rPr>
                <w:lang w:val="en-US" w:eastAsia="zh-CN"/>
              </w:rPr>
            </w:pPr>
            <w:r>
              <w:rPr>
                <w:rFonts w:ascii="宋体" w:hAnsi="宋体" w:eastAsia="宋体" w:cs="宋体"/>
                <w:b/>
                <w:i w:val="0"/>
                <w:color w:val="000000"/>
                <w:sz w:val="13"/>
                <w:lang w:val="en-US" w:eastAsia="zh-CN"/>
              </w:rPr>
              <w:t>总计</w:t>
            </w:r>
          </w:p>
        </w:tc>
        <w:tc>
          <w:tcPr>
            <w:tcW w:w="4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3"/>
                <w:lang w:val="en-US" w:eastAsia="zh-CN"/>
              </w:rPr>
              <w:t>62</w:t>
            </w:r>
          </w:p>
        </w:tc>
        <w:tc>
          <w:tcPr>
            <w:tcW w:w="142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3"/>
                <w:lang w:val="en-US" w:eastAsia="zh-CN"/>
              </w:rPr>
              <w:t>4,788.57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30" w:hRule="exact"/>
          <w:jc w:val="center"/>
        </w:trPr>
        <w:tc>
          <w:tcPr>
            <w:tcW w:w="2420" w:type="dxa"/>
            <w:gridSpan w:val="6"/>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注：1.本表反映部门（单位）本年度的总收支和年末结转结余情况。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30" w:hRule="exact"/>
          <w:jc w:val="center"/>
        </w:trPr>
        <w:tc>
          <w:tcPr>
            <w:tcW w:w="2420" w:type="dxa"/>
            <w:gridSpan w:val="6"/>
            <w:tcBorders>
              <w:top w:val="single" w:color="FFFFFF" w:sz="4" w:space="0"/>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3"/>
                <w:lang w:val="en-US" w:eastAsia="zh-CN"/>
              </w:rPr>
              <w:t xml:space="preserve">    2.本套报表金额单位转换时可能存在尾数误差。</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180"/>
        <w:gridCol w:w="200"/>
        <w:gridCol w:w="180"/>
        <w:gridCol w:w="1840"/>
        <w:gridCol w:w="840"/>
        <w:gridCol w:w="840"/>
        <w:gridCol w:w="840"/>
        <w:gridCol w:w="840"/>
        <w:gridCol w:w="840"/>
        <w:gridCol w:w="840"/>
        <w:gridCol w:w="8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7" w:hRule="exact"/>
          <w:jc w:val="center"/>
        </w:trPr>
        <w:tc>
          <w:tcPr>
            <w:tcW w:w="180" w:type="dxa"/>
            <w:gridSpan w:val="4"/>
            <w:noWrap w:val="0"/>
            <w:vAlign w:val="center"/>
          </w:tcPr>
          <w:p>
            <w:pPr>
              <w:jc w:val="center"/>
              <w:rPr>
                <w:lang w:val="en-US" w:eastAsia="zh-CN"/>
              </w:rPr>
            </w:pPr>
            <w:r>
              <w:rPr>
                <w:rFonts w:ascii="宋体" w:hAnsi="宋体" w:eastAsia="宋体" w:cs="宋体"/>
                <w:b w:val="0"/>
                <w:i w:val="0"/>
                <w:color w:val="000000"/>
                <w:sz w:val="8"/>
                <w:lang w:val="en-US" w:eastAsia="zh-CN"/>
              </w:rPr>
              <w:t>项    目</w:t>
            </w:r>
          </w:p>
        </w:tc>
        <w:tc>
          <w:tcPr>
            <w:tcW w:w="840"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本年收入合计</w:t>
            </w:r>
          </w:p>
        </w:tc>
        <w:tc>
          <w:tcPr>
            <w:tcW w:w="840"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财政拨款收入</w:t>
            </w:r>
          </w:p>
        </w:tc>
        <w:tc>
          <w:tcPr>
            <w:tcW w:w="840"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上级补助收入</w:t>
            </w:r>
          </w:p>
        </w:tc>
        <w:tc>
          <w:tcPr>
            <w:tcW w:w="840"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事业收入</w:t>
            </w:r>
          </w:p>
        </w:tc>
        <w:tc>
          <w:tcPr>
            <w:tcW w:w="840"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经营收入</w:t>
            </w:r>
          </w:p>
        </w:tc>
        <w:tc>
          <w:tcPr>
            <w:tcW w:w="840"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附属单位上缴收入</w:t>
            </w:r>
          </w:p>
        </w:tc>
        <w:tc>
          <w:tcPr>
            <w:tcW w:w="866" w:type="dxa"/>
            <w:vMerge w:val="restart"/>
            <w:noWrap w:val="0"/>
            <w:vAlign w:val="center"/>
          </w:tcPr>
          <w:p>
            <w:pPr>
              <w:jc w:val="center"/>
              <w:rPr>
                <w:lang w:val="en-US" w:eastAsia="zh-CN"/>
              </w:rPr>
            </w:pPr>
            <w:r>
              <w:rPr>
                <w:rFonts w:ascii="宋体" w:hAnsi="宋体" w:eastAsia="宋体" w:cs="宋体"/>
                <w:b w:val="0"/>
                <w:i w:val="0"/>
                <w:color w:val="000000"/>
                <w:sz w:val="8"/>
                <w:lang w:val="en-US" w:eastAsia="zh-CN"/>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180" w:hRule="exact"/>
          <w:jc w:val="center"/>
        </w:trPr>
        <w:tc>
          <w:tcPr>
            <w:tcW w:w="180" w:type="dxa"/>
            <w:gridSpan w:val="3"/>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支出功能分类科目编码</w:t>
            </w:r>
          </w:p>
        </w:tc>
        <w:tc>
          <w:tcPr>
            <w:tcW w:w="18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6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180" w:hRule="exact"/>
          <w:jc w:val="center"/>
        </w:trPr>
        <w:tc>
          <w:tcPr>
            <w:tcW w:w="180" w:type="dxa"/>
            <w:gridSpan w:val="3"/>
            <w:vMerge w:val="continue"/>
            <w:tcBorders>
              <w:tl2br w:val="nil"/>
              <w:tr2bl w:val="nil"/>
            </w:tcBorders>
            <w:noWrap w:val="0"/>
            <w:vAlign w:val="center"/>
          </w:tcPr>
          <w:p>
            <w:pPr>
              <w:jc w:val="both"/>
              <w:rPr>
                <w:lang w:val="en-US" w:eastAsia="zh-CN"/>
              </w:rPr>
            </w:pPr>
          </w:p>
        </w:tc>
        <w:tc>
          <w:tcPr>
            <w:tcW w:w="1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6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180" w:hRule="exact"/>
          <w:jc w:val="center"/>
        </w:trPr>
        <w:tc>
          <w:tcPr>
            <w:tcW w:w="180" w:type="dxa"/>
            <w:gridSpan w:val="3"/>
            <w:vMerge w:val="continue"/>
            <w:tcBorders>
              <w:tl2br w:val="nil"/>
              <w:tr2bl w:val="nil"/>
            </w:tcBorders>
            <w:noWrap w:val="0"/>
            <w:vAlign w:val="center"/>
          </w:tcPr>
          <w:p>
            <w:pPr>
              <w:jc w:val="both"/>
              <w:rPr>
                <w:lang w:val="en-US" w:eastAsia="zh-CN"/>
              </w:rPr>
            </w:pPr>
          </w:p>
        </w:tc>
        <w:tc>
          <w:tcPr>
            <w:tcW w:w="1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40" w:type="dxa"/>
            <w:vMerge w:val="continue"/>
            <w:tcBorders>
              <w:tl2br w:val="nil"/>
              <w:tr2bl w:val="nil"/>
            </w:tcBorders>
            <w:noWrap w:val="0"/>
            <w:vAlign w:val="center"/>
          </w:tcPr>
          <w:p>
            <w:pPr>
              <w:jc w:val="both"/>
              <w:rPr>
                <w:lang w:val="en-US" w:eastAsia="zh-CN"/>
              </w:rPr>
            </w:pPr>
          </w:p>
        </w:tc>
        <w:tc>
          <w:tcPr>
            <w:tcW w:w="86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类</w:t>
            </w:r>
          </w:p>
        </w:tc>
        <w:tc>
          <w:tcPr>
            <w:tcW w:w="2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款</w:t>
            </w:r>
          </w:p>
        </w:tc>
        <w:tc>
          <w:tcPr>
            <w:tcW w:w="18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项</w:t>
            </w:r>
          </w:p>
        </w:tc>
        <w:tc>
          <w:tcPr>
            <w:tcW w:w="1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栏次</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1</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2</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3</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4</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5</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6</w:t>
            </w:r>
          </w:p>
        </w:tc>
        <w:tc>
          <w:tcPr>
            <w:tcW w:w="86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vMerge w:val="continue"/>
            <w:tcBorders>
              <w:tl2br w:val="nil"/>
              <w:tr2bl w:val="nil"/>
            </w:tcBorders>
            <w:noWrap w:val="0"/>
            <w:vAlign w:val="center"/>
          </w:tcPr>
          <w:p>
            <w:pPr>
              <w:jc w:val="both"/>
              <w:rPr>
                <w:lang w:val="en-US" w:eastAsia="zh-CN"/>
              </w:rPr>
            </w:pPr>
          </w:p>
        </w:tc>
        <w:tc>
          <w:tcPr>
            <w:tcW w:w="200" w:type="dxa"/>
            <w:vMerge w:val="continue"/>
            <w:tcBorders>
              <w:tl2br w:val="nil"/>
              <w:tr2bl w:val="nil"/>
            </w:tcBorders>
            <w:noWrap w:val="0"/>
            <w:vAlign w:val="center"/>
          </w:tcPr>
          <w:p>
            <w:pPr>
              <w:jc w:val="both"/>
              <w:rPr>
                <w:lang w:val="en-US" w:eastAsia="zh-CN"/>
              </w:rPr>
            </w:pPr>
          </w:p>
        </w:tc>
        <w:tc>
          <w:tcPr>
            <w:tcW w:w="180" w:type="dxa"/>
            <w:vMerge w:val="continue"/>
            <w:tcBorders>
              <w:tl2br w:val="nil"/>
              <w:tr2bl w:val="nil"/>
            </w:tcBorders>
            <w:noWrap w:val="0"/>
            <w:vAlign w:val="center"/>
          </w:tcPr>
          <w:p>
            <w:pPr>
              <w:jc w:val="both"/>
              <w:rPr>
                <w:lang w:val="en-US" w:eastAsia="zh-CN"/>
              </w:rPr>
            </w:pPr>
          </w:p>
        </w:tc>
        <w:tc>
          <w:tcPr>
            <w:tcW w:w="1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合计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4,729.40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3,791.08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938.32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一般公共服务支出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1,296.55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1,296.55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人大事务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288.40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288.40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2010101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132.01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132.01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2010199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其他人大事务支出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156.39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156.39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20103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政府办公厅（室）及相关机构事务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1,002.70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1,002.70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2010301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1,002.70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1,002.70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5.45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5.45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2019999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其他一般公共服务支出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5.45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5.45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207</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文化旅游体育与传媒支出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11.71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11.71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20701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文化和旅游</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2.46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2.46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2070101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2.46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2.46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20799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其他文化旅游体育与传媒支出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9.25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9.25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2079999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其他文化旅游体育与传媒支出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9.25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9.25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社会保障和就业支出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342.38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342.38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人力资源和社会保障管理事务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31.70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31.70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2080101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31.70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31.70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民政管理事务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53.43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53.43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2080299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其他民政管理事务支出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53.43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53.43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行政事业单位养老支出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101.46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101.46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2080501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行政单位离退休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6.30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6.30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2080505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机关事业单位基本养老保险缴费支出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68.62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68.62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2080599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其他行政事业单位养老支出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26.54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26.54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20807</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就业补助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125.57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125.57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2080705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公益性岗位补贴</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66.66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66.66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2080799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其他就业补助支出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58.91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58.91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20810</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社会福利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2081006</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养老服务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20819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最低生活保障</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2081901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城市最低生活保障金支出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20820</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临时救助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2082001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临时救助支出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20821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特困人员救助供养</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2082102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农村特困人员救助供养支出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3.21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3.21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2089999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其他社会保障和就业支出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3.21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3.21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210</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卫生健康支出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37.27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37.27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21011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行政事业单位医疗</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37.27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37.27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2101101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行政单位医疗</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21.48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21.48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2101103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公务员医疗补助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15.79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15.79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节能环保支出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21199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其他节能环保支出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2119999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其他节能环保支出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25.00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城乡社区支出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155.78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155.78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城乡社区管理事务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3.31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3.31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2120101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行政运行</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3.31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3.31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城乡社区公共设施</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55.33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55.33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2120303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小城镇基础设施建设</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55.33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55.33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21208</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国有土地使用权出让收入安排的支出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97.14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97.14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2120804</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农村基础设施建设支出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22.33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22.33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2120899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其他国有土地使用权出让收入安排的支出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74.81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74.81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农林水支出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1,197.21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1,197.21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农业农村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76.72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76.72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2130106</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科技转化与推广服务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2130108</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病虫害控制</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22.00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22.00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2130109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农产品质量安全</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2130122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农业生产发展</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7.40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7.40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2130135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农业生态资源保护</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3.41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3.41</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2130153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耕地建设与利用</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12.34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12.34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2130199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其他农业农村支出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27.20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27.20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林业和草原</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202.18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202.18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2130205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森林资源培育</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70.97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70.97</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2130209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森林生态效益补偿</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0.44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0.44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2130234</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林业草原防灾减灾</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35.94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35.94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2130299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其他林业和草原支出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94.82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94.82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21303</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水利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6.99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6.99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2130316</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农村水利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6.99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6.99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巩固脱贫攻坚成果衔接乡村振兴</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572.66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572.66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2130502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一般行政管理事务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6.34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6.34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2130504</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农村基础设施建设</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497.59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497.59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2130505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生产发展</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56.43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56.43</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2130599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其他巩固脱贫攻坚成果衔接乡村振兴支出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12.30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12.30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21307</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农村综合改革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139.16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139.16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2130705</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对村民委员会和村党支部的补助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139.16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139.16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其他农林水支出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199.50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199.50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2139999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其他农林水支出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199.50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199.50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220</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自然资源海洋气象等支出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22001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自然资源事务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2200199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其他自然资源事务支出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住房保障支出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22102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住房改革支出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2210201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住房公积金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灾害防治及应急管理支出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29.35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29.35</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22401</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应急管理事务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17.56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17.56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2240104</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灾害风险防治</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2240106</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安全监管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2.88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2240109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应急管理</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13.68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13.68</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消防救援事务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11.79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11.79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2240299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其他消防救援事务支出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11.79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11.79</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1,555.26</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616.94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938.32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22904</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其他政府性基金及对应专项债务收入安排的支出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616.94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616.94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2290402</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其他地方自行试点项目收益专项债券收入安排的支出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616.94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616.94</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938.32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938.32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2299999</w:t>
            </w:r>
          </w:p>
        </w:tc>
        <w:tc>
          <w:tcPr>
            <w:tcW w:w="18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其他支出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938.32</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86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938.32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wBefore w:w="0" w:type="dxa"/>
          <w:wAfter w:w="0" w:type="dxa"/>
          <w:trHeight w:val="226" w:hRule="exact"/>
          <w:jc w:val="center"/>
        </w:trPr>
        <w:tc>
          <w:tcPr>
            <w:tcW w:w="180" w:type="dxa"/>
            <w:gridSpan w:val="11"/>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注：本表反映部门（单位）本年度取得的各项收入情况。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20"/>
        <w:gridCol w:w="220"/>
        <w:gridCol w:w="220"/>
        <w:gridCol w:w="2000"/>
        <w:gridCol w:w="900"/>
        <w:gridCol w:w="900"/>
        <w:gridCol w:w="900"/>
        <w:gridCol w:w="900"/>
        <w:gridCol w:w="900"/>
        <w:gridCol w:w="11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14" w:hRule="exact"/>
          <w:jc w:val="center"/>
        </w:trPr>
        <w:tc>
          <w:tcPr>
            <w:tcW w:w="220" w:type="dxa"/>
            <w:gridSpan w:val="4"/>
            <w:noWrap w:val="0"/>
            <w:vAlign w:val="center"/>
          </w:tcPr>
          <w:p>
            <w:pPr>
              <w:jc w:val="center"/>
              <w:rPr>
                <w:lang w:val="en-US" w:eastAsia="zh-CN"/>
              </w:rPr>
            </w:pPr>
            <w:r>
              <w:rPr>
                <w:rFonts w:ascii="宋体" w:hAnsi="宋体" w:eastAsia="宋体" w:cs="宋体"/>
                <w:b w:val="0"/>
                <w:i w:val="0"/>
                <w:color w:val="000000"/>
                <w:sz w:val="9"/>
                <w:lang w:val="en-US" w:eastAsia="zh-CN"/>
              </w:rPr>
              <w:t>项    目</w:t>
            </w:r>
          </w:p>
        </w:tc>
        <w:tc>
          <w:tcPr>
            <w:tcW w:w="90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本年支出合计</w:t>
            </w:r>
          </w:p>
        </w:tc>
        <w:tc>
          <w:tcPr>
            <w:tcW w:w="90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基本支出</w:t>
            </w:r>
          </w:p>
        </w:tc>
        <w:tc>
          <w:tcPr>
            <w:tcW w:w="90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项目支出</w:t>
            </w:r>
          </w:p>
        </w:tc>
        <w:tc>
          <w:tcPr>
            <w:tcW w:w="90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上缴上级支出</w:t>
            </w:r>
          </w:p>
        </w:tc>
        <w:tc>
          <w:tcPr>
            <w:tcW w:w="90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经营支出</w:t>
            </w:r>
          </w:p>
        </w:tc>
        <w:tc>
          <w:tcPr>
            <w:tcW w:w="1146"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支出功能分类科目编码</w:t>
            </w:r>
          </w:p>
        </w:tc>
        <w:tc>
          <w:tcPr>
            <w:tcW w:w="20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科目名称</w:t>
            </w: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114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continue"/>
            <w:tcBorders>
              <w:tl2br w:val="nil"/>
              <w:tr2bl w:val="nil"/>
            </w:tcBorders>
            <w:noWrap w:val="0"/>
            <w:vAlign w:val="center"/>
          </w:tcPr>
          <w:p>
            <w:pPr>
              <w:jc w:val="both"/>
              <w:rPr>
                <w:lang w:val="en-US" w:eastAsia="zh-CN"/>
              </w:rPr>
            </w:pPr>
          </w:p>
        </w:tc>
        <w:tc>
          <w:tcPr>
            <w:tcW w:w="20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114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195" w:hRule="exact"/>
          <w:jc w:val="center"/>
        </w:trPr>
        <w:tc>
          <w:tcPr>
            <w:tcW w:w="220" w:type="dxa"/>
            <w:gridSpan w:val="3"/>
            <w:vMerge w:val="continue"/>
            <w:tcBorders>
              <w:tl2br w:val="nil"/>
              <w:tr2bl w:val="nil"/>
            </w:tcBorders>
            <w:noWrap w:val="0"/>
            <w:vAlign w:val="center"/>
          </w:tcPr>
          <w:p>
            <w:pPr>
              <w:jc w:val="both"/>
              <w:rPr>
                <w:lang w:val="en-US" w:eastAsia="zh-CN"/>
              </w:rPr>
            </w:pPr>
          </w:p>
        </w:tc>
        <w:tc>
          <w:tcPr>
            <w:tcW w:w="20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900" w:type="dxa"/>
            <w:vMerge w:val="continue"/>
            <w:tcBorders>
              <w:tl2br w:val="nil"/>
              <w:tr2bl w:val="nil"/>
            </w:tcBorders>
            <w:noWrap w:val="0"/>
            <w:vAlign w:val="center"/>
          </w:tcPr>
          <w:p>
            <w:pPr>
              <w:jc w:val="both"/>
              <w:rPr>
                <w:lang w:val="en-US" w:eastAsia="zh-CN"/>
              </w:rPr>
            </w:pPr>
          </w:p>
        </w:tc>
        <w:tc>
          <w:tcPr>
            <w:tcW w:w="114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类</w:t>
            </w:r>
          </w:p>
        </w:tc>
        <w:tc>
          <w:tcPr>
            <w:tcW w:w="22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款</w:t>
            </w:r>
          </w:p>
        </w:tc>
        <w:tc>
          <w:tcPr>
            <w:tcW w:w="22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项</w:t>
            </w:r>
          </w:p>
        </w:tc>
        <w:tc>
          <w:tcPr>
            <w:tcW w:w="20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栏次</w:t>
            </w:r>
          </w:p>
        </w:tc>
        <w:tc>
          <w:tcPr>
            <w:tcW w:w="9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1</w:t>
            </w:r>
          </w:p>
        </w:tc>
        <w:tc>
          <w:tcPr>
            <w:tcW w:w="9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2</w:t>
            </w:r>
          </w:p>
        </w:tc>
        <w:tc>
          <w:tcPr>
            <w:tcW w:w="9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3</w:t>
            </w:r>
          </w:p>
        </w:tc>
        <w:tc>
          <w:tcPr>
            <w:tcW w:w="9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4</w:t>
            </w:r>
          </w:p>
        </w:tc>
        <w:tc>
          <w:tcPr>
            <w:tcW w:w="9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5</w:t>
            </w:r>
          </w:p>
        </w:tc>
        <w:tc>
          <w:tcPr>
            <w:tcW w:w="114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vMerge w:val="continue"/>
            <w:tcBorders>
              <w:tl2br w:val="nil"/>
              <w:tr2bl w:val="nil"/>
            </w:tcBorders>
            <w:noWrap w:val="0"/>
            <w:vAlign w:val="center"/>
          </w:tcPr>
          <w:p>
            <w:pPr>
              <w:jc w:val="both"/>
              <w:rPr>
                <w:lang w:val="en-US" w:eastAsia="zh-CN"/>
              </w:rPr>
            </w:pPr>
          </w:p>
        </w:tc>
        <w:tc>
          <w:tcPr>
            <w:tcW w:w="220" w:type="dxa"/>
            <w:vMerge w:val="continue"/>
            <w:tcBorders>
              <w:tl2br w:val="nil"/>
              <w:tr2bl w:val="nil"/>
            </w:tcBorders>
            <w:noWrap w:val="0"/>
            <w:vAlign w:val="center"/>
          </w:tcPr>
          <w:p>
            <w:pPr>
              <w:jc w:val="both"/>
              <w:rPr>
                <w:lang w:val="en-US" w:eastAsia="zh-CN"/>
              </w:rPr>
            </w:pPr>
          </w:p>
        </w:tc>
        <w:tc>
          <w:tcPr>
            <w:tcW w:w="220" w:type="dxa"/>
            <w:vMerge w:val="continue"/>
            <w:tcBorders>
              <w:tl2br w:val="nil"/>
              <w:tr2bl w:val="nil"/>
            </w:tcBorders>
            <w:noWrap w:val="0"/>
            <w:vAlign w:val="center"/>
          </w:tcPr>
          <w:p>
            <w:pPr>
              <w:jc w:val="both"/>
              <w:rPr>
                <w:lang w:val="en-US" w:eastAsia="zh-CN"/>
              </w:rPr>
            </w:pPr>
          </w:p>
        </w:tc>
        <w:tc>
          <w:tcPr>
            <w:tcW w:w="20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合计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4,708.63</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1,101.21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3,607.42</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一般公共服务支出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1,296.55</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764.24</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532.31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人大事务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288.40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125.94</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162.47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2010101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132.01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125.94</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6.07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2010199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其他人大事务支出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156.39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156.39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20103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政府办公厅（室）及相关机构事务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1,002.70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638.30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364.40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2010301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1,002.70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638.30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364.40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5.45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5.45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2019999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其他一般公共服务支出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5.45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5.45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207</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文化旅游体育与传媒支出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11.71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11.71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20701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文化和旅游</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2.46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2.46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2070101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2.46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2.46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20799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其他文化旅游体育与传媒支出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9.25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9.25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2079999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其他文化旅游体育与传媒支出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9.25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9.25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社会保障和就业支出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342.38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170.72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171.66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人力资源和社会保障管理事务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31.70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18.14</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13.56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2080101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31.70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18.14</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13.56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民政管理事务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53.43</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35.52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17.91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2080299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其他民政管理事务支出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53.43</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35.52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17.91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行政事业单位养老支出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101.46</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87.57</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13.89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2080501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行政单位离退休</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6.30</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6.30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2080505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机关事业单位基本养老保险缴费支出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68.62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68.62</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2080599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其他行政事业单位养老支出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26.54</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12.65</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13.89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20807</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就业补助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125.57</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27.11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98.46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2080705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公益性岗位补贴</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66.66</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4.13</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62.53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2080799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其他就业补助支出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58.91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22.98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35.93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20810</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社会福利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2081006</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养老服务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20819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最低生活保障</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2081901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城市最低生活保障金支出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20820</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临时救助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2082001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临时救助支出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20821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特困人员救助供养</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2082102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农村特困人员救助供养支出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3.21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2.38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0.83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2089999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其他社会保障和就业支出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3.21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2.38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0.83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210</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卫生健康支出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37.27</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37.27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21011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行政事业单位医疗</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37.27</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37.27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2101101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行政单位医疗</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21.48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21.48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2101103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公务员医疗补助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15.79</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15.79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节能环保支出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21199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其他节能环保支出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2119999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其他节能环保支出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城乡社区支出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155.78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155.00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城乡社区管理事务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3.31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2120101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行政运行</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3.31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0.78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2.53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城乡社区公共设施</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55.33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55.33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2120303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小城镇基础设施建设</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55.33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55.33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21208</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2120804</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农村基础设施建设支出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22.33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22.33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2120899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74.81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74.81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农林水支出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1,197.21</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69.32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1,127.89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农业农村</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76.72</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76.72</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2130106</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科技转化与推广服务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2130108</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病虫害控制</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2130109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农产品质量安全</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2130122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农业生产发展</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2130135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农业生态资源保护</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3.41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3.41</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2130153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耕地建设与利用</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12.34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12.34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2130199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其他农业农村支出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27.20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27.20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林业和草原</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202.18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202.18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2130205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森林资源培育</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70.97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70.97</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2130209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森林生态效益补偿</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0.44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0.44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2130234</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林业草原防灾减灾</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35.94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35.94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2130299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其他林业和草原支出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94.82</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94.82</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21303</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水利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2130316</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农村水利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巩固脱贫攻坚成果衔接乡村振兴</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572.66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572.66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2130502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一般行政管理事务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6.34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6.34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2130504</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农村基础设施建设</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497.59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497.59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2130505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生产发展</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56.43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56.43</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2130599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其他巩固脱贫攻坚成果衔接乡村振兴支出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12.30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12.30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21307</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农村综合改革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139.16</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69.32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69.84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2130705</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对村民委员会和村党支部的补助</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139.16</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69.32</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69.84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其他农林水支出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199.50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199.50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2139999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其他农林水支出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199.50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199.50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220</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自然资源海洋气象等支出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22001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自然资源事务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2200199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其他自然资源事务支出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20.00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住房保障支出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58.88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58.88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22102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住房改革支出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58.88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58.88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2210201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住房公积金</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58.88</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58.88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灾害防治及应急管理支出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29.35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29.35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22401</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应急管理事务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17.56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17.56</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2240104</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灾害风险防治</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1.00</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2240106</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安全监管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2.88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2.88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2240109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应急管理</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13.68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13.68</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消防救援事务</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11.79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11.79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2240299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其他消防救援事务支出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11.79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11.79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1,534.49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1,534.49</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22904</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其他政府性基金及对应专项债务收入安排的支出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2290402</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其他地方自行试点项目收益专项债券收入安排的支出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917.55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917.55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44" w:hRule="exact"/>
          <w:jc w:val="center"/>
        </w:trPr>
        <w:tc>
          <w:tcPr>
            <w:tcW w:w="2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2299999</w:t>
            </w:r>
          </w:p>
        </w:tc>
        <w:tc>
          <w:tcPr>
            <w:tcW w:w="20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917.55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917.55</w:t>
            </w:r>
          </w:p>
        </w:tc>
        <w:tc>
          <w:tcPr>
            <w:tcW w:w="900" w:type="dxa"/>
            <w:tcBorders>
              <w:tl2br w:val="nil"/>
              <w:tr2bl w:val="nil"/>
            </w:tcBorders>
            <w:noWrap w:val="0"/>
            <w:vAlign w:val="center"/>
          </w:tcPr>
          <w:p>
            <w:pPr>
              <w:jc w:val="both"/>
              <w:rPr>
                <w:lang w:val="en-US" w:eastAsia="zh-CN"/>
              </w:rPr>
            </w:pPr>
          </w:p>
        </w:tc>
        <w:tc>
          <w:tcPr>
            <w:tcW w:w="900" w:type="dxa"/>
            <w:tcBorders>
              <w:tl2br w:val="nil"/>
              <w:tr2bl w:val="nil"/>
            </w:tcBorders>
            <w:noWrap w:val="0"/>
            <w:vAlign w:val="center"/>
          </w:tcPr>
          <w:p>
            <w:pPr>
              <w:jc w:val="both"/>
              <w:rPr>
                <w:lang w:val="en-US" w:eastAsia="zh-CN"/>
              </w:rPr>
            </w:pPr>
          </w:p>
        </w:tc>
        <w:tc>
          <w:tcPr>
            <w:tcW w:w="114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4" w:hRule="exact"/>
          <w:jc w:val="center"/>
        </w:trPr>
        <w:tc>
          <w:tcPr>
            <w:tcW w:w="220" w:type="dxa"/>
            <w:gridSpan w:val="10"/>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注：本表反映部门（单位）本年度各项支出情况。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5979" w:type="dxa"/>
            <w:gridSpan w:val="3"/>
            <w:noWrap w:val="0"/>
            <w:vAlign w:val="top"/>
          </w:tcPr>
          <w:p>
            <w:pPr>
              <w:jc w:val="right"/>
              <w:rPr>
                <w:lang w:val="en-US" w:eastAsia="zh-CN"/>
              </w:rPr>
            </w:pPr>
            <w:r>
              <w:rPr>
                <w:rFonts w:ascii="宋体" w:hAnsi="宋体" w:eastAsia="宋体" w:cs="宋体"/>
                <w:sz w:val="20"/>
                <w:lang w:val="en-US" w:eastAsia="zh-CN"/>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left w:w="80" w:type="dxa"/>
            <w:right w:w="80" w:type="dxa"/>
          </w:tblCellMar>
        </w:tblPrEx>
        <w:trPr>
          <w:wBefore w:w="0" w:type="dxa"/>
          <w:wAfter w:w="0" w:type="dxa"/>
          <w:trHeight w:val="0" w:hRule="atLeast"/>
          <w:jc w:val="center"/>
        </w:trPr>
        <w:tc>
          <w:tcPr>
            <w:tcW w:w="5979"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5979"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500"/>
        <w:gridCol w:w="400"/>
        <w:gridCol w:w="1600"/>
        <w:gridCol w:w="2700"/>
        <w:gridCol w:w="400"/>
        <w:gridCol w:w="1600"/>
        <w:gridCol w:w="1600"/>
        <w:gridCol w:w="1600"/>
        <w:gridCol w:w="15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gridSpan w:val="3"/>
            <w:noWrap w:val="0"/>
            <w:vAlign w:val="center"/>
          </w:tcPr>
          <w:p>
            <w:pPr>
              <w:jc w:val="center"/>
              <w:rPr>
                <w:lang w:val="en-US" w:eastAsia="zh-CN"/>
              </w:rPr>
            </w:pPr>
            <w:r>
              <w:rPr>
                <w:rFonts w:ascii="宋体" w:hAnsi="宋体" w:eastAsia="宋体" w:cs="宋体"/>
                <w:b w:val="0"/>
                <w:i w:val="0"/>
                <w:color w:val="000000"/>
                <w:sz w:val="16"/>
                <w:lang w:val="en-US" w:eastAsia="zh-CN"/>
              </w:rPr>
              <w:t>收     入</w:t>
            </w:r>
          </w:p>
        </w:tc>
        <w:tc>
          <w:tcPr>
            <w:tcW w:w="2700" w:type="dxa"/>
            <w:gridSpan w:val="6"/>
            <w:noWrap w:val="0"/>
            <w:vAlign w:val="center"/>
          </w:tcPr>
          <w:p>
            <w:pPr>
              <w:jc w:val="center"/>
              <w:rPr>
                <w:lang w:val="en-US" w:eastAsia="zh-CN"/>
              </w:rPr>
            </w:pPr>
            <w:r>
              <w:rPr>
                <w:rFonts w:ascii="宋体" w:hAnsi="宋体" w:eastAsia="宋体" w:cs="宋体"/>
                <w:b w:val="0"/>
                <w:i w:val="0"/>
                <w:color w:val="000000"/>
                <w:sz w:val="16"/>
                <w:lang w:val="en-US" w:eastAsia="zh-CN"/>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41" w:hRule="exact"/>
          <w:jc w:val="center"/>
        </w:trPr>
        <w:tc>
          <w:tcPr>
            <w:tcW w:w="25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项    目</w:t>
            </w:r>
          </w:p>
        </w:tc>
        <w:tc>
          <w:tcPr>
            <w:tcW w:w="4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金额</w:t>
            </w:r>
          </w:p>
        </w:tc>
        <w:tc>
          <w:tcPr>
            <w:tcW w:w="27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项目（按功能分类）</w:t>
            </w:r>
          </w:p>
        </w:tc>
        <w:tc>
          <w:tcPr>
            <w:tcW w:w="4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行次</w:t>
            </w:r>
          </w:p>
        </w:tc>
        <w:tc>
          <w:tcPr>
            <w:tcW w:w="16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合计</w:t>
            </w:r>
          </w:p>
        </w:tc>
        <w:tc>
          <w:tcPr>
            <w:tcW w:w="16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一般公共预算财政拨款</w:t>
            </w:r>
          </w:p>
        </w:tc>
        <w:tc>
          <w:tcPr>
            <w:tcW w:w="160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政府性基金预算财政拨款</w:t>
            </w:r>
          </w:p>
        </w:tc>
        <w:tc>
          <w:tcPr>
            <w:tcW w:w="1558"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614" w:hRule="exact"/>
          <w:jc w:val="center"/>
        </w:trPr>
        <w:tc>
          <w:tcPr>
            <w:tcW w:w="2500" w:type="dxa"/>
            <w:vMerge w:val="continue"/>
            <w:tcBorders>
              <w:tl2br w:val="nil"/>
              <w:tr2bl w:val="nil"/>
            </w:tcBorders>
            <w:noWrap w:val="0"/>
            <w:vAlign w:val="center"/>
          </w:tcPr>
          <w:p>
            <w:pPr>
              <w:jc w:val="both"/>
              <w:rPr>
                <w:lang w:val="en-US" w:eastAsia="zh-CN"/>
              </w:rPr>
            </w:pPr>
          </w:p>
        </w:tc>
        <w:tc>
          <w:tcPr>
            <w:tcW w:w="400" w:type="dxa"/>
            <w:vMerge w:val="continue"/>
            <w:tcBorders>
              <w:tl2br w:val="nil"/>
              <w:tr2bl w:val="nil"/>
            </w:tcBorders>
            <w:noWrap w:val="0"/>
            <w:vAlign w:val="center"/>
          </w:tcPr>
          <w:p>
            <w:pPr>
              <w:jc w:val="both"/>
              <w:rPr>
                <w:lang w:val="en-US" w:eastAsia="zh-CN"/>
              </w:rPr>
            </w:pPr>
          </w:p>
        </w:tc>
        <w:tc>
          <w:tcPr>
            <w:tcW w:w="1600" w:type="dxa"/>
            <w:vMerge w:val="continue"/>
            <w:tcBorders>
              <w:tl2br w:val="nil"/>
              <w:tr2bl w:val="nil"/>
            </w:tcBorders>
            <w:noWrap w:val="0"/>
            <w:vAlign w:val="center"/>
          </w:tcPr>
          <w:p>
            <w:pPr>
              <w:jc w:val="both"/>
              <w:rPr>
                <w:lang w:val="en-US" w:eastAsia="zh-CN"/>
              </w:rPr>
            </w:pPr>
          </w:p>
        </w:tc>
        <w:tc>
          <w:tcPr>
            <w:tcW w:w="2700" w:type="dxa"/>
            <w:vMerge w:val="continue"/>
            <w:tcBorders>
              <w:tl2br w:val="nil"/>
              <w:tr2bl w:val="nil"/>
            </w:tcBorders>
            <w:noWrap w:val="0"/>
            <w:vAlign w:val="center"/>
          </w:tcPr>
          <w:p>
            <w:pPr>
              <w:jc w:val="both"/>
              <w:rPr>
                <w:lang w:val="en-US" w:eastAsia="zh-CN"/>
              </w:rPr>
            </w:pPr>
          </w:p>
        </w:tc>
        <w:tc>
          <w:tcPr>
            <w:tcW w:w="400" w:type="dxa"/>
            <w:vMerge w:val="continue"/>
            <w:tcBorders>
              <w:tl2br w:val="nil"/>
              <w:tr2bl w:val="nil"/>
            </w:tcBorders>
            <w:noWrap w:val="0"/>
            <w:vAlign w:val="center"/>
          </w:tcPr>
          <w:p>
            <w:pPr>
              <w:jc w:val="both"/>
              <w:rPr>
                <w:lang w:val="en-US" w:eastAsia="zh-CN"/>
              </w:rPr>
            </w:pPr>
          </w:p>
        </w:tc>
        <w:tc>
          <w:tcPr>
            <w:tcW w:w="1600" w:type="dxa"/>
            <w:vMerge w:val="continue"/>
            <w:tcBorders>
              <w:tl2br w:val="nil"/>
              <w:tr2bl w:val="nil"/>
            </w:tcBorders>
            <w:noWrap w:val="0"/>
            <w:vAlign w:val="center"/>
          </w:tcPr>
          <w:p>
            <w:pPr>
              <w:jc w:val="both"/>
              <w:rPr>
                <w:lang w:val="en-US" w:eastAsia="zh-CN"/>
              </w:rPr>
            </w:pPr>
          </w:p>
        </w:tc>
        <w:tc>
          <w:tcPr>
            <w:tcW w:w="1600" w:type="dxa"/>
            <w:vMerge w:val="continue"/>
            <w:tcBorders>
              <w:tl2br w:val="nil"/>
              <w:tr2bl w:val="nil"/>
            </w:tcBorders>
            <w:noWrap w:val="0"/>
            <w:vAlign w:val="center"/>
          </w:tcPr>
          <w:p>
            <w:pPr>
              <w:jc w:val="both"/>
              <w:rPr>
                <w:lang w:val="en-US" w:eastAsia="zh-CN"/>
              </w:rPr>
            </w:pPr>
          </w:p>
        </w:tc>
        <w:tc>
          <w:tcPr>
            <w:tcW w:w="1600" w:type="dxa"/>
            <w:vMerge w:val="continue"/>
            <w:tcBorders>
              <w:tl2br w:val="nil"/>
              <w:tr2bl w:val="nil"/>
            </w:tcBorders>
            <w:noWrap w:val="0"/>
            <w:vAlign w:val="center"/>
          </w:tcPr>
          <w:p>
            <w:pPr>
              <w:jc w:val="both"/>
              <w:rPr>
                <w:lang w:val="en-US" w:eastAsia="zh-CN"/>
              </w:rPr>
            </w:pPr>
          </w:p>
        </w:tc>
        <w:tc>
          <w:tcPr>
            <w:tcW w:w="1558"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w:t>
            </w:r>
          </w:p>
        </w:tc>
        <w:tc>
          <w:tcPr>
            <w:tcW w:w="27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栏    次</w:t>
            </w:r>
          </w:p>
        </w:tc>
        <w:tc>
          <w:tcPr>
            <w:tcW w:w="4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w:t>
            </w:r>
          </w:p>
        </w:tc>
        <w:tc>
          <w:tcPr>
            <w:tcW w:w="1558"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3,077.00</w:t>
            </w: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一、一般公共服务支出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33</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1,296.55</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1,296.55</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714.08</w:t>
            </w: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二、外交支出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34</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三、国防支出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35</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四、公共安全支出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36</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五、教育支出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37</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6</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六、科学技术支出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38</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7</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七、文化旅游体育与传媒支出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39</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11.71</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11.71</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8</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八、社会保障和就业支出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40</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342.38</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342.38</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9</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九、卫生健康支出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41</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37.27</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37.27</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10</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十、节能环保支出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42</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25.00</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25.00</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11</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十一、城乡社区支出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43</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155.78</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58.65</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97.14</w:t>
            </w: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12</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十二、农林水支出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44</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1,197.21</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1,197.21</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13</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十三、交通运输支出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45</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14</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十四、资源勘探工业信息等支出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46</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15</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十五、商业服务业等支出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47</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16</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十六、金融支出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48</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17</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十七、援助其他地区支出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49</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18</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十八、自然资源海洋气象等支出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50</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20.00</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20.00</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19</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十九、住房保障支出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51</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58.88</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58.88</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20</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二十、粮油物资储备支出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52</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21</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二十一、国有资本经营预算支出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53</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22</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二十二、灾害防治及应急管理支出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54</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29.35</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29.35</w:t>
            </w: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23</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二十三、其他支出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55</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616.94</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616.94</w:t>
            </w: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24</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二十四、债务还本支出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56</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25</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二十五、债务付息支出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57</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26</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二十六、抗疫特别国债安排的支出</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58</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center"/>
              <w:rPr>
                <w:lang w:val="en-US" w:eastAsia="zh-CN"/>
              </w:rPr>
            </w:pPr>
            <w:r>
              <w:rPr>
                <w:rFonts w:ascii="宋体" w:hAnsi="宋体" w:eastAsia="宋体" w:cs="宋体"/>
                <w:b/>
                <w:i w:val="0"/>
                <w:color w:val="000000"/>
                <w:sz w:val="16"/>
                <w:lang w:val="en-US" w:eastAsia="zh-CN"/>
              </w:rPr>
              <w:t>本年收入合计</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27</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3,791.08</w:t>
            </w:r>
          </w:p>
        </w:tc>
        <w:tc>
          <w:tcPr>
            <w:tcW w:w="2700" w:type="dxa"/>
            <w:tcBorders>
              <w:tl2br w:val="nil"/>
              <w:tr2bl w:val="nil"/>
            </w:tcBorders>
            <w:noWrap w:val="0"/>
            <w:vAlign w:val="center"/>
          </w:tcPr>
          <w:p>
            <w:pPr>
              <w:jc w:val="center"/>
              <w:rPr>
                <w:lang w:val="en-US" w:eastAsia="zh-CN"/>
              </w:rPr>
            </w:pPr>
            <w:r>
              <w:rPr>
                <w:rFonts w:ascii="宋体" w:hAnsi="宋体" w:eastAsia="宋体" w:cs="宋体"/>
                <w:b/>
                <w:i w:val="0"/>
                <w:color w:val="000000"/>
                <w:sz w:val="16"/>
                <w:lang w:val="en-US" w:eastAsia="zh-CN"/>
              </w:rPr>
              <w:t>本年支出合计</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59</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3,791.08</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3,077.00</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714.08</w:t>
            </w: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年初财政拨款结转和结余</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28</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年末财政拨款结转和结余</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60</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一、一般公共预算财政拨款</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29</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61</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二、政府性基金预算财政拨款</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30</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62</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三、国有资本经营预算财政拨款</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31</w:t>
            </w:r>
          </w:p>
        </w:tc>
        <w:tc>
          <w:tcPr>
            <w:tcW w:w="1600" w:type="dxa"/>
            <w:tcBorders>
              <w:tl2br w:val="nil"/>
              <w:tr2bl w:val="nil"/>
            </w:tcBorders>
            <w:noWrap w:val="0"/>
            <w:vAlign w:val="center"/>
          </w:tcPr>
          <w:p>
            <w:pPr>
              <w:jc w:val="both"/>
              <w:rPr>
                <w:lang w:val="en-US" w:eastAsia="zh-CN"/>
              </w:rPr>
            </w:pPr>
          </w:p>
        </w:tc>
        <w:tc>
          <w:tcPr>
            <w:tcW w:w="2700" w:type="dxa"/>
            <w:tcBorders>
              <w:tl2br w:val="nil"/>
              <w:tr2bl w:val="nil"/>
            </w:tcBorders>
            <w:noWrap w:val="0"/>
            <w:vAlign w:val="center"/>
          </w:tcPr>
          <w:p>
            <w:pPr>
              <w:jc w:val="both"/>
              <w:rPr>
                <w:lang w:val="en-US" w:eastAsia="zh-CN"/>
              </w:rPr>
            </w:pP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63</w:t>
            </w: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600" w:type="dxa"/>
            <w:tcBorders>
              <w:tl2br w:val="nil"/>
              <w:tr2bl w:val="nil"/>
            </w:tcBorders>
            <w:noWrap w:val="0"/>
            <w:vAlign w:val="center"/>
          </w:tcPr>
          <w:p>
            <w:pPr>
              <w:jc w:val="both"/>
              <w:rPr>
                <w:lang w:val="en-US" w:eastAsia="zh-CN"/>
              </w:rPr>
            </w:pP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75" w:hRule="exact"/>
          <w:jc w:val="center"/>
        </w:trPr>
        <w:tc>
          <w:tcPr>
            <w:tcW w:w="2500" w:type="dxa"/>
            <w:tcBorders>
              <w:tl2br w:val="nil"/>
              <w:tr2bl w:val="nil"/>
            </w:tcBorders>
            <w:noWrap w:val="0"/>
            <w:vAlign w:val="center"/>
          </w:tcPr>
          <w:p>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32</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3,791.08</w:t>
            </w:r>
          </w:p>
        </w:tc>
        <w:tc>
          <w:tcPr>
            <w:tcW w:w="2700" w:type="dxa"/>
            <w:tcBorders>
              <w:tl2br w:val="nil"/>
              <w:tr2bl w:val="nil"/>
            </w:tcBorders>
            <w:noWrap w:val="0"/>
            <w:vAlign w:val="center"/>
          </w:tcPr>
          <w:p>
            <w:pPr>
              <w:jc w:val="center"/>
              <w:rPr>
                <w:lang w:val="en-US" w:eastAsia="zh-CN"/>
              </w:rPr>
            </w:pPr>
            <w:r>
              <w:rPr>
                <w:rFonts w:ascii="宋体" w:hAnsi="宋体" w:eastAsia="宋体" w:cs="宋体"/>
                <w:b/>
                <w:i w:val="0"/>
                <w:color w:val="000000"/>
                <w:sz w:val="16"/>
                <w:lang w:val="en-US" w:eastAsia="zh-CN"/>
              </w:rPr>
              <w:t>总计</w:t>
            </w:r>
          </w:p>
        </w:tc>
        <w:tc>
          <w:tcPr>
            <w:tcW w:w="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64</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3,791.08</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3,077.00</w:t>
            </w:r>
          </w:p>
        </w:tc>
        <w:tc>
          <w:tcPr>
            <w:tcW w:w="16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714.08</w:t>
            </w:r>
          </w:p>
        </w:tc>
        <w:tc>
          <w:tcPr>
            <w:tcW w:w="1558"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10" w:hRule="exact"/>
          <w:jc w:val="center"/>
        </w:trPr>
        <w:tc>
          <w:tcPr>
            <w:tcW w:w="2500" w:type="dxa"/>
            <w:gridSpan w:val="9"/>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6"/>
                <w:lang w:val="en-US" w:eastAsia="zh-CN"/>
              </w:rPr>
              <w:t>注：本表反映部门(单位)本年度一般公共预算财政拨款、政府性基金预算财政拨款和国有资本经营预算财政拨款的总收支和年末结转结余情况。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320"/>
        <w:gridCol w:w="340"/>
        <w:gridCol w:w="340"/>
        <w:gridCol w:w="3120"/>
        <w:gridCol w:w="1400"/>
        <w:gridCol w:w="1400"/>
        <w:gridCol w:w="13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4"/>
            <w:noWrap w:val="0"/>
            <w:vAlign w:val="center"/>
          </w:tcPr>
          <w:p>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pPr>
              <w:jc w:val="center"/>
              <w:rPr>
                <w:lang w:val="en-US" w:eastAsia="zh-CN"/>
              </w:rPr>
            </w:pPr>
            <w:r>
              <w:rPr>
                <w:rFonts w:ascii="宋体" w:hAnsi="宋体" w:eastAsia="宋体" w:cs="宋体"/>
                <w:b w:val="0"/>
                <w:i w:val="0"/>
                <w:color w:val="000000"/>
                <w:sz w:val="14"/>
                <w:lang w:val="en-US" w:eastAsia="zh-CN"/>
              </w:rPr>
              <w:t>本年支出合计</w:t>
            </w:r>
          </w:p>
        </w:tc>
        <w:tc>
          <w:tcPr>
            <w:tcW w:w="1400" w:type="dxa"/>
            <w:vMerge w:val="restart"/>
            <w:noWrap w:val="0"/>
            <w:vAlign w:val="center"/>
          </w:tcPr>
          <w:p>
            <w:pPr>
              <w:jc w:val="center"/>
              <w:rPr>
                <w:lang w:val="en-US" w:eastAsia="zh-CN"/>
              </w:rPr>
            </w:pPr>
            <w:r>
              <w:rPr>
                <w:rFonts w:ascii="宋体" w:hAnsi="宋体" w:eastAsia="宋体" w:cs="宋体"/>
                <w:b w:val="0"/>
                <w:i w:val="0"/>
                <w:color w:val="000000"/>
                <w:sz w:val="14"/>
                <w:lang w:val="en-US" w:eastAsia="zh-CN"/>
              </w:rPr>
              <w:t>基本支出</w:t>
            </w:r>
          </w:p>
        </w:tc>
        <w:tc>
          <w:tcPr>
            <w:tcW w:w="1386" w:type="dxa"/>
            <w:vMerge w:val="restart"/>
            <w:noWrap w:val="0"/>
            <w:vAlign w:val="center"/>
          </w:tcPr>
          <w:p>
            <w:pPr>
              <w:jc w:val="center"/>
              <w:rPr>
                <w:lang w:val="en-US" w:eastAsia="zh-CN"/>
              </w:rPr>
            </w:pPr>
            <w:r>
              <w:rPr>
                <w:rFonts w:ascii="宋体" w:hAnsi="宋体" w:eastAsia="宋体" w:cs="宋体"/>
                <w:b w:val="0"/>
                <w:i w:val="0"/>
                <w:color w:val="000000"/>
                <w:sz w:val="14"/>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98" w:hRule="exact"/>
          <w:jc w:val="center"/>
        </w:trPr>
        <w:tc>
          <w:tcPr>
            <w:tcW w:w="320" w:type="dxa"/>
            <w:gridSpan w:val="3"/>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支出功能分类科目编码</w:t>
            </w:r>
          </w:p>
        </w:tc>
        <w:tc>
          <w:tcPr>
            <w:tcW w:w="312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38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69" w:hRule="exact"/>
          <w:jc w:val="center"/>
        </w:trPr>
        <w:tc>
          <w:tcPr>
            <w:tcW w:w="320" w:type="dxa"/>
            <w:gridSpan w:val="3"/>
            <w:vMerge w:val="continue"/>
            <w:tcBorders>
              <w:tl2br w:val="nil"/>
              <w:tr2bl w:val="nil"/>
            </w:tcBorders>
            <w:noWrap w:val="0"/>
            <w:vAlign w:val="center"/>
          </w:tcPr>
          <w:p>
            <w:pPr>
              <w:jc w:val="both"/>
              <w:rPr>
                <w:lang w:val="en-US" w:eastAsia="zh-CN"/>
              </w:rPr>
            </w:pPr>
          </w:p>
        </w:tc>
        <w:tc>
          <w:tcPr>
            <w:tcW w:w="312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38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98" w:hRule="exact"/>
          <w:jc w:val="center"/>
        </w:trPr>
        <w:tc>
          <w:tcPr>
            <w:tcW w:w="320" w:type="dxa"/>
            <w:gridSpan w:val="3"/>
            <w:vMerge w:val="continue"/>
            <w:tcBorders>
              <w:tl2br w:val="nil"/>
              <w:tr2bl w:val="nil"/>
            </w:tcBorders>
            <w:noWrap w:val="0"/>
            <w:vAlign w:val="center"/>
          </w:tcPr>
          <w:p>
            <w:pPr>
              <w:jc w:val="both"/>
              <w:rPr>
                <w:lang w:val="en-US" w:eastAsia="zh-CN"/>
              </w:rPr>
            </w:pPr>
          </w:p>
        </w:tc>
        <w:tc>
          <w:tcPr>
            <w:tcW w:w="312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38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项</w:t>
            </w:r>
          </w:p>
        </w:tc>
        <w:tc>
          <w:tcPr>
            <w:tcW w:w="31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2</w:t>
            </w:r>
          </w:p>
        </w:tc>
        <w:tc>
          <w:tcPr>
            <w:tcW w:w="138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98" w:hRule="exact"/>
          <w:jc w:val="center"/>
        </w:trPr>
        <w:tc>
          <w:tcPr>
            <w:tcW w:w="320" w:type="dxa"/>
            <w:vMerge w:val="continue"/>
            <w:tcBorders>
              <w:tl2br w:val="nil"/>
              <w:tr2bl w:val="nil"/>
            </w:tcBorders>
            <w:noWrap w:val="0"/>
            <w:vAlign w:val="center"/>
          </w:tcPr>
          <w:p>
            <w:pPr>
              <w:jc w:val="both"/>
              <w:rPr>
                <w:lang w:val="en-US" w:eastAsia="zh-CN"/>
              </w:rPr>
            </w:pPr>
          </w:p>
        </w:tc>
        <w:tc>
          <w:tcPr>
            <w:tcW w:w="340" w:type="dxa"/>
            <w:vMerge w:val="continue"/>
            <w:tcBorders>
              <w:tl2br w:val="nil"/>
              <w:tr2bl w:val="nil"/>
            </w:tcBorders>
            <w:noWrap w:val="0"/>
            <w:vAlign w:val="center"/>
          </w:tcPr>
          <w:p>
            <w:pPr>
              <w:jc w:val="both"/>
              <w:rPr>
                <w:lang w:val="en-US" w:eastAsia="zh-CN"/>
              </w:rPr>
            </w:pPr>
          </w:p>
        </w:tc>
        <w:tc>
          <w:tcPr>
            <w:tcW w:w="340" w:type="dxa"/>
            <w:vMerge w:val="continue"/>
            <w:tcBorders>
              <w:tl2br w:val="nil"/>
              <w:tr2bl w:val="nil"/>
            </w:tcBorders>
            <w:noWrap w:val="0"/>
            <w:vAlign w:val="center"/>
          </w:tcPr>
          <w:p>
            <w:pPr>
              <w:jc w:val="both"/>
              <w:rPr>
                <w:lang w:val="en-US" w:eastAsia="zh-CN"/>
              </w:rPr>
            </w:pPr>
          </w:p>
        </w:tc>
        <w:tc>
          <w:tcPr>
            <w:tcW w:w="31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3,077.00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1,101.21</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1,975.80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一般公共服务支出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1,296.55</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764.24</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532.31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人大事务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288.40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125.94</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162.47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2010101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132.01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125.94</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2010199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其他人大事务支出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156.39</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156.39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20103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政府办公厅（室）及相关机构事务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1,002.70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638.30</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364.40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2010301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1,002.70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638.30</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364.40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其他一般公共服务支出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5.45</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2019999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其他一般公共服务支出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5.45</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207</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文化旅游体育与传媒支出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11.71</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20701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文化和旅游</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2.46</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2070101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2.46</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20799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其他文化旅游体育与传媒支出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9.25</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2079999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其他文化旅游体育与传媒支出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9.25</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社会保障和就业支出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342.38</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170.72</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171.66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人力资源和社会保障管理事务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31.70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18.14</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2080101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31.70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18.14</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民政管理事务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53.43</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35.52</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17.91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2080299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其他民政管理事务支出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53.43</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35.52</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17.91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行政事业单位养老支出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101.46</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87.57</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2080501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行政单位离退休</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6.30</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6.30</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2080505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机关事业单位基本养老保险缴费支出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68.62</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68.62</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2080599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其他行政事业单位养老支出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26.54</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12.65</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20807</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就业补助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125.57</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27.11</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98.46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2080705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公益性岗位补贴</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66.66</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4.13</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62.53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2080799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其他就业补助支出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58.91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22.98</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35.93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20810</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社会福利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2081006</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养老服务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20819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最低生活保障</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2081901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城市最低生活保障金支出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20820</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临时救助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2082001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临时救助支出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20821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特困人员救助供养</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2.01</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2082102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农村特困人员救助供养支出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2.01</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3.21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2.38</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2089999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其他社会保障和就业支出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3.21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2.38</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210</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卫生健康支出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37.27</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37.27</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21011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行政事业单位医疗</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37.27</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37.27</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2101101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行政单位医疗</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21.48</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21.48</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2101103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公务员医疗补助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15.79</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15.79</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节能环保支出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21199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其他节能环保支出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2119999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其他节能环保支出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城乡社区支出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58.65</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57.87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21201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城乡社区管理事务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3.31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2120101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行政运行</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3.31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0.78</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21203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城乡社区公共设施</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55.33</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55.33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2120303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小城镇基础设施建设</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55.33</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55.33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农林水支出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1,197.21</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69.32</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1,127.89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农业农村</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76.72</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76.72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2130106</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科技转化与推广服务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1.37</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2130108</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病虫害控制</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22.00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22.00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2130109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农产品质量安全</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2130122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农业生产发展</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7.40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2130135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农业生态资源保护</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3.41</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2130153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耕地建设与利用</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12.34</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2130199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其他农业农村支出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27.20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27.20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林业和草原</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202.18</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202.18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2130205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森林资源培育</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70.97</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70.97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2130209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森林生态效益补偿</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0.44</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0.44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2130234</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林业草原防灾减灾</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35.94</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35.94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2130299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其他林业和草原支出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94.82</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94.82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21303</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水利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6.99</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2130316</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农村水利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6.99</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巩固脱贫攻坚成果衔接乡村振兴</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572.66</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572.66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2130502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一般行政管理事务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6.34</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2130504</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农村基础设施建设</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497.59</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497.59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2130505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生产发展</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56.43</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56.43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2130599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其他巩固脱贫攻坚成果衔接乡村振兴支出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12.30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12.30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21307</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农村综合改革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139.16</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69.32</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2130705</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对村民委员会和村党支部的补助</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139.16</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69.32</w:t>
            </w: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69.84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其他农林水支出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199.50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199.50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2139999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其他农林水支出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199.50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199.50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220</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自然资源海洋气象等支出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22001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自然资源事务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2200199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其他自然资源事务支出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住房保障支出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58.88</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58.88</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22102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住房改革支出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58.88</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58.88</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2210201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住房公积金</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58.88</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58.88</w:t>
            </w:r>
          </w:p>
        </w:tc>
        <w:tc>
          <w:tcPr>
            <w:tcW w:w="13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灾害防治及应急管理支出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29.35</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29.35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22401</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应急管理事务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17.56</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17.56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2240104</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灾害风险防治</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2240106</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安全监管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2.88</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2.88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2240109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应急管理</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13.68</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13.68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22402</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消防救援事务</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11.79</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2240299</w:t>
            </w:r>
          </w:p>
        </w:tc>
        <w:tc>
          <w:tcPr>
            <w:tcW w:w="31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其他消防救援事务支出</w:t>
            </w:r>
          </w:p>
        </w:tc>
        <w:tc>
          <w:tcPr>
            <w:tcW w:w="140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11.79</w:t>
            </w:r>
          </w:p>
        </w:tc>
        <w:tc>
          <w:tcPr>
            <w:tcW w:w="1400" w:type="dxa"/>
            <w:tcBorders>
              <w:tl2br w:val="nil"/>
              <w:tr2bl w:val="nil"/>
            </w:tcBorders>
            <w:noWrap w:val="0"/>
            <w:vAlign w:val="center"/>
          </w:tcPr>
          <w:p>
            <w:pPr>
              <w:jc w:val="both"/>
              <w:rPr>
                <w:lang w:val="en-US" w:eastAsia="zh-CN"/>
              </w:rPr>
            </w:pPr>
          </w:p>
        </w:tc>
        <w:tc>
          <w:tcPr>
            <w:tcW w:w="13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4"/>
                <w:lang w:val="en-US" w:eastAsia="zh-CN"/>
              </w:rPr>
              <w:t>11.79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28" w:hRule="exact"/>
          <w:jc w:val="center"/>
        </w:trPr>
        <w:tc>
          <w:tcPr>
            <w:tcW w:w="320" w:type="dxa"/>
            <w:gridSpan w:val="7"/>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注：本表反映部门(单位)本年度一般公共预算财政拨款支出情况。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580"/>
        <w:gridCol w:w="1340"/>
        <w:gridCol w:w="840"/>
        <w:gridCol w:w="580"/>
        <w:gridCol w:w="940"/>
        <w:gridCol w:w="840"/>
        <w:gridCol w:w="620"/>
        <w:gridCol w:w="1760"/>
        <w:gridCol w:w="8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23" w:hRule="exact"/>
          <w:jc w:val="center"/>
        </w:trPr>
        <w:tc>
          <w:tcPr>
            <w:tcW w:w="580" w:type="dxa"/>
            <w:gridSpan w:val="3"/>
            <w:noWrap w:val="0"/>
            <w:vAlign w:val="center"/>
          </w:tcPr>
          <w:p>
            <w:pPr>
              <w:jc w:val="center"/>
              <w:rPr>
                <w:lang w:val="en-US" w:eastAsia="zh-CN"/>
              </w:rPr>
            </w:pPr>
            <w:r>
              <w:rPr>
                <w:rFonts w:ascii="宋体" w:hAnsi="宋体" w:eastAsia="宋体" w:cs="宋体"/>
                <w:b w:val="0"/>
                <w:i w:val="0"/>
                <w:color w:val="000000"/>
                <w:sz w:val="8"/>
                <w:lang w:val="en-US" w:eastAsia="zh-CN"/>
              </w:rPr>
              <w:t>人员经费</w:t>
            </w:r>
          </w:p>
        </w:tc>
        <w:tc>
          <w:tcPr>
            <w:tcW w:w="580" w:type="dxa"/>
            <w:gridSpan w:val="6"/>
            <w:noWrap w:val="0"/>
            <w:vAlign w:val="center"/>
          </w:tcPr>
          <w:p>
            <w:pPr>
              <w:jc w:val="center"/>
              <w:rPr>
                <w:lang w:val="en-US" w:eastAsia="zh-CN"/>
              </w:rPr>
            </w:pPr>
            <w:r>
              <w:rPr>
                <w:rFonts w:ascii="宋体" w:hAnsi="宋体" w:eastAsia="宋体" w:cs="宋体"/>
                <w:b w:val="0"/>
                <w:i w:val="0"/>
                <w:color w:val="000000"/>
                <w:sz w:val="8"/>
                <w:lang w:val="en-US" w:eastAsia="zh-CN"/>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535" w:hRule="exact"/>
          <w:jc w:val="center"/>
        </w:trPr>
        <w:tc>
          <w:tcPr>
            <w:tcW w:w="58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13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金额</w:t>
            </w:r>
          </w:p>
        </w:tc>
        <w:tc>
          <w:tcPr>
            <w:tcW w:w="58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9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金额</w:t>
            </w:r>
          </w:p>
        </w:tc>
        <w:tc>
          <w:tcPr>
            <w:tcW w:w="62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经济分类科目编码</w:t>
            </w:r>
          </w:p>
        </w:tc>
        <w:tc>
          <w:tcPr>
            <w:tcW w:w="17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科目名称</w:t>
            </w:r>
          </w:p>
        </w:tc>
        <w:tc>
          <w:tcPr>
            <w:tcW w:w="80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301</w:t>
            </w:r>
          </w:p>
        </w:tc>
        <w:tc>
          <w:tcPr>
            <w:tcW w:w="134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工资福利支出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826.11</w:t>
            </w:r>
          </w:p>
        </w:tc>
        <w:tc>
          <w:tcPr>
            <w:tcW w:w="58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302</w:t>
            </w:r>
          </w:p>
        </w:tc>
        <w:tc>
          <w:tcPr>
            <w:tcW w:w="94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商品和服务支出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102.30</w:t>
            </w:r>
          </w:p>
        </w:tc>
        <w:tc>
          <w:tcPr>
            <w:tcW w:w="62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307</w:t>
            </w:r>
          </w:p>
        </w:tc>
        <w:tc>
          <w:tcPr>
            <w:tcW w:w="176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债务利息及费用支出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30101</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基本工资</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236.45</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30201</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办公费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7.10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30701</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国内债务付息</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30102</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津贴补贴</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30202</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印刷费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2.47</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30702</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国外债务付息</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30103</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奖金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39.98</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30203</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咨询费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30703</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国内债务发行费用</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30106</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伙食补助费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11.53</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30204</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手续费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30704</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国外债务发行费用</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30107</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绩效工资</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110.55</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30205</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水费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0.07</w:t>
            </w:r>
          </w:p>
        </w:tc>
        <w:tc>
          <w:tcPr>
            <w:tcW w:w="62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310</w:t>
            </w:r>
          </w:p>
        </w:tc>
        <w:tc>
          <w:tcPr>
            <w:tcW w:w="176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资本性支出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30108</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机关事业单位基本养老保险缴费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60.49</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30206</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电费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2.88</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31001</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房屋建筑物购建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30109</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职业年金缴费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40.29</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30207</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邮电费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31002</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办公设备购置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30110</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职工基本医疗保险缴费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55.12</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30208</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取暖费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31003</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专用设备购置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30111</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公务员医疗补助缴款</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30209</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物业管理费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31005</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基础设施建设</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30112</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其他社会保障缴费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26.86</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30211</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差旅费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1.18</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31006</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大型修缮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30113</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住房公积金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110.97</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30212</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因公出国（境）费用</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31007</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信息网络及软件购置更新</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30114</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医疗费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30213</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维修（护）费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4.27</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31008</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物资储备</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30199</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其他工资福利支出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133.87</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30214</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租赁费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31009</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土地补偿</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303</w:t>
            </w:r>
          </w:p>
        </w:tc>
        <w:tc>
          <w:tcPr>
            <w:tcW w:w="134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对个人和家庭的补助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172.80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30215</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会议费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31010</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安置补助</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30301</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离休费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30216</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培训费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310111</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地上附着物和青苗补偿</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30302</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退休费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6.30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30217</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公务接待费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4.55</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31012</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拆迁补偿</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30303</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退职（役）费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30218</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专用材料费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0.22</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31013</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公务用车购置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30304</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抚恤金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30224</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被装购置费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31019</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其他交通工具购置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30305</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生活补贴</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139.39</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30225</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专用燃料费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31021</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文物和陈列品购置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30306</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救济费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30226</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劳务费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7.39</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31022</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无形资产购置</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30307</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医疗费补助</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30227</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委托业务费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10.18</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31099</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其他资本性支出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30308</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助学金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30228</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工会经费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7.34</w:t>
            </w:r>
          </w:p>
        </w:tc>
        <w:tc>
          <w:tcPr>
            <w:tcW w:w="62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399</w:t>
            </w:r>
          </w:p>
        </w:tc>
        <w:tc>
          <w:tcPr>
            <w:tcW w:w="1760" w:type="dxa"/>
            <w:tcBorders>
              <w:tl2br w:val="nil"/>
              <w:tr2bl w:val="nil"/>
            </w:tcBorders>
            <w:noWrap w:val="0"/>
            <w:vAlign w:val="center"/>
          </w:tcPr>
          <w:p>
            <w:pPr>
              <w:jc w:val="left"/>
              <w:rPr>
                <w:lang w:val="en-US" w:eastAsia="zh-CN"/>
              </w:rPr>
            </w:pPr>
            <w:r>
              <w:rPr>
                <w:rFonts w:ascii="宋体" w:hAnsi="宋体" w:eastAsia="宋体" w:cs="宋体"/>
                <w:b/>
                <w:i w:val="0"/>
                <w:color w:val="000000"/>
                <w:sz w:val="8"/>
                <w:lang w:val="en-US" w:eastAsia="zh-CN"/>
              </w:rPr>
              <w:t>其他支出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30309</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奖励金</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30229</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福利费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39907</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国家赔偿费用支出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30310</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个人农业生产补贴</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5.85</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30231</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公务用车运行维护费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6.14</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39908</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对民间非营利组织和群众性自治组织补贴</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30311</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代缴社会保险费</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30239</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其他交通费用</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15.33</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39909</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经常性赠与</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30399</w:t>
            </w:r>
          </w:p>
        </w:tc>
        <w:tc>
          <w:tcPr>
            <w:tcW w:w="13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其他对个人和家庭的补助支出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21.26</w:t>
            </w: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30240</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税金及附加费用</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39910</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资本性赠与</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tcBorders>
              <w:tl2br w:val="nil"/>
              <w:tr2bl w:val="nil"/>
            </w:tcBorders>
            <w:noWrap w:val="0"/>
            <w:vAlign w:val="center"/>
          </w:tcPr>
          <w:p>
            <w:pPr>
              <w:jc w:val="both"/>
              <w:rPr>
                <w:lang w:val="en-US" w:eastAsia="zh-CN"/>
              </w:rPr>
            </w:pPr>
          </w:p>
        </w:tc>
        <w:tc>
          <w:tcPr>
            <w:tcW w:w="1340" w:type="dxa"/>
            <w:tcBorders>
              <w:tl2br w:val="nil"/>
              <w:tr2bl w:val="nil"/>
            </w:tcBorders>
            <w:noWrap w:val="0"/>
            <w:vAlign w:val="center"/>
          </w:tcPr>
          <w:p>
            <w:pPr>
              <w:jc w:val="both"/>
              <w:rPr>
                <w:lang w:val="en-US" w:eastAsia="zh-CN"/>
              </w:rPr>
            </w:pPr>
          </w:p>
        </w:tc>
        <w:tc>
          <w:tcPr>
            <w:tcW w:w="840" w:type="dxa"/>
            <w:tcBorders>
              <w:tl2br w:val="nil"/>
              <w:tr2bl w:val="nil"/>
            </w:tcBorders>
            <w:noWrap w:val="0"/>
            <w:vAlign w:val="center"/>
          </w:tcPr>
          <w:p>
            <w:pPr>
              <w:jc w:val="both"/>
              <w:rPr>
                <w:lang w:val="en-US" w:eastAsia="zh-CN"/>
              </w:rPr>
            </w:pPr>
          </w:p>
        </w:tc>
        <w:tc>
          <w:tcPr>
            <w:tcW w:w="5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30299</w:t>
            </w:r>
          </w:p>
        </w:tc>
        <w:tc>
          <w:tcPr>
            <w:tcW w:w="94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其他商品和服务支出</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23.19</w:t>
            </w:r>
          </w:p>
        </w:tc>
        <w:tc>
          <w:tcPr>
            <w:tcW w:w="62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39999</w:t>
            </w:r>
          </w:p>
        </w:tc>
        <w:tc>
          <w:tcPr>
            <w:tcW w:w="17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8"/>
                <w:lang w:val="en-US" w:eastAsia="zh-CN"/>
              </w:rPr>
              <w:t xml:space="preserve">  其他支出</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9" w:hRule="exact"/>
          <w:jc w:val="center"/>
        </w:trPr>
        <w:tc>
          <w:tcPr>
            <w:tcW w:w="580" w:type="dxa"/>
            <w:gridSpan w:val="2"/>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人员经费合计</w:t>
            </w:r>
          </w:p>
        </w:tc>
        <w:tc>
          <w:tcPr>
            <w:tcW w:w="8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998.90</w:t>
            </w:r>
          </w:p>
        </w:tc>
        <w:tc>
          <w:tcPr>
            <w:tcW w:w="580" w:type="dxa"/>
            <w:gridSpan w:val="5"/>
            <w:tcBorders>
              <w:tl2br w:val="nil"/>
              <w:tr2bl w:val="nil"/>
            </w:tcBorders>
            <w:noWrap w:val="0"/>
            <w:vAlign w:val="center"/>
          </w:tcPr>
          <w:p>
            <w:pPr>
              <w:jc w:val="center"/>
              <w:rPr>
                <w:lang w:val="en-US" w:eastAsia="zh-CN"/>
              </w:rPr>
            </w:pPr>
            <w:r>
              <w:rPr>
                <w:rFonts w:ascii="宋体" w:hAnsi="宋体" w:eastAsia="宋体" w:cs="宋体"/>
                <w:b w:val="0"/>
                <w:i w:val="0"/>
                <w:color w:val="000000"/>
                <w:sz w:val="8"/>
                <w:lang w:val="en-US" w:eastAsia="zh-CN"/>
              </w:rPr>
              <w:t>公用经费合计</w:t>
            </w:r>
          </w:p>
        </w:tc>
        <w:tc>
          <w:tcPr>
            <w:tcW w:w="80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8"/>
                <w:lang w:val="en-US" w:eastAsia="zh-CN"/>
              </w:rPr>
              <w:t>102.30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14" w:hRule="exact"/>
          <w:jc w:val="center"/>
        </w:trPr>
        <w:tc>
          <w:tcPr>
            <w:tcW w:w="580" w:type="dxa"/>
            <w:gridSpan w:val="9"/>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0"/>
                <w:lang w:val="en-US" w:eastAsia="zh-CN"/>
              </w:rPr>
              <w:t>注：本表反映部门(单位)本年度一般公共预算财政拨款基本支出明细情况。</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180"/>
        <w:gridCol w:w="180"/>
        <w:gridCol w:w="240"/>
        <w:gridCol w:w="2080"/>
        <w:gridCol w:w="940"/>
        <w:gridCol w:w="940"/>
        <w:gridCol w:w="940"/>
        <w:gridCol w:w="940"/>
        <w:gridCol w:w="94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4"/>
            <w:noWrap w:val="0"/>
            <w:vAlign w:val="center"/>
          </w:tcPr>
          <w:p>
            <w:pPr>
              <w:jc w:val="center"/>
              <w:rPr>
                <w:lang w:val="en-US" w:eastAsia="zh-CN"/>
              </w:rPr>
            </w:pPr>
            <w:r>
              <w:rPr>
                <w:rFonts w:ascii="宋体" w:hAnsi="宋体" w:eastAsia="宋体" w:cs="宋体"/>
                <w:b w:val="0"/>
                <w:i w:val="0"/>
                <w:color w:val="000000"/>
                <w:sz w:val="9"/>
                <w:lang w:val="en-US" w:eastAsia="zh-CN"/>
              </w:rPr>
              <w:t>项    目</w:t>
            </w:r>
          </w:p>
        </w:tc>
        <w:tc>
          <w:tcPr>
            <w:tcW w:w="94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年初结转和结余</w:t>
            </w:r>
          </w:p>
        </w:tc>
        <w:tc>
          <w:tcPr>
            <w:tcW w:w="940"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本年收入</w:t>
            </w:r>
          </w:p>
        </w:tc>
        <w:tc>
          <w:tcPr>
            <w:tcW w:w="940" w:type="dxa"/>
            <w:gridSpan w:val="3"/>
            <w:noWrap w:val="0"/>
            <w:vAlign w:val="center"/>
          </w:tcPr>
          <w:p>
            <w:pPr>
              <w:jc w:val="center"/>
              <w:rPr>
                <w:lang w:val="en-US" w:eastAsia="zh-CN"/>
              </w:rPr>
            </w:pPr>
            <w:r>
              <w:rPr>
                <w:rFonts w:ascii="宋体" w:hAnsi="宋体" w:eastAsia="宋体" w:cs="宋体"/>
                <w:b w:val="0"/>
                <w:i w:val="0"/>
                <w:color w:val="000000"/>
                <w:sz w:val="9"/>
                <w:lang w:val="en-US" w:eastAsia="zh-CN"/>
              </w:rPr>
              <w:t>本年支出</w:t>
            </w:r>
          </w:p>
        </w:tc>
        <w:tc>
          <w:tcPr>
            <w:tcW w:w="926" w:type="dxa"/>
            <w:vMerge w:val="restart"/>
            <w:noWrap w:val="0"/>
            <w:vAlign w:val="center"/>
          </w:tcPr>
          <w:p>
            <w:pPr>
              <w:jc w:val="center"/>
              <w:rPr>
                <w:lang w:val="en-US" w:eastAsia="zh-CN"/>
              </w:rPr>
            </w:pPr>
            <w:r>
              <w:rPr>
                <w:rFonts w:ascii="宋体" w:hAnsi="宋体" w:eastAsia="宋体" w:cs="宋体"/>
                <w:b w:val="0"/>
                <w:i w:val="0"/>
                <w:color w:val="000000"/>
                <w:sz w:val="9"/>
                <w:lang w:val="en-US" w:eastAsia="zh-CN"/>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支出功能分类科目编码</w:t>
            </w:r>
          </w:p>
        </w:tc>
        <w:tc>
          <w:tcPr>
            <w:tcW w:w="208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科目名称</w:t>
            </w: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小计</w:t>
            </w:r>
          </w:p>
        </w:tc>
        <w:tc>
          <w:tcPr>
            <w:tcW w:w="9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基本支出</w:t>
            </w:r>
          </w:p>
        </w:tc>
        <w:tc>
          <w:tcPr>
            <w:tcW w:w="9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项目支出</w:t>
            </w:r>
          </w:p>
        </w:tc>
        <w:tc>
          <w:tcPr>
            <w:tcW w:w="92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continue"/>
            <w:tcBorders>
              <w:tl2br w:val="nil"/>
              <w:tr2bl w:val="nil"/>
            </w:tcBorders>
            <w:noWrap w:val="0"/>
            <w:vAlign w:val="center"/>
          </w:tcPr>
          <w:p>
            <w:pPr>
              <w:jc w:val="both"/>
              <w:rPr>
                <w:lang w:val="en-US" w:eastAsia="zh-CN"/>
              </w:rPr>
            </w:pPr>
          </w:p>
        </w:tc>
        <w:tc>
          <w:tcPr>
            <w:tcW w:w="208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2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01" w:hRule="exact"/>
          <w:jc w:val="center"/>
        </w:trPr>
        <w:tc>
          <w:tcPr>
            <w:tcW w:w="180" w:type="dxa"/>
            <w:gridSpan w:val="3"/>
            <w:vMerge w:val="continue"/>
            <w:tcBorders>
              <w:tl2br w:val="nil"/>
              <w:tr2bl w:val="nil"/>
            </w:tcBorders>
            <w:noWrap w:val="0"/>
            <w:vAlign w:val="center"/>
          </w:tcPr>
          <w:p>
            <w:pPr>
              <w:jc w:val="both"/>
              <w:rPr>
                <w:lang w:val="en-US" w:eastAsia="zh-CN"/>
              </w:rPr>
            </w:pPr>
          </w:p>
        </w:tc>
        <w:tc>
          <w:tcPr>
            <w:tcW w:w="208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40" w:type="dxa"/>
            <w:vMerge w:val="continue"/>
            <w:tcBorders>
              <w:tl2br w:val="nil"/>
              <w:tr2bl w:val="nil"/>
            </w:tcBorders>
            <w:noWrap w:val="0"/>
            <w:vAlign w:val="center"/>
          </w:tcPr>
          <w:p>
            <w:pPr>
              <w:jc w:val="both"/>
              <w:rPr>
                <w:lang w:val="en-US" w:eastAsia="zh-CN"/>
              </w:rPr>
            </w:pPr>
          </w:p>
        </w:tc>
        <w:tc>
          <w:tcPr>
            <w:tcW w:w="92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类</w:t>
            </w:r>
          </w:p>
        </w:tc>
        <w:tc>
          <w:tcPr>
            <w:tcW w:w="18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款</w:t>
            </w:r>
          </w:p>
        </w:tc>
        <w:tc>
          <w:tcPr>
            <w:tcW w:w="2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项</w:t>
            </w:r>
          </w:p>
        </w:tc>
        <w:tc>
          <w:tcPr>
            <w:tcW w:w="208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栏次</w:t>
            </w:r>
          </w:p>
        </w:tc>
        <w:tc>
          <w:tcPr>
            <w:tcW w:w="9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1</w:t>
            </w:r>
          </w:p>
        </w:tc>
        <w:tc>
          <w:tcPr>
            <w:tcW w:w="9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2</w:t>
            </w:r>
          </w:p>
        </w:tc>
        <w:tc>
          <w:tcPr>
            <w:tcW w:w="9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3</w:t>
            </w:r>
          </w:p>
        </w:tc>
        <w:tc>
          <w:tcPr>
            <w:tcW w:w="9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4</w:t>
            </w:r>
          </w:p>
        </w:tc>
        <w:tc>
          <w:tcPr>
            <w:tcW w:w="9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5</w:t>
            </w:r>
          </w:p>
        </w:tc>
        <w:tc>
          <w:tcPr>
            <w:tcW w:w="92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vMerge w:val="continue"/>
            <w:tcBorders>
              <w:tl2br w:val="nil"/>
              <w:tr2bl w:val="nil"/>
            </w:tcBorders>
            <w:noWrap w:val="0"/>
            <w:vAlign w:val="center"/>
          </w:tcPr>
          <w:p>
            <w:pPr>
              <w:jc w:val="both"/>
              <w:rPr>
                <w:lang w:val="en-US" w:eastAsia="zh-CN"/>
              </w:rPr>
            </w:pPr>
          </w:p>
        </w:tc>
        <w:tc>
          <w:tcPr>
            <w:tcW w:w="180" w:type="dxa"/>
            <w:vMerge w:val="continue"/>
            <w:tcBorders>
              <w:tl2br w:val="nil"/>
              <w:tr2bl w:val="nil"/>
            </w:tcBorders>
            <w:noWrap w:val="0"/>
            <w:vAlign w:val="center"/>
          </w:tcPr>
          <w:p>
            <w:pPr>
              <w:jc w:val="both"/>
              <w:rPr>
                <w:lang w:val="en-US" w:eastAsia="zh-CN"/>
              </w:rPr>
            </w:pPr>
          </w:p>
        </w:tc>
        <w:tc>
          <w:tcPr>
            <w:tcW w:w="240" w:type="dxa"/>
            <w:vMerge w:val="continue"/>
            <w:tcBorders>
              <w:tl2br w:val="nil"/>
              <w:tr2bl w:val="nil"/>
            </w:tcBorders>
            <w:noWrap w:val="0"/>
            <w:vAlign w:val="center"/>
          </w:tcPr>
          <w:p>
            <w:pPr>
              <w:jc w:val="both"/>
              <w:rPr>
                <w:lang w:val="en-US" w:eastAsia="zh-CN"/>
              </w:rPr>
            </w:pPr>
          </w:p>
        </w:tc>
        <w:tc>
          <w:tcPr>
            <w:tcW w:w="208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9"/>
                <w:lang w:val="en-US" w:eastAsia="zh-CN"/>
              </w:rPr>
              <w:t>合计</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714.08</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714.08</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714.08</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城乡社区支出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21208</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国有土地使用权出让收入安排的支出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97.14</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2120804</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农村基础设施建设支出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22.33</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22.33</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22.33</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2120899</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其他国有土地使用权出让收入安排的支出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74.81</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74.81</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74.81</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22904</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其他政府性基金及对应专项债务收入安排的支出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3"/>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2290402</w:t>
            </w:r>
          </w:p>
        </w:tc>
        <w:tc>
          <w:tcPr>
            <w:tcW w:w="2080" w:type="dxa"/>
            <w:tcBorders>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其他地方自行试点项目收益专项债券收入安排的支出</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40" w:type="dxa"/>
            <w:tcBorders>
              <w:tl2br w:val="nil"/>
              <w:tr2bl w:val="nil"/>
            </w:tcBorders>
            <w:noWrap w:val="0"/>
            <w:vAlign w:val="center"/>
          </w:tcPr>
          <w:p>
            <w:pPr>
              <w:jc w:val="both"/>
              <w:rPr>
                <w:lang w:val="en-US" w:eastAsia="zh-CN"/>
              </w:rPr>
            </w:pPr>
          </w:p>
        </w:tc>
        <w:tc>
          <w:tcPr>
            <w:tcW w:w="94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9"/>
                <w:lang w:val="en-US" w:eastAsia="zh-CN"/>
              </w:rPr>
              <w:t>616.94</w:t>
            </w:r>
          </w:p>
        </w:tc>
        <w:tc>
          <w:tcPr>
            <w:tcW w:w="9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10"/>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251" w:hRule="exact"/>
          <w:jc w:val="center"/>
        </w:trPr>
        <w:tc>
          <w:tcPr>
            <w:tcW w:w="180" w:type="dxa"/>
            <w:gridSpan w:val="10"/>
            <w:tcBorders>
              <w:top w:val="single" w:color="FFFFFF" w:sz="4" w:space="0"/>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9"/>
                <w:lang w:val="en-US" w:eastAsia="zh-CN"/>
              </w:rPr>
              <w:t xml:space="preserve">    2.当此表数据为空时，即本部门(单位)无政府性基金预算财政拨款收入、支出。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340"/>
        <w:gridCol w:w="340"/>
        <w:gridCol w:w="340"/>
        <w:gridCol w:w="3060"/>
        <w:gridCol w:w="1400"/>
        <w:gridCol w:w="1400"/>
        <w:gridCol w:w="14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0" w:hRule="exact"/>
          <w:jc w:val="center"/>
        </w:trPr>
        <w:tc>
          <w:tcPr>
            <w:tcW w:w="340" w:type="dxa"/>
            <w:gridSpan w:val="4"/>
            <w:noWrap w:val="0"/>
            <w:vAlign w:val="center"/>
          </w:tcPr>
          <w:p>
            <w:pPr>
              <w:jc w:val="center"/>
              <w:rPr>
                <w:lang w:val="en-US" w:eastAsia="zh-CN"/>
              </w:rPr>
            </w:pPr>
            <w:r>
              <w:rPr>
                <w:rFonts w:ascii="宋体" w:hAnsi="宋体" w:eastAsia="宋体" w:cs="宋体"/>
                <w:b w:val="0"/>
                <w:i w:val="0"/>
                <w:color w:val="000000"/>
                <w:sz w:val="14"/>
                <w:lang w:val="en-US" w:eastAsia="zh-CN"/>
              </w:rPr>
              <w:t>项    目</w:t>
            </w:r>
          </w:p>
        </w:tc>
        <w:tc>
          <w:tcPr>
            <w:tcW w:w="1400" w:type="dxa"/>
            <w:vMerge w:val="restart"/>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vMerge w:val="restart"/>
            <w:noWrap w:val="0"/>
            <w:vAlign w:val="center"/>
          </w:tcPr>
          <w:p>
            <w:pPr>
              <w:jc w:val="center"/>
              <w:rPr>
                <w:lang w:val="en-US" w:eastAsia="zh-CN"/>
              </w:rPr>
            </w:pPr>
            <w:r>
              <w:rPr>
                <w:rFonts w:ascii="宋体" w:hAnsi="宋体" w:eastAsia="宋体" w:cs="宋体"/>
                <w:b w:val="0"/>
                <w:i w:val="0"/>
                <w:color w:val="000000"/>
                <w:sz w:val="14"/>
                <w:lang w:val="en-US" w:eastAsia="zh-CN"/>
              </w:rPr>
              <w:t>基本支出</w:t>
            </w:r>
          </w:p>
        </w:tc>
        <w:tc>
          <w:tcPr>
            <w:tcW w:w="1426" w:type="dxa"/>
            <w:vMerge w:val="restart"/>
            <w:noWrap w:val="0"/>
            <w:vAlign w:val="center"/>
          </w:tcPr>
          <w:p>
            <w:pPr>
              <w:jc w:val="center"/>
              <w:rPr>
                <w:lang w:val="en-US" w:eastAsia="zh-CN"/>
              </w:rPr>
            </w:pPr>
            <w:r>
              <w:rPr>
                <w:rFonts w:ascii="宋体" w:hAnsi="宋体" w:eastAsia="宋体" w:cs="宋体"/>
                <w:b w:val="0"/>
                <w:i w:val="0"/>
                <w:color w:val="000000"/>
                <w:sz w:val="14"/>
                <w:lang w:val="en-US" w:eastAsia="zh-CN"/>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支出功能分类科目编码</w:t>
            </w:r>
          </w:p>
        </w:tc>
        <w:tc>
          <w:tcPr>
            <w:tcW w:w="306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科目名称</w:t>
            </w:r>
          </w:p>
        </w:tc>
        <w:tc>
          <w:tcPr>
            <w:tcW w:w="140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2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continue"/>
            <w:tcBorders>
              <w:tl2br w:val="nil"/>
              <w:tr2bl w:val="nil"/>
            </w:tcBorders>
            <w:noWrap w:val="0"/>
            <w:vAlign w:val="center"/>
          </w:tcPr>
          <w:p>
            <w:pPr>
              <w:jc w:val="both"/>
              <w:rPr>
                <w:lang w:val="en-US" w:eastAsia="zh-CN"/>
              </w:rPr>
            </w:pPr>
          </w:p>
        </w:tc>
        <w:tc>
          <w:tcPr>
            <w:tcW w:w="306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2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3"/>
            <w:vMerge w:val="continue"/>
            <w:tcBorders>
              <w:tl2br w:val="nil"/>
              <w:tr2bl w:val="nil"/>
            </w:tcBorders>
            <w:noWrap w:val="0"/>
            <w:vAlign w:val="center"/>
          </w:tcPr>
          <w:p>
            <w:pPr>
              <w:jc w:val="both"/>
              <w:rPr>
                <w:lang w:val="en-US" w:eastAsia="zh-CN"/>
              </w:rPr>
            </w:pPr>
          </w:p>
        </w:tc>
        <w:tc>
          <w:tcPr>
            <w:tcW w:w="306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00" w:type="dxa"/>
            <w:vMerge w:val="continue"/>
            <w:tcBorders>
              <w:tl2br w:val="nil"/>
              <w:tr2bl w:val="nil"/>
            </w:tcBorders>
            <w:noWrap w:val="0"/>
            <w:vAlign w:val="center"/>
          </w:tcPr>
          <w:p>
            <w:pPr>
              <w:jc w:val="both"/>
              <w:rPr>
                <w:lang w:val="en-US" w:eastAsia="zh-CN"/>
              </w:rPr>
            </w:pPr>
          </w:p>
        </w:tc>
        <w:tc>
          <w:tcPr>
            <w:tcW w:w="1426" w:type="dxa"/>
            <w:vMerge w:val="continue"/>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类</w:t>
            </w:r>
          </w:p>
        </w:tc>
        <w:tc>
          <w:tcPr>
            <w:tcW w:w="3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款</w:t>
            </w:r>
          </w:p>
        </w:tc>
        <w:tc>
          <w:tcPr>
            <w:tcW w:w="340" w:type="dxa"/>
            <w:vMerge w:val="restart"/>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项</w:t>
            </w:r>
          </w:p>
        </w:tc>
        <w:tc>
          <w:tcPr>
            <w:tcW w:w="30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栏次</w:t>
            </w:r>
          </w:p>
        </w:tc>
        <w:tc>
          <w:tcPr>
            <w:tcW w:w="1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1</w:t>
            </w:r>
          </w:p>
        </w:tc>
        <w:tc>
          <w:tcPr>
            <w:tcW w:w="140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2</w:t>
            </w:r>
          </w:p>
        </w:tc>
        <w:tc>
          <w:tcPr>
            <w:tcW w:w="142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vMerge w:val="continue"/>
            <w:tcBorders>
              <w:tl2br w:val="nil"/>
              <w:tr2bl w:val="nil"/>
            </w:tcBorders>
            <w:noWrap w:val="0"/>
            <w:vAlign w:val="center"/>
          </w:tcPr>
          <w:p>
            <w:pPr>
              <w:jc w:val="both"/>
              <w:rPr>
                <w:lang w:val="en-US" w:eastAsia="zh-CN"/>
              </w:rPr>
            </w:pPr>
          </w:p>
        </w:tc>
        <w:tc>
          <w:tcPr>
            <w:tcW w:w="340" w:type="dxa"/>
            <w:vMerge w:val="continue"/>
            <w:tcBorders>
              <w:tl2br w:val="nil"/>
              <w:tr2bl w:val="nil"/>
            </w:tcBorders>
            <w:noWrap w:val="0"/>
            <w:vAlign w:val="center"/>
          </w:tcPr>
          <w:p>
            <w:pPr>
              <w:jc w:val="both"/>
              <w:rPr>
                <w:lang w:val="en-US" w:eastAsia="zh-CN"/>
              </w:rPr>
            </w:pPr>
          </w:p>
        </w:tc>
        <w:tc>
          <w:tcPr>
            <w:tcW w:w="340" w:type="dxa"/>
            <w:vMerge w:val="continue"/>
            <w:tcBorders>
              <w:tl2br w:val="nil"/>
              <w:tr2bl w:val="nil"/>
            </w:tcBorders>
            <w:noWrap w:val="0"/>
            <w:vAlign w:val="center"/>
          </w:tcPr>
          <w:p>
            <w:pPr>
              <w:jc w:val="both"/>
              <w:rPr>
                <w:lang w:val="en-US" w:eastAsia="zh-CN"/>
              </w:rPr>
            </w:pPr>
          </w:p>
        </w:tc>
        <w:tc>
          <w:tcPr>
            <w:tcW w:w="30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4"/>
                <w:lang w:val="en-US" w:eastAsia="zh-CN"/>
              </w:rPr>
              <w:t>合计</w:t>
            </w:r>
          </w:p>
        </w:tc>
        <w:tc>
          <w:tcPr>
            <w:tcW w:w="1400" w:type="dxa"/>
            <w:tcBorders>
              <w:tl2br w:val="nil"/>
              <w:tr2bl w:val="nil"/>
            </w:tcBorders>
            <w:noWrap w:val="0"/>
            <w:vAlign w:val="center"/>
          </w:tcPr>
          <w:p>
            <w:pPr>
              <w:jc w:val="both"/>
              <w:rPr>
                <w:lang w:val="en-US" w:eastAsia="zh-CN"/>
              </w:rPr>
            </w:pPr>
          </w:p>
        </w:tc>
        <w:tc>
          <w:tcPr>
            <w:tcW w:w="1400" w:type="dxa"/>
            <w:tcBorders>
              <w:tl2br w:val="nil"/>
              <w:tr2bl w:val="nil"/>
            </w:tcBorders>
            <w:noWrap w:val="0"/>
            <w:vAlign w:val="center"/>
          </w:tcPr>
          <w:p>
            <w:pPr>
              <w:jc w:val="both"/>
              <w:rPr>
                <w:lang w:val="en-US" w:eastAsia="zh-CN"/>
              </w:rPr>
            </w:pP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30" w:hRule="exact"/>
          <w:jc w:val="center"/>
        </w:trPr>
        <w:tc>
          <w:tcPr>
            <w:tcW w:w="340" w:type="dxa"/>
            <w:gridSpan w:val="3"/>
            <w:tcBorders>
              <w:tl2br w:val="nil"/>
              <w:tr2bl w:val="nil"/>
            </w:tcBorders>
            <w:noWrap w:val="0"/>
            <w:vAlign w:val="center"/>
          </w:tcPr>
          <w:p>
            <w:pPr>
              <w:jc w:val="both"/>
              <w:rPr>
                <w:lang w:val="en-US" w:eastAsia="zh-CN"/>
              </w:rPr>
            </w:pPr>
          </w:p>
        </w:tc>
        <w:tc>
          <w:tcPr>
            <w:tcW w:w="3060" w:type="dxa"/>
            <w:tcBorders>
              <w:tl2br w:val="nil"/>
              <w:tr2bl w:val="nil"/>
            </w:tcBorders>
            <w:noWrap w:val="0"/>
            <w:vAlign w:val="center"/>
          </w:tcPr>
          <w:p>
            <w:pPr>
              <w:jc w:val="both"/>
              <w:rPr>
                <w:lang w:val="en-US" w:eastAsia="zh-CN"/>
              </w:rPr>
            </w:pPr>
          </w:p>
        </w:tc>
        <w:tc>
          <w:tcPr>
            <w:tcW w:w="1400" w:type="dxa"/>
            <w:tcBorders>
              <w:tl2br w:val="nil"/>
              <w:tr2bl w:val="nil"/>
            </w:tcBorders>
            <w:noWrap w:val="0"/>
            <w:vAlign w:val="center"/>
          </w:tcPr>
          <w:p>
            <w:pPr>
              <w:jc w:val="both"/>
              <w:rPr>
                <w:lang w:val="en-US" w:eastAsia="zh-CN"/>
              </w:rPr>
            </w:pPr>
          </w:p>
        </w:tc>
        <w:tc>
          <w:tcPr>
            <w:tcW w:w="1400" w:type="dxa"/>
            <w:tcBorders>
              <w:tl2br w:val="nil"/>
              <w:tr2bl w:val="nil"/>
            </w:tcBorders>
            <w:noWrap w:val="0"/>
            <w:vAlign w:val="center"/>
          </w:tcPr>
          <w:p>
            <w:pPr>
              <w:jc w:val="both"/>
              <w:rPr>
                <w:lang w:val="en-US" w:eastAsia="zh-CN"/>
              </w:rPr>
            </w:pPr>
          </w:p>
        </w:tc>
        <w:tc>
          <w:tcPr>
            <w:tcW w:w="142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15" w:hRule="exact"/>
          <w:jc w:val="center"/>
        </w:trPr>
        <w:tc>
          <w:tcPr>
            <w:tcW w:w="340" w:type="dxa"/>
            <w:gridSpan w:val="7"/>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00" w:hRule="exact"/>
          <w:jc w:val="center"/>
        </w:trPr>
        <w:tc>
          <w:tcPr>
            <w:tcW w:w="340" w:type="dxa"/>
            <w:gridSpan w:val="7"/>
            <w:tcBorders>
              <w:top w:val="single" w:color="FFFFFF" w:sz="4" w:space="0"/>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4"/>
                <w:lang w:val="en-US" w:eastAsia="zh-CN"/>
              </w:rPr>
              <w:t xml:space="preserve">    2.当此表数据为空时，即本部门(单位)无国有资本经营预算财政拨款支出。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left w:w="8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gridSpan w:val="3"/>
            <w:noWrap w:val="0"/>
            <w:vAlign w:val="top"/>
          </w:tcPr>
          <w:p>
            <w:pPr>
              <w:jc w:val="right"/>
              <w:rPr>
                <w:lang w:val="en-US" w:eastAsia="zh-CN"/>
              </w:rPr>
            </w:pPr>
            <w:r>
              <w:rPr>
                <w:rFonts w:ascii="宋体" w:hAnsi="宋体" w:eastAsia="宋体" w:cs="宋体"/>
                <w:sz w:val="20"/>
                <w:lang w:val="en-US" w:eastAsia="zh-CN"/>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trHeight w:val="0" w:hRule="atLeast"/>
          <w:jc w:val="center"/>
        </w:trPr>
        <w:tc>
          <w:tcPr>
            <w:tcW w:w="3153" w:type="dxa"/>
            <w:tcBorders>
              <w:tl2br w:val="nil"/>
              <w:tr2bl w:val="nil"/>
            </w:tcBorders>
            <w:noWrap w:val="0"/>
            <w:vAlign w:val="top"/>
          </w:tcPr>
          <w:p>
            <w:pPr>
              <w:jc w:val="left"/>
              <w:rPr>
                <w:lang w:val="en-US" w:eastAsia="zh-CN"/>
              </w:rPr>
            </w:pPr>
            <w:r>
              <w:rPr>
                <w:rFonts w:ascii="宋体" w:hAnsi="宋体" w:eastAsia="宋体" w:cs="宋体"/>
                <w:sz w:val="20"/>
                <w:lang w:val="en-US" w:eastAsia="zh-CN"/>
              </w:rPr>
              <w:t>部门：兴国县杰村乡</w:t>
            </w:r>
          </w:p>
        </w:tc>
        <w:tc>
          <w:tcPr>
            <w:tcW w:w="2000" w:type="dxa"/>
            <w:tcBorders>
              <w:tl2br w:val="nil"/>
              <w:tr2bl w:val="nil"/>
            </w:tcBorders>
            <w:noWrap w:val="0"/>
            <w:vAlign w:val="top"/>
          </w:tcPr>
          <w:p>
            <w:pPr>
              <w:jc w:val="center"/>
              <w:rPr>
                <w:lang w:val="en-US" w:eastAsia="zh-CN"/>
              </w:rPr>
            </w:pPr>
            <w:r>
              <w:rPr>
                <w:rFonts w:ascii="宋体" w:hAnsi="宋体" w:eastAsia="宋体" w:cs="宋体"/>
                <w:sz w:val="20"/>
                <w:lang w:val="en-US" w:eastAsia="zh-CN"/>
              </w:rPr>
              <w:t>2024年度</w:t>
            </w:r>
          </w:p>
        </w:tc>
        <w:tc>
          <w:tcPr>
            <w:tcW w:w="3153" w:type="dxa"/>
            <w:tcBorders>
              <w:tl2br w:val="nil"/>
              <w:tr2bl w:val="nil"/>
            </w:tcBorders>
            <w:noWrap w:val="0"/>
            <w:vAlign w:val="top"/>
          </w:tcPr>
          <w:p>
            <w:pPr>
              <w:jc w:val="right"/>
              <w:rPr>
                <w:lang w:val="en-US" w:eastAsia="zh-CN"/>
              </w:rPr>
            </w:pPr>
            <w:r>
              <w:rPr>
                <w:rFonts w:ascii="宋体" w:hAnsi="宋体" w:eastAsia="宋体" w:cs="宋体"/>
                <w:sz w:val="20"/>
                <w:lang w:val="en-US" w:eastAsia="zh-CN"/>
              </w:rPr>
              <w:t>金额单位：万元</w:t>
            </w:r>
          </w:p>
        </w:tc>
      </w:tr>
    </w:tbl>
    <w:p>
      <w:pPr>
        <w:snapToGrid w:val="0"/>
        <w:spacing w:before="0" w:after="0" w:line="0" w:lineRule="auto"/>
        <w:jc w:val="both"/>
        <w:rPr>
          <w:lang w:val="en-US" w:eastAsia="zh-CN"/>
        </w:rPr>
      </w:pPr>
      <w:r>
        <w:rPr>
          <w:sz w:val="8"/>
          <w:lang w:val="en-US" w:eastAsia="zh-CN"/>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left w:w="8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400" w:hRule="exact"/>
          <w:jc w:val="center"/>
        </w:trPr>
        <w:tc>
          <w:tcPr>
            <w:tcW w:w="2960" w:type="dxa"/>
            <w:noWrap w:val="0"/>
            <w:vAlign w:val="center"/>
          </w:tcPr>
          <w:p>
            <w:pPr>
              <w:jc w:val="center"/>
              <w:rPr>
                <w:lang w:val="en-US" w:eastAsia="zh-CN"/>
              </w:rPr>
            </w:pPr>
            <w:r>
              <w:rPr>
                <w:rFonts w:ascii="宋体" w:hAnsi="宋体" w:eastAsia="宋体" w:cs="宋体"/>
                <w:b w:val="0"/>
                <w:i w:val="0"/>
                <w:color w:val="000000"/>
                <w:sz w:val="17"/>
                <w:lang w:val="en-US" w:eastAsia="zh-CN"/>
              </w:rPr>
              <w:t>项目</w:t>
            </w:r>
          </w:p>
        </w:tc>
        <w:tc>
          <w:tcPr>
            <w:tcW w:w="740" w:type="dxa"/>
            <w:noWrap w:val="0"/>
            <w:vAlign w:val="center"/>
          </w:tcPr>
          <w:p>
            <w:pPr>
              <w:jc w:val="center"/>
              <w:rPr>
                <w:lang w:val="en-US" w:eastAsia="zh-CN"/>
              </w:rPr>
            </w:pPr>
            <w:r>
              <w:rPr>
                <w:rFonts w:ascii="宋体" w:hAnsi="宋体" w:eastAsia="宋体" w:cs="宋体"/>
                <w:b w:val="0"/>
                <w:i w:val="0"/>
                <w:color w:val="000000"/>
                <w:sz w:val="17"/>
                <w:lang w:val="en-US" w:eastAsia="zh-CN"/>
              </w:rPr>
              <w:t>栏次</w:t>
            </w:r>
          </w:p>
        </w:tc>
        <w:tc>
          <w:tcPr>
            <w:tcW w:w="1560" w:type="dxa"/>
            <w:noWrap w:val="0"/>
            <w:vAlign w:val="center"/>
          </w:tcPr>
          <w:p>
            <w:pPr>
              <w:jc w:val="center"/>
              <w:rPr>
                <w:lang w:val="en-US" w:eastAsia="zh-CN"/>
              </w:rPr>
            </w:pPr>
            <w:r>
              <w:rPr>
                <w:rFonts w:ascii="宋体" w:hAnsi="宋体" w:eastAsia="宋体" w:cs="宋体"/>
                <w:b w:val="0"/>
                <w:i w:val="0"/>
                <w:color w:val="000000"/>
                <w:sz w:val="17"/>
                <w:lang w:val="en-US" w:eastAsia="zh-CN"/>
              </w:rPr>
              <w:t>年初预算数</w:t>
            </w:r>
          </w:p>
        </w:tc>
        <w:tc>
          <w:tcPr>
            <w:tcW w:w="1460" w:type="dxa"/>
            <w:noWrap w:val="0"/>
            <w:vAlign w:val="center"/>
          </w:tcPr>
          <w:p>
            <w:pPr>
              <w:jc w:val="center"/>
              <w:rPr>
                <w:lang w:val="en-US" w:eastAsia="zh-CN"/>
              </w:rPr>
            </w:pPr>
            <w:r>
              <w:rPr>
                <w:rFonts w:ascii="宋体" w:hAnsi="宋体" w:eastAsia="宋体" w:cs="宋体"/>
                <w:b w:val="0"/>
                <w:i w:val="0"/>
                <w:color w:val="000000"/>
                <w:sz w:val="16"/>
                <w:lang w:val="en-US" w:eastAsia="zh-CN"/>
              </w:rPr>
              <w:t>全年预算数</w:t>
            </w:r>
          </w:p>
        </w:tc>
        <w:tc>
          <w:tcPr>
            <w:tcW w:w="1586" w:type="dxa"/>
            <w:noWrap w:val="0"/>
            <w:vAlign w:val="center"/>
          </w:tcPr>
          <w:p>
            <w:pPr>
              <w:jc w:val="center"/>
              <w:rPr>
                <w:lang w:val="en-US" w:eastAsia="zh-CN"/>
              </w:rPr>
            </w:pPr>
            <w:r>
              <w:rPr>
                <w:rFonts w:ascii="宋体" w:hAnsi="宋体" w:eastAsia="宋体" w:cs="宋体"/>
                <w:b w:val="0"/>
                <w:i w:val="0"/>
                <w:color w:val="000000"/>
                <w:sz w:val="17"/>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行次</w:t>
            </w:r>
          </w:p>
        </w:tc>
        <w:tc>
          <w:tcPr>
            <w:tcW w:w="740" w:type="dxa"/>
            <w:tcBorders>
              <w:tl2br w:val="nil"/>
              <w:tr2bl w:val="nil"/>
            </w:tcBorders>
            <w:noWrap w:val="0"/>
            <w:vAlign w:val="center"/>
          </w:tcPr>
          <w:p>
            <w:pPr>
              <w:jc w:val="both"/>
              <w:rPr>
                <w:lang w:val="en-US" w:eastAsia="zh-CN"/>
              </w:rPr>
            </w:pP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2</w:t>
            </w:r>
          </w:p>
        </w:tc>
        <w:tc>
          <w:tcPr>
            <w:tcW w:w="158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一、“三公”经费支出</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w:t>
            </w:r>
          </w:p>
        </w:tc>
        <w:tc>
          <w:tcPr>
            <w:tcW w:w="15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30.69</w:t>
            </w:r>
          </w:p>
        </w:tc>
        <w:tc>
          <w:tcPr>
            <w:tcW w:w="14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29.60</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11.43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1.因公出国（境）费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2</w:t>
            </w:r>
          </w:p>
        </w:tc>
        <w:tc>
          <w:tcPr>
            <w:tcW w:w="15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2.公务用车购置及运行维护费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3</w:t>
            </w:r>
          </w:p>
        </w:tc>
        <w:tc>
          <w:tcPr>
            <w:tcW w:w="15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9.50</w:t>
            </w:r>
          </w:p>
        </w:tc>
        <w:tc>
          <w:tcPr>
            <w:tcW w:w="14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8.41</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6.39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（1）公务用车购置费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4</w:t>
            </w:r>
          </w:p>
        </w:tc>
        <w:tc>
          <w:tcPr>
            <w:tcW w:w="15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0.00</w:t>
            </w:r>
          </w:p>
        </w:tc>
        <w:tc>
          <w:tcPr>
            <w:tcW w:w="14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0.00</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（2）公务用车运行维护费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5</w:t>
            </w:r>
          </w:p>
        </w:tc>
        <w:tc>
          <w:tcPr>
            <w:tcW w:w="15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9.50</w:t>
            </w:r>
          </w:p>
        </w:tc>
        <w:tc>
          <w:tcPr>
            <w:tcW w:w="14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8.41</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6.39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3.公务接待费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6</w:t>
            </w:r>
          </w:p>
        </w:tc>
        <w:tc>
          <w:tcPr>
            <w:tcW w:w="15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21.19</w:t>
            </w:r>
          </w:p>
        </w:tc>
        <w:tc>
          <w:tcPr>
            <w:tcW w:w="1460"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6"/>
                <w:lang w:val="en-US" w:eastAsia="zh-CN"/>
              </w:rPr>
              <w:t>21.19</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5.04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（1）国内接待费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7</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5.04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8</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（2）国（境）外接待费</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9</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二、相关统计数</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10</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1.因公出国（境）团组数（个）</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11</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2.因公出国（境）人次数（人）</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12</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3.公务用车购置数（辆）</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13</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4.公务用车保有量（辆）</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14</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5.国内公务接待批次（个）</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15</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954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其中：外事接待批次（个）</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16</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6.国内公务接待人次（人）</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17</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right"/>
              <w:rPr>
                <w:lang w:val="en-US" w:eastAsia="zh-CN"/>
              </w:rPr>
            </w:pPr>
            <w:r>
              <w:rPr>
                <w:rFonts w:ascii="宋体" w:hAnsi="宋体" w:eastAsia="宋体" w:cs="宋体"/>
                <w:b w:val="0"/>
                <w:i w:val="0"/>
                <w:color w:val="000000"/>
                <w:sz w:val="17"/>
                <w:lang w:val="en-US" w:eastAsia="zh-CN"/>
              </w:rPr>
              <w:t>954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其中：外事接待人次（人）</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18</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7.国（境）外公务接待批次（个）</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19</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364" w:hRule="exact"/>
          <w:jc w:val="center"/>
        </w:trPr>
        <w:tc>
          <w:tcPr>
            <w:tcW w:w="2960" w:type="dxa"/>
            <w:tcBorders>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8.国（境）外公务接待人次（人）</w:t>
            </w:r>
          </w:p>
        </w:tc>
        <w:tc>
          <w:tcPr>
            <w:tcW w:w="74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20</w:t>
            </w:r>
          </w:p>
        </w:tc>
        <w:tc>
          <w:tcPr>
            <w:tcW w:w="15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7"/>
                <w:lang w:val="en-US" w:eastAsia="zh-CN"/>
              </w:rPr>
              <w:t>——</w:t>
            </w:r>
          </w:p>
        </w:tc>
        <w:tc>
          <w:tcPr>
            <w:tcW w:w="1460" w:type="dxa"/>
            <w:tcBorders>
              <w:tl2br w:val="nil"/>
              <w:tr2bl w:val="nil"/>
            </w:tcBorders>
            <w:noWrap w:val="0"/>
            <w:vAlign w:val="center"/>
          </w:tcPr>
          <w:p>
            <w:pPr>
              <w:jc w:val="center"/>
              <w:rPr>
                <w:lang w:val="en-US" w:eastAsia="zh-CN"/>
              </w:rPr>
            </w:pPr>
            <w:r>
              <w:rPr>
                <w:rFonts w:ascii="宋体" w:hAnsi="宋体" w:eastAsia="宋体" w:cs="宋体"/>
                <w:b w:val="0"/>
                <w:i w:val="0"/>
                <w:color w:val="000000"/>
                <w:sz w:val="16"/>
                <w:lang w:val="en-US" w:eastAsia="zh-CN"/>
              </w:rPr>
              <w:t>——</w:t>
            </w:r>
          </w:p>
        </w:tc>
        <w:tc>
          <w:tcPr>
            <w:tcW w:w="1586" w:type="dxa"/>
            <w:tcBorders>
              <w:tl2br w:val="nil"/>
              <w:tr2bl w:val="nil"/>
            </w:tcBorders>
            <w:noWrap w:val="0"/>
            <w:vAlign w:val="center"/>
          </w:tcPr>
          <w:p>
            <w:pPr>
              <w:jc w:val="both"/>
              <w:rPr>
                <w:lang w:val="en-US" w:eastAsia="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982" w:hRule="exact"/>
          <w:jc w:val="center"/>
        </w:trPr>
        <w:tc>
          <w:tcPr>
            <w:tcW w:w="2960" w:type="dxa"/>
            <w:gridSpan w:val="5"/>
            <w:tcBorders>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注：1.本表反映部门本年度财政拨款“三公”经费支出预决算情况。财政拨款包括一般公共预算财政拨款和政府性基金预算财政拨款。年初预算数为年初“三公”经费部门预算数；全年预算数为按规定程序调整调剂后的全年“三公”经费部门预算数；决算数为当年实际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left w:w="80" w:type="dxa"/>
            <w:right w:w="80" w:type="dxa"/>
          </w:tblCellMar>
        </w:tblPrEx>
        <w:trPr>
          <w:wBefore w:w="0" w:type="dxa"/>
          <w:wAfter w:w="0" w:type="dxa"/>
          <w:trHeight w:val="637" w:hRule="exact"/>
          <w:jc w:val="center"/>
        </w:trPr>
        <w:tc>
          <w:tcPr>
            <w:tcW w:w="2960" w:type="dxa"/>
            <w:gridSpan w:val="5"/>
            <w:tcBorders>
              <w:top w:val="single" w:color="FFFFFF" w:sz="4" w:space="0"/>
              <w:left w:val="single" w:color="FFFFFF" w:sz="4" w:space="0"/>
              <w:bottom w:val="single" w:color="FFFFFF" w:sz="4" w:space="0"/>
              <w:right w:val="single" w:color="FFFFFF" w:sz="4" w:space="0"/>
              <w:tl2br w:val="nil"/>
              <w:tr2bl w:val="nil"/>
            </w:tcBorders>
            <w:noWrap w:val="0"/>
            <w:vAlign w:val="center"/>
          </w:tcPr>
          <w:p>
            <w:pPr>
              <w:jc w:val="left"/>
              <w:rPr>
                <w:lang w:val="en-US" w:eastAsia="zh-CN"/>
              </w:rPr>
            </w:pPr>
            <w:r>
              <w:rPr>
                <w:rFonts w:ascii="宋体" w:hAnsi="宋体" w:eastAsia="宋体" w:cs="宋体"/>
                <w:b w:val="0"/>
                <w:i w:val="0"/>
                <w:color w:val="000000"/>
                <w:sz w:val="17"/>
                <w:lang w:val="en-US" w:eastAsia="zh-CN"/>
              </w:rPr>
              <w:t xml:space="preserve">    2.当此表数据为空时，即本部门（单位）无财政拨款“三公”经费支出。</w:t>
            </w:r>
          </w:p>
        </w:tc>
      </w:tr>
    </w:tbl>
    <w:p>
      <w:pPr>
        <w:snapToGrid w:val="0"/>
        <w:spacing w:before="0" w:after="0" w:line="0" w:lineRule="auto"/>
        <w:jc w:val="both"/>
        <w:rPr>
          <w:lang w:val="en-US" w:eastAsia="zh-CN"/>
        </w:rPr>
      </w:pPr>
      <w:r>
        <w:rPr>
          <w:sz w:val="8"/>
          <w:lang w:val="en-US" w:eastAsia="zh-CN"/>
        </w:rPr>
        <w:t xml:space="preserve"> </w:t>
      </w:r>
    </w:p>
    <w:p>
      <w:pPr>
        <w:pageBreakBefore/>
        <w:jc w:val="center"/>
        <w:outlineLvl w:val="1"/>
        <w:rPr>
          <w:rFonts w:hint="eastAsia" w:ascii="黑体" w:hAnsi="宋体" w:eastAsia="黑体" w:cs="黑体"/>
          <w:sz w:val="32"/>
          <w:szCs w:val="32"/>
          <w:lang w:val="en-US" w:eastAsia="zh-CN" w:bidi="ar"/>
        </w:rPr>
      </w:pPr>
      <w:r>
        <w:rPr>
          <w:rFonts w:hint="eastAsia" w:ascii="黑体" w:hAnsi="宋体" w:eastAsia="黑体" w:cs="黑体"/>
          <w:sz w:val="32"/>
          <w:szCs w:val="32"/>
          <w:lang w:val="en-US" w:eastAsia="zh-CN" w:bidi="ar"/>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jc w:val="center"/>
        </w:trPr>
        <w:tc>
          <w:tcPr>
            <w:tcW w:w="8925" w:type="dxa"/>
            <w:gridSpan w:val="5"/>
            <w:noWrap w:val="0"/>
            <w:vAlign w:val="top"/>
          </w:tcPr>
          <w:p>
            <w:pPr>
              <w:jc w:val="right"/>
              <w:rPr>
                <w:lang w:val="en-US" w:eastAsia="zh-CN"/>
              </w:rPr>
            </w:pPr>
            <w:r>
              <w:rPr>
                <w:rFonts w:hint="eastAsia" w:ascii="宋体" w:hAnsi="宋体" w:cs="宋体"/>
                <w:sz w:val="20"/>
                <w:lang w:val="en-US" w:eastAsia="zh-CN"/>
              </w:rPr>
              <w:t>公开</w:t>
            </w:r>
            <w:r>
              <w:rPr>
                <w:rFonts w:ascii="宋体" w:hAnsi="宋体" w:cs="宋体"/>
                <w:sz w:val="20"/>
                <w:lang w:val="en-US" w:eastAsia="zh-CN"/>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wBefore w:w="0" w:type="dxa"/>
          <w:wAfter w:w="0" w:type="dxa"/>
          <w:jc w:val="center"/>
        </w:trPr>
        <w:tc>
          <w:tcPr>
            <w:tcW w:w="3153" w:type="dxa"/>
            <w:noWrap w:val="0"/>
            <w:vAlign w:val="top"/>
          </w:tcPr>
          <w:p>
            <w:pPr>
              <w:jc w:val="left"/>
              <w:rPr>
                <w:lang w:val="en-US" w:eastAsia="zh-CN"/>
              </w:rPr>
            </w:pPr>
            <w:r>
              <w:rPr>
                <w:rFonts w:ascii="宋体" w:hAnsi="宋体" w:cs="宋体"/>
                <w:sz w:val="20"/>
                <w:lang w:val="en-US" w:eastAsia="zh-CN"/>
              </w:rPr>
              <w:t>部门：</w:t>
            </w:r>
            <w:r>
              <w:rPr>
                <w:rFonts w:hint="eastAsia" w:ascii="宋体" w:hAnsi="宋体" w:cs="宋体"/>
                <w:color w:val="000000"/>
                <w:sz w:val="20"/>
                <w:lang w:val="en-US" w:eastAsia="zh-CN"/>
              </w:rPr>
              <w:t>兴国县杰村乡</w:t>
            </w:r>
          </w:p>
        </w:tc>
        <w:tc>
          <w:tcPr>
            <w:tcW w:w="2000" w:type="dxa"/>
            <w:noWrap w:val="0"/>
            <w:vAlign w:val="top"/>
          </w:tcPr>
          <w:p>
            <w:pPr>
              <w:jc w:val="center"/>
              <w:rPr>
                <w:lang w:val="en-US" w:eastAsia="zh-CN"/>
              </w:rPr>
            </w:pPr>
            <w:r>
              <w:rPr>
                <w:rFonts w:ascii="宋体" w:hAnsi="宋体" w:cs="宋体"/>
                <w:sz w:val="20"/>
                <w:lang w:val="en-US" w:eastAsia="zh-CN"/>
              </w:rPr>
              <w:t>202</w:t>
            </w:r>
            <w:r>
              <w:rPr>
                <w:rFonts w:hint="eastAsia" w:ascii="宋体" w:hAnsi="宋体" w:cs="宋体"/>
                <w:sz w:val="20"/>
                <w:lang w:val="en-US" w:eastAsia="zh-CN"/>
              </w:rPr>
              <w:t>4</w:t>
            </w:r>
            <w:r>
              <w:rPr>
                <w:rFonts w:ascii="宋体" w:hAnsi="宋体" w:cs="宋体"/>
                <w:sz w:val="20"/>
                <w:lang w:val="en-US" w:eastAsia="zh-CN"/>
              </w:rPr>
              <w:t>年度</w:t>
            </w:r>
          </w:p>
        </w:tc>
        <w:tc>
          <w:tcPr>
            <w:tcW w:w="3772" w:type="dxa"/>
            <w:gridSpan w:val="3"/>
            <w:noWrap w:val="0"/>
            <w:vAlign w:val="top"/>
          </w:tcPr>
          <w:p>
            <w:pPr>
              <w:jc w:val="right"/>
              <w:rPr>
                <w:lang w:val="en-US" w:eastAsia="zh-CN"/>
              </w:rPr>
            </w:pPr>
            <w:r>
              <w:rPr>
                <w:rFonts w:ascii="宋体" w:hAnsi="宋体" w:cs="宋体"/>
                <w:sz w:val="20"/>
                <w:lang w:val="en-US" w:eastAsia="zh-CN"/>
              </w:rPr>
              <w:t>单位：</w:t>
            </w:r>
            <w:r>
              <w:rPr>
                <w:rFonts w:hint="eastAsia" w:ascii="宋体" w:hAnsi="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379" w:hRule="exact"/>
          <w:jc w:val="center"/>
        </w:trPr>
        <w:tc>
          <w:tcPr>
            <w:tcW w:w="5780" w:type="dxa"/>
            <w:gridSpan w:val="3"/>
            <w:noWrap w:val="0"/>
            <w:vAlign w:val="center"/>
          </w:tcPr>
          <w:p>
            <w:pPr>
              <w:jc w:val="center"/>
              <w:rPr>
                <w:lang w:val="en-US" w:eastAsia="zh-CN"/>
              </w:rPr>
            </w:pPr>
            <w:r>
              <w:rPr>
                <w:rFonts w:ascii="宋体" w:hAnsi="宋体" w:cs="宋体"/>
                <w:color w:val="000000"/>
                <w:sz w:val="20"/>
                <w:lang w:val="en-US" w:eastAsia="zh-CN"/>
              </w:rPr>
              <w:t>项  目</w:t>
            </w:r>
          </w:p>
        </w:tc>
        <w:tc>
          <w:tcPr>
            <w:tcW w:w="880" w:type="dxa"/>
            <w:noWrap w:val="0"/>
            <w:vAlign w:val="center"/>
          </w:tcPr>
          <w:p>
            <w:pPr>
              <w:jc w:val="center"/>
              <w:rPr>
                <w:lang w:val="en-US" w:eastAsia="zh-CN"/>
              </w:rPr>
            </w:pPr>
            <w:r>
              <w:rPr>
                <w:rFonts w:ascii="宋体" w:hAnsi="宋体" w:cs="宋体"/>
                <w:color w:val="000000"/>
                <w:sz w:val="20"/>
                <w:lang w:val="en-US" w:eastAsia="zh-CN"/>
              </w:rPr>
              <w:t>栏次</w:t>
            </w:r>
          </w:p>
        </w:tc>
        <w:tc>
          <w:tcPr>
            <w:tcW w:w="2265" w:type="dxa"/>
            <w:noWrap w:val="0"/>
            <w:vAlign w:val="center"/>
          </w:tcPr>
          <w:p>
            <w:pPr>
              <w:jc w:val="center"/>
              <w:rPr>
                <w:lang w:val="en-US" w:eastAsia="zh-CN"/>
              </w:rPr>
            </w:pPr>
            <w:r>
              <w:rPr>
                <w:rFonts w:ascii="宋体" w:hAnsi="宋体" w:cs="宋体"/>
                <w:color w:val="000000"/>
                <w:sz w:val="20"/>
                <w:lang w:val="en-US" w:eastAsia="zh-CN"/>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一、车辆数合计(台、辆)</w:t>
            </w:r>
          </w:p>
        </w:tc>
        <w:tc>
          <w:tcPr>
            <w:tcW w:w="880" w:type="dxa"/>
            <w:noWrap w:val="0"/>
            <w:vAlign w:val="center"/>
          </w:tcPr>
          <w:p>
            <w:pPr>
              <w:jc w:val="center"/>
              <w:rPr>
                <w:lang w:val="en-US" w:eastAsia="zh-CN"/>
              </w:rPr>
            </w:pPr>
            <w:r>
              <w:rPr>
                <w:rFonts w:ascii="宋体" w:hAnsi="宋体" w:cs="宋体"/>
                <w:color w:val="000000"/>
                <w:sz w:val="20"/>
                <w:lang w:val="en-US" w:eastAsia="zh-CN"/>
              </w:rPr>
              <w:t>1</w:t>
            </w:r>
          </w:p>
        </w:tc>
        <w:tc>
          <w:tcPr>
            <w:tcW w:w="2265" w:type="dxa"/>
            <w:noWrap w:val="0"/>
            <w:vAlign w:val="center"/>
          </w:tcPr>
          <w:p>
            <w:pPr>
              <w:jc w:val="right"/>
              <w:rPr>
                <w:rFonts w:hint="eastAsia" w:ascii="宋体" w:hAnsi="宋体" w:cs="宋体"/>
                <w:color w:val="000000"/>
                <w:sz w:val="20"/>
                <w:lang w:val="en-US" w:eastAsia="zh-CN"/>
              </w:rPr>
            </w:pPr>
            <w:r>
              <w:rPr>
                <w:rFonts w:hint="eastAsia" w:ascii="宋体" w:hAnsi="宋体" w:cs="宋体"/>
                <w:color w:val="000000"/>
                <w:sz w:val="20"/>
                <w:lang w:val="en-US" w:eastAsia="zh-CN"/>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1.副部（省）级及以上领导用车</w:t>
            </w:r>
          </w:p>
        </w:tc>
        <w:tc>
          <w:tcPr>
            <w:tcW w:w="880" w:type="dxa"/>
            <w:noWrap w:val="0"/>
            <w:vAlign w:val="center"/>
          </w:tcPr>
          <w:p>
            <w:pPr>
              <w:jc w:val="center"/>
              <w:rPr>
                <w:lang w:val="en-US" w:eastAsia="zh-CN"/>
              </w:rPr>
            </w:pPr>
            <w:r>
              <w:rPr>
                <w:rFonts w:ascii="宋体" w:hAnsi="宋体" w:cs="宋体"/>
                <w:color w:val="000000"/>
                <w:sz w:val="20"/>
                <w:lang w:val="en-US" w:eastAsia="zh-CN"/>
              </w:rPr>
              <w:t>2</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2.主要负责人用车</w:t>
            </w:r>
          </w:p>
        </w:tc>
        <w:tc>
          <w:tcPr>
            <w:tcW w:w="880" w:type="dxa"/>
            <w:noWrap w:val="0"/>
            <w:vAlign w:val="center"/>
          </w:tcPr>
          <w:p>
            <w:pPr>
              <w:jc w:val="center"/>
              <w:rPr>
                <w:lang w:val="en-US" w:eastAsia="zh-CN"/>
              </w:rPr>
            </w:pPr>
            <w:r>
              <w:rPr>
                <w:rFonts w:ascii="宋体" w:hAnsi="宋体" w:cs="宋体"/>
                <w:color w:val="000000"/>
                <w:sz w:val="20"/>
                <w:lang w:val="en-US" w:eastAsia="zh-CN"/>
              </w:rPr>
              <w:t>3</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0"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3.机要通信用车</w:t>
            </w:r>
          </w:p>
        </w:tc>
        <w:tc>
          <w:tcPr>
            <w:tcW w:w="880" w:type="dxa"/>
            <w:noWrap w:val="0"/>
            <w:vAlign w:val="center"/>
          </w:tcPr>
          <w:p>
            <w:pPr>
              <w:jc w:val="center"/>
              <w:rPr>
                <w:lang w:val="en-US" w:eastAsia="zh-CN"/>
              </w:rPr>
            </w:pPr>
            <w:r>
              <w:rPr>
                <w:rFonts w:ascii="宋体" w:hAnsi="宋体" w:cs="宋体"/>
                <w:color w:val="000000"/>
                <w:sz w:val="20"/>
                <w:lang w:val="en-US" w:eastAsia="zh-CN"/>
              </w:rPr>
              <w:t>4</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4.应急保障用车</w:t>
            </w:r>
          </w:p>
        </w:tc>
        <w:tc>
          <w:tcPr>
            <w:tcW w:w="880" w:type="dxa"/>
            <w:noWrap w:val="0"/>
            <w:vAlign w:val="center"/>
          </w:tcPr>
          <w:p>
            <w:pPr>
              <w:jc w:val="center"/>
              <w:rPr>
                <w:lang w:val="en-US" w:eastAsia="zh-CN"/>
              </w:rPr>
            </w:pPr>
            <w:r>
              <w:rPr>
                <w:rFonts w:ascii="宋体" w:hAnsi="宋体" w:cs="宋体"/>
                <w:color w:val="000000"/>
                <w:sz w:val="20"/>
                <w:lang w:val="en-US" w:eastAsia="zh-CN"/>
              </w:rPr>
              <w:t>5</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5.执法执勤用车</w:t>
            </w:r>
          </w:p>
        </w:tc>
        <w:tc>
          <w:tcPr>
            <w:tcW w:w="880" w:type="dxa"/>
            <w:noWrap w:val="0"/>
            <w:vAlign w:val="center"/>
          </w:tcPr>
          <w:p>
            <w:pPr>
              <w:jc w:val="center"/>
              <w:rPr>
                <w:lang w:val="en-US" w:eastAsia="zh-CN"/>
              </w:rPr>
            </w:pPr>
            <w:r>
              <w:rPr>
                <w:rFonts w:ascii="宋体" w:hAnsi="宋体" w:cs="宋体"/>
                <w:color w:val="000000"/>
                <w:sz w:val="20"/>
                <w:lang w:val="en-US" w:eastAsia="zh-CN"/>
              </w:rPr>
              <w:t>6</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6.特种专业技术用车</w:t>
            </w:r>
          </w:p>
        </w:tc>
        <w:tc>
          <w:tcPr>
            <w:tcW w:w="880" w:type="dxa"/>
            <w:noWrap w:val="0"/>
            <w:vAlign w:val="center"/>
          </w:tcPr>
          <w:p>
            <w:pPr>
              <w:jc w:val="center"/>
              <w:rPr>
                <w:lang w:val="en-US" w:eastAsia="zh-CN"/>
              </w:rPr>
            </w:pPr>
            <w:r>
              <w:rPr>
                <w:rFonts w:ascii="宋体" w:hAnsi="宋体" w:cs="宋体"/>
                <w:color w:val="000000"/>
                <w:sz w:val="20"/>
                <w:lang w:val="en-US" w:eastAsia="zh-CN"/>
              </w:rPr>
              <w:t>7</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7.离退休干部服务用车</w:t>
            </w:r>
          </w:p>
        </w:tc>
        <w:tc>
          <w:tcPr>
            <w:tcW w:w="880" w:type="dxa"/>
            <w:noWrap w:val="0"/>
            <w:vAlign w:val="center"/>
          </w:tcPr>
          <w:p>
            <w:pPr>
              <w:jc w:val="center"/>
              <w:rPr>
                <w:lang w:val="en-US" w:eastAsia="zh-CN"/>
              </w:rPr>
            </w:pPr>
            <w:r>
              <w:rPr>
                <w:rFonts w:ascii="宋体" w:hAnsi="宋体" w:cs="宋体"/>
                <w:color w:val="000000"/>
                <w:sz w:val="20"/>
                <w:lang w:val="en-US" w:eastAsia="zh-CN"/>
              </w:rPr>
              <w:t>8</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0"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 xml:space="preserve">  8.其他用车</w:t>
            </w:r>
          </w:p>
        </w:tc>
        <w:tc>
          <w:tcPr>
            <w:tcW w:w="880" w:type="dxa"/>
            <w:noWrap w:val="0"/>
            <w:vAlign w:val="center"/>
          </w:tcPr>
          <w:p>
            <w:pPr>
              <w:jc w:val="center"/>
              <w:rPr>
                <w:lang w:val="en-US" w:eastAsia="zh-CN"/>
              </w:rPr>
            </w:pPr>
            <w:r>
              <w:rPr>
                <w:rFonts w:ascii="宋体" w:hAnsi="宋体" w:cs="宋体"/>
                <w:color w:val="000000"/>
                <w:sz w:val="20"/>
                <w:lang w:val="en-US" w:eastAsia="zh-CN"/>
              </w:rPr>
              <w:t>9</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422" w:hRule="exact"/>
          <w:jc w:val="center"/>
        </w:trPr>
        <w:tc>
          <w:tcPr>
            <w:tcW w:w="5780" w:type="dxa"/>
            <w:gridSpan w:val="3"/>
            <w:noWrap w:val="0"/>
            <w:vAlign w:val="center"/>
          </w:tcPr>
          <w:p>
            <w:pPr>
              <w:jc w:val="left"/>
              <w:rPr>
                <w:lang w:val="en-US" w:eastAsia="zh-CN"/>
              </w:rPr>
            </w:pPr>
            <w:r>
              <w:rPr>
                <w:rFonts w:ascii="宋体" w:hAnsi="宋体" w:cs="宋体"/>
                <w:color w:val="000000"/>
                <w:sz w:val="20"/>
                <w:lang w:val="en-US" w:eastAsia="zh-CN"/>
              </w:rPr>
              <w:t>二、单价100万元（含）以上设备（不含车辆）(台、套)</w:t>
            </w:r>
          </w:p>
        </w:tc>
        <w:tc>
          <w:tcPr>
            <w:tcW w:w="880" w:type="dxa"/>
            <w:noWrap w:val="0"/>
            <w:vAlign w:val="center"/>
          </w:tcPr>
          <w:p>
            <w:pPr>
              <w:jc w:val="center"/>
              <w:rPr>
                <w:lang w:val="en-US" w:eastAsia="zh-CN"/>
              </w:rPr>
            </w:pPr>
            <w:r>
              <w:rPr>
                <w:rFonts w:ascii="宋体" w:hAnsi="宋体" w:cs="宋体"/>
                <w:color w:val="000000"/>
                <w:sz w:val="20"/>
                <w:lang w:val="en-US" w:eastAsia="zh-CN"/>
              </w:rPr>
              <w:t>10</w:t>
            </w:r>
          </w:p>
        </w:tc>
        <w:tc>
          <w:tcPr>
            <w:tcW w:w="2265" w:type="dxa"/>
            <w:noWrap w:val="0"/>
            <w:vAlign w:val="center"/>
          </w:tcPr>
          <w:p>
            <w:pPr>
              <w:jc w:val="right"/>
              <w:rPr>
                <w:lang w:val="en-US" w:eastAsia="zh-CN"/>
              </w:rPr>
            </w:pPr>
            <w:r>
              <w:rPr>
                <w:rFonts w:hint="eastAsia" w:ascii="宋体" w:hAnsi="宋体" w:cs="宋体"/>
                <w:color w:val="000000"/>
                <w:sz w:val="20"/>
                <w:lang w:val="en-US" w:eastAsia="zh-CN"/>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wBefore w:w="0" w:type="dxa"/>
          <w:wAfter w:w="0" w:type="dxa"/>
          <w:trHeight w:val="970" w:hRule="exact"/>
          <w:jc w:val="center"/>
        </w:trPr>
        <w:tc>
          <w:tcPr>
            <w:tcW w:w="8925" w:type="dxa"/>
            <w:gridSpan w:val="5"/>
            <w:tcBorders>
              <w:left w:val="single" w:color="FFFFFF" w:sz="4" w:space="0"/>
              <w:bottom w:val="single" w:color="FFFFFF" w:sz="4" w:space="0"/>
              <w:right w:val="single" w:color="FFFFFF" w:sz="4" w:space="0"/>
            </w:tcBorders>
            <w:noWrap w:val="0"/>
            <w:vAlign w:val="center"/>
          </w:tcPr>
          <w:p>
            <w:pPr>
              <w:jc w:val="left"/>
              <w:rPr>
                <w:lang w:val="en-US" w:eastAsia="zh-CN"/>
              </w:rPr>
            </w:pPr>
            <w:r>
              <w:rPr>
                <w:rFonts w:ascii="宋体" w:hAnsi="宋体" w:cs="宋体"/>
                <w:color w:val="000000"/>
                <w:sz w:val="20"/>
                <w:lang w:val="en-US" w:eastAsia="zh-CN"/>
              </w:rPr>
              <w:t>注：1.本表反映截止202</w:t>
            </w:r>
            <w:r>
              <w:rPr>
                <w:rFonts w:hint="eastAsia" w:ascii="宋体" w:hAnsi="宋体" w:cs="宋体"/>
                <w:color w:val="000000"/>
                <w:sz w:val="20"/>
                <w:lang w:val="en-US" w:eastAsia="zh-CN"/>
              </w:rPr>
              <w:t>4</w:t>
            </w:r>
            <w:r>
              <w:rPr>
                <w:rFonts w:ascii="宋体" w:hAnsi="宋体" w:cs="宋体"/>
                <w:color w:val="000000"/>
                <w:sz w:val="20"/>
                <w:lang w:val="en-US" w:eastAsia="zh-CN"/>
              </w:rPr>
              <w:t>年12月31日，部门(单位)占用的国有资产情况。</w:t>
            </w:r>
          </w:p>
          <w:p>
            <w:pPr>
              <w:jc w:val="left"/>
              <w:rPr>
                <w:lang w:val="en-US" w:eastAsia="zh-CN"/>
              </w:rPr>
            </w:pPr>
            <w:r>
              <w:rPr>
                <w:rFonts w:ascii="宋体" w:hAnsi="宋体" w:cs="宋体"/>
                <w:color w:val="000000"/>
                <w:sz w:val="20"/>
                <w:lang w:val="en-US" w:eastAsia="zh-CN"/>
              </w:rPr>
              <w:t xml:space="preserve">    2.当本表数据为空时，即本部门（单位）无相关资产。</w:t>
            </w:r>
          </w:p>
        </w:tc>
      </w:tr>
    </w:tbl>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pageBreakBefore/>
        <w:widowControl/>
        <w:spacing w:line="600" w:lineRule="exact"/>
        <w:jc w:val="center"/>
        <w:outlineLvl w:val="0"/>
        <w:rPr>
          <w:rFonts w:hint="eastAsia" w:ascii="宋体" w:hAnsi="宋体" w:cs="宋体"/>
          <w:b/>
          <w:sz w:val="44"/>
          <w:szCs w:val="44"/>
          <w:lang w:val="en-US" w:eastAsia="zh-CN"/>
        </w:rPr>
      </w:pPr>
    </w:p>
    <w:p>
      <w:pPr>
        <w:widowControl/>
        <w:spacing w:line="600" w:lineRule="exact"/>
        <w:jc w:val="center"/>
        <w:outlineLvl w:val="0"/>
        <w:rPr>
          <w:rFonts w:hint="eastAsia" w:ascii="宋体" w:hAnsi="宋体" w:cs="宋体"/>
          <w:b/>
          <w:sz w:val="44"/>
          <w:szCs w:val="44"/>
          <w:lang w:val="en-US" w:eastAsia="zh-CN"/>
        </w:rPr>
      </w:pPr>
      <w:r>
        <w:rPr>
          <w:rFonts w:hint="eastAsia" w:ascii="宋体" w:hAnsi="宋体" w:cs="宋体"/>
          <w:b/>
          <w:sz w:val="44"/>
          <w:szCs w:val="44"/>
          <w:lang w:val="en-US" w:eastAsia="zh-CN"/>
        </w:rPr>
        <w:t>第三部分  2024年度部门决算情况说明</w:t>
      </w:r>
    </w:p>
    <w:p>
      <w:pPr>
        <w:ind w:firstLine="630"/>
        <w:jc w:val="left"/>
        <w:rPr>
          <w:rFonts w:hint="eastAsia" w:ascii="仿宋_GB2312" w:hAnsi="仿宋_GB2312" w:eastAsia="仿宋_GB2312"/>
          <w:sz w:val="30"/>
          <w:szCs w:val="30"/>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一、收入决算情况说明</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收入总计4788.57万元，其中年初结转和结余59.16万元，比上年增加59.16万元；使用非财政拨款结余(含专用结余）0.00万元，与上年持平；本年收入合计4729.40万元，比上年增加1152.36万元，增长32.22%，主要原因：上一年度部分项目资金未及时拨付，结转至本年度继续使用。</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 xml:space="preserve">本年收入的具体构成：财政拨款收入3791.08万元，占80.16%；事业收入0.00万元，占0.00%；经营收入0.00万元，占0.00%；上级补助收入0.00万元，占0.00%；附属单位上缴收入0.00万元，占0.00%；其他收入938.32万元，占19.84%。  </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二、支出决算情况说明</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本部门2024年度支出总计4788.57万元，其中本年支出合计4708.63万元，比上年增加1190.75万元，增长33.85%，主要原因：</w:t>
      </w:r>
      <w:r>
        <w:rPr>
          <w:rFonts w:hint="eastAsia" w:ascii="宋体" w:hAnsi="宋体" w:eastAsia="仿宋_GB2312"/>
          <w:color w:val="auto"/>
          <w:sz w:val="32"/>
          <w:szCs w:val="30"/>
          <w:lang w:val="en-US" w:eastAsia="zh-CN"/>
        </w:rPr>
        <w:t>乡村振兴项目调整</w:t>
      </w:r>
      <w:r>
        <w:rPr>
          <w:rFonts w:hint="eastAsia" w:ascii="仿宋_GB2312" w:hAnsi="仿宋_GB2312" w:eastAsia="仿宋_GB2312"/>
          <w:sz w:val="32"/>
          <w:szCs w:val="32"/>
          <w:lang w:val="en-US" w:eastAsia="zh-CN"/>
        </w:rPr>
        <w:t>；结余分配0.00万元，与上年持平；年末结转和结余79.94万元，比上年增加20.77万元，增长35.11%，主要原因：上一年度部分项目资金未及时拨付，结转至本年度继续使用。</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本年支出的具体构成：基本支出1101.21万元，占23.39%；项目支出3607.42万元，占76.61%；经营支出0.00万元，占0.00%；上缴上级支出0.00万元，占0.00%；对附属单位补助支出0.00万元，占0.00%。</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三、财政拨款支出决算情况说明</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本部门2024年度财政拨款本年支出年初预算数676.24万元，决算数3791.08万元，完成年初预算的560.61%。其中：</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（一）一般公共服务支出（类）年初预算数508.67万元，决算数1296.55万元，完成年初预算的254.89%。预决算差异主要原因：</w:t>
      </w:r>
      <w:r>
        <w:rPr>
          <w:rFonts w:hint="eastAsia" w:ascii="仿宋_GB2312" w:hAnsi="仿宋_GB2312" w:eastAsia="仿宋_GB2312" w:cs="Times New Roman"/>
          <w:sz w:val="32"/>
          <w:szCs w:val="32"/>
          <w:lang w:eastAsia="zh-CN"/>
        </w:rPr>
        <w:t>项目支出的调整</w:t>
      </w:r>
      <w:r>
        <w:rPr>
          <w:rFonts w:hint="eastAsia" w:ascii="仿宋_GB2312" w:hAnsi="仿宋_GB2312" w:eastAsia="仿宋_GB2312"/>
          <w:sz w:val="32"/>
          <w:szCs w:val="32"/>
          <w:lang w:val="en-US" w:eastAsia="zh-CN"/>
        </w:rPr>
        <w:t xml:space="preserve">。 </w:t>
      </w:r>
    </w:p>
    <w:p>
      <w:pPr>
        <w:ind w:firstLine="640" w:firstLineChars="200"/>
        <w:jc w:val="left"/>
        <w:rPr>
          <w:rFonts w:hint="eastAsia" w:ascii="仿宋_GB2312" w:hAnsi="仿宋_GB2312" w:eastAsia="仿宋_GB2312"/>
          <w:color w:val="auto"/>
          <w:sz w:val="32"/>
          <w:szCs w:val="32"/>
          <w:highlight w:val="yellow"/>
          <w:lang w:val="en-US" w:eastAsia="zh-CN"/>
        </w:rPr>
      </w:pPr>
      <w:r>
        <w:rPr>
          <w:rFonts w:hint="eastAsia" w:ascii="仿宋_GB2312" w:hAnsi="仿宋_GB2312" w:eastAsia="仿宋_GB2312"/>
          <w:sz w:val="32"/>
          <w:szCs w:val="32"/>
          <w:lang w:val="en-US" w:eastAsia="zh-CN"/>
        </w:rPr>
        <w:t>（二）文化旅游体育与传媒支出（类）年初预算数0.00万元，决算数11.71万元，预决算差异主要原因</w:t>
      </w:r>
      <w:r>
        <w:rPr>
          <w:rFonts w:hint="eastAsia" w:ascii="仿宋_GB2312" w:hAnsi="仿宋_GB2312" w:eastAsia="仿宋_GB2312"/>
          <w:sz w:val="32"/>
          <w:szCs w:val="32"/>
          <w:highlight w:val="none"/>
          <w:lang w:val="en-US" w:eastAsia="zh-CN"/>
        </w:rPr>
        <w:t>：</w:t>
      </w:r>
      <w:r>
        <w:rPr>
          <w:rFonts w:hint="eastAsia" w:ascii="仿宋_GB2312" w:hAnsi="仿宋_GB2312" w:eastAsia="仿宋_GB2312"/>
          <w:color w:val="auto"/>
          <w:sz w:val="32"/>
          <w:szCs w:val="32"/>
          <w:highlight w:val="none"/>
          <w:lang w:val="en-US" w:eastAsia="zh-CN"/>
        </w:rPr>
        <w:t>新增项目。</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（三）社会保障和就业支出（类）年初预算数71.42万元，决算数342.38万元，完成年初预算的479.39%。预决算差异主要原因：住房公积金、</w:t>
      </w:r>
      <w:r>
        <w:rPr>
          <w:rFonts w:hint="eastAsia" w:ascii="仿宋_GB2312" w:hAnsi="仿宋_GB2312" w:eastAsia="仿宋_GB2312"/>
          <w:sz w:val="32"/>
          <w:szCs w:val="32"/>
          <w:lang w:eastAsia="zh-CN"/>
        </w:rPr>
        <w:t>社保基数的调整</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（四）卫生健康支出（类）年初预算数37.27万元，决算数37.27万元，完成年初预算的100.00%。</w:t>
      </w:r>
    </w:p>
    <w:p>
      <w:pPr>
        <w:ind w:firstLine="640" w:firstLineChars="200"/>
        <w:jc w:val="left"/>
        <w:rPr>
          <w:rFonts w:hint="eastAsia" w:ascii="仿宋_GB2312" w:hAnsi="仿宋_GB2312" w:eastAsia="仿宋_GB2312"/>
          <w:sz w:val="32"/>
          <w:szCs w:val="32"/>
          <w:highlight w:val="none"/>
          <w:lang w:val="en-US" w:eastAsia="zh-CN"/>
        </w:rPr>
      </w:pPr>
      <w:r>
        <w:rPr>
          <w:rFonts w:hint="eastAsia" w:ascii="仿宋_GB2312" w:hAnsi="仿宋_GB2312" w:eastAsia="仿宋_GB2312"/>
          <w:sz w:val="32"/>
          <w:szCs w:val="32"/>
          <w:lang w:val="en-US" w:eastAsia="zh-CN"/>
        </w:rPr>
        <w:t>（五）节能环保支出（类）年初预算数0.00万元，决算数25.00万元，预决算差异主要原因：</w:t>
      </w:r>
      <w:r>
        <w:rPr>
          <w:rFonts w:hint="eastAsia" w:ascii="仿宋_GB2312" w:hAnsi="仿宋_GB2312" w:eastAsia="仿宋_GB2312"/>
          <w:sz w:val="32"/>
          <w:szCs w:val="32"/>
          <w:highlight w:val="none"/>
          <w:lang w:val="en-US" w:eastAsia="zh-CN"/>
        </w:rPr>
        <w:t>新增项目。</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（六）城乡社区支出（类）年初预算数0.00万元，决算数155.78万元，预决算差异主要原因</w:t>
      </w:r>
      <w:r>
        <w:rPr>
          <w:rFonts w:hint="eastAsia" w:ascii="仿宋_GB2312" w:hAnsi="仿宋_GB2312" w:eastAsia="仿宋_GB2312"/>
          <w:sz w:val="32"/>
          <w:szCs w:val="32"/>
          <w:lang w:eastAsia="zh-CN"/>
        </w:rPr>
        <w:t>乡镇基础设施配套调整</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（七）农林水支出（类）年初预算数0.00万元，决算数1197.21万元，预决算差异主要原因：</w:t>
      </w:r>
      <w:r>
        <w:rPr>
          <w:rFonts w:hint="eastAsia" w:ascii="仿宋_GB2312" w:hAnsi="仿宋_GB2312" w:eastAsia="仿宋_GB2312"/>
          <w:sz w:val="32"/>
          <w:szCs w:val="32"/>
          <w:lang w:eastAsia="zh-CN"/>
        </w:rPr>
        <w:t>巩固拓展脱贫攻坚成果，推动农业产业发展和美丽乡村建设</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highlight w:val="yellow"/>
          <w:lang w:val="en-US" w:eastAsia="zh-CN"/>
        </w:rPr>
      </w:pPr>
      <w:r>
        <w:rPr>
          <w:rFonts w:hint="eastAsia" w:ascii="仿宋_GB2312" w:hAnsi="仿宋_GB2312" w:eastAsia="仿宋_GB2312"/>
          <w:sz w:val="32"/>
          <w:szCs w:val="32"/>
          <w:lang w:val="en-US" w:eastAsia="zh-CN"/>
        </w:rPr>
        <w:t>（八）自然资源海洋气象等支出（类）年初预算数0.00万元，决算数20.00万元，预决算差异主要原因：新增</w:t>
      </w:r>
      <w:r>
        <w:rPr>
          <w:rFonts w:hint="eastAsia" w:ascii="仿宋_GB2312" w:hAnsi="仿宋_GB2312" w:eastAsia="仿宋_GB2312"/>
          <w:sz w:val="32"/>
          <w:szCs w:val="32"/>
          <w:highlight w:val="none"/>
          <w:lang w:val="en-US" w:eastAsia="zh-CN"/>
        </w:rPr>
        <w:t>项目。</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（九）住房保障支出（类）年初预算数58.88万元，决算数58.88万元，完成年初预算的100.00%。</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（十）灾害防治及应急管理支出（类）年初预算数0.00万元，决算数29.35万元，预决算差异主要原因：</w:t>
      </w:r>
      <w:r>
        <w:rPr>
          <w:rFonts w:hint="eastAsia" w:ascii="仿宋_GB2312" w:hAnsi="仿宋_GB2312" w:eastAsia="仿宋_GB2312"/>
          <w:sz w:val="32"/>
          <w:szCs w:val="32"/>
          <w:lang w:eastAsia="zh-CN"/>
        </w:rPr>
        <w:t>政策推动</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（十一）其他支出（类）年初预算数0.00万元，决算数616.94万元，预决算差异主要原因：</w:t>
      </w:r>
      <w:r>
        <w:rPr>
          <w:rFonts w:hint="eastAsia" w:ascii="仿宋_GB2312" w:hAnsi="仿宋_GB2312" w:eastAsia="仿宋_GB2312"/>
          <w:sz w:val="32"/>
          <w:szCs w:val="32"/>
          <w:lang w:eastAsia="zh-CN"/>
        </w:rPr>
        <w:t>项目调整</w:t>
      </w:r>
      <w:r>
        <w:rPr>
          <w:rFonts w:hint="eastAsia" w:ascii="仿宋_GB2312" w:hAnsi="仿宋_GB2312" w:eastAsia="仿宋_GB2312"/>
          <w:sz w:val="32"/>
          <w:szCs w:val="32"/>
          <w:lang w:val="en-US" w:eastAsia="zh-CN"/>
        </w:rPr>
        <w:t>。</w:t>
      </w:r>
    </w:p>
    <w:p>
      <w:pPr>
        <w:ind w:firstLine="585"/>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四、一般公共预算财政拨款基本支出决算情况说明</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本部门2024年度一般公共预算财政拨款基本支出1101.21万元，其中：</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（一）工资福利支出826.11万元，比上年增加123.23万元，增长17.53%，主要原因：</w:t>
      </w:r>
      <w:r>
        <w:rPr>
          <w:rFonts w:hint="eastAsia" w:ascii="仿宋_GB2312" w:hAnsi="仿宋_GB2312" w:eastAsia="仿宋_GB2312"/>
          <w:color w:val="auto"/>
          <w:sz w:val="32"/>
          <w:szCs w:val="32"/>
          <w:lang w:val="en-US" w:eastAsia="zh-CN"/>
        </w:rPr>
        <w:t>人员新增</w:t>
      </w:r>
      <w:r>
        <w:rPr>
          <w:rFonts w:hint="eastAsia" w:ascii="仿宋_GB2312" w:hAnsi="仿宋_GB2312" w:eastAsia="仿宋_GB2312"/>
          <w:sz w:val="32"/>
          <w:szCs w:val="32"/>
          <w:lang w:val="en-US" w:eastAsia="zh-CN"/>
        </w:rPr>
        <w:t>。</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（二）商品和服务支出102.30万元，比上年减少219.16万元，下降68.18%，主要原因：</w:t>
      </w:r>
      <w:r>
        <w:rPr>
          <w:rFonts w:hint="eastAsia" w:ascii="宋体" w:hAnsi="宋体" w:eastAsia="仿宋_GB2312" w:cs="Times New Roman"/>
          <w:sz w:val="32"/>
          <w:szCs w:val="30"/>
          <w:lang w:eastAsia="zh-CN"/>
        </w:rPr>
        <w:t>本年度办公费，印刷费，材料费业务委托费，工会经费等支出比上年减少</w:t>
      </w:r>
      <w:r>
        <w:rPr>
          <w:rFonts w:hint="eastAsia" w:ascii="仿宋_GB2312" w:hAnsi="仿宋_GB2312" w:eastAsia="仿宋_GB2312"/>
          <w:sz w:val="32"/>
          <w:szCs w:val="32"/>
          <w:lang w:val="en-US" w:eastAsia="zh-CN"/>
        </w:rPr>
        <w:t>。</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（三）对个人和家庭补助支出172.80万元，比上年增加92.63万元，增长115.54%，主要原因：</w:t>
      </w:r>
      <w:r>
        <w:rPr>
          <w:rFonts w:hint="eastAsia" w:ascii="宋体" w:hAnsi="宋体" w:eastAsia="仿宋_GB2312" w:cs="Times New Roman"/>
          <w:sz w:val="32"/>
          <w:szCs w:val="30"/>
          <w:lang w:eastAsia="zh-CN"/>
        </w:rPr>
        <w:t>离退休人员绩效增加</w:t>
      </w:r>
      <w:r>
        <w:rPr>
          <w:rFonts w:hint="eastAsia" w:ascii="仿宋_GB2312" w:hAnsi="仿宋_GB2312" w:eastAsia="仿宋_GB2312"/>
          <w:sz w:val="32"/>
          <w:szCs w:val="32"/>
          <w:lang w:val="en-US" w:eastAsia="zh-CN"/>
        </w:rPr>
        <w:t>。</w:t>
      </w:r>
    </w:p>
    <w:p>
      <w:pPr>
        <w:ind w:firstLine="585"/>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（四）资本性支出0.00万元，与上年持平，主要原因：</w:t>
      </w:r>
      <w:r>
        <w:rPr>
          <w:rFonts w:hint="eastAsia" w:ascii="仿宋_GB2312" w:hAnsi="仿宋_GB2312" w:eastAsia="仿宋_GB2312"/>
          <w:color w:val="auto"/>
          <w:sz w:val="32"/>
          <w:szCs w:val="32"/>
          <w:lang w:eastAsia="zh-CN"/>
        </w:rPr>
        <w:t>无此项支出</w:t>
      </w:r>
      <w:r>
        <w:rPr>
          <w:rFonts w:hint="eastAsia" w:ascii="仿宋_GB2312" w:hAnsi="仿宋_GB2312" w:eastAsia="仿宋_GB2312"/>
          <w:sz w:val="32"/>
          <w:szCs w:val="32"/>
          <w:lang w:val="en-US" w:eastAsia="zh-CN"/>
        </w:rPr>
        <w:t>。</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五、财政拨款“三公”经费支出决算情况说明</w:t>
      </w:r>
    </w:p>
    <w:p>
      <w:pPr>
        <w:ind w:firstLine="63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本部门2024年度财政拨款“三公”经费支出全年预算数29.60万元，决算数11.43万元，完成全年预算的38.61%；决算数比上年减少3.16万元，下降21.68%，其中：</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（一）因公出国（境）费全年预算数0.00万元，决算数0.00万元，主要原因</w:t>
      </w:r>
      <w:r>
        <w:rPr>
          <w:rFonts w:hint="eastAsia" w:ascii="仿宋_GB2312" w:hAnsi="仿宋_GB2312" w:eastAsia="仿宋_GB2312"/>
          <w:b w:val="0"/>
          <w:bCs w:val="0"/>
          <w:color w:val="auto"/>
          <w:sz w:val="32"/>
          <w:szCs w:val="32"/>
          <w:lang w:val="en-US" w:eastAsia="zh-CN"/>
        </w:rPr>
        <w:t>：</w:t>
      </w:r>
      <w:r>
        <w:rPr>
          <w:rFonts w:hint="eastAsia" w:ascii="宋体" w:hAnsi="宋体" w:eastAsia="仿宋_GB2312" w:cs="Times New Roman"/>
          <w:sz w:val="32"/>
          <w:szCs w:val="30"/>
          <w:lang w:val="en-US" w:eastAsia="zh-CN"/>
        </w:rPr>
        <w:t>无因公出国人员</w:t>
      </w:r>
      <w:r>
        <w:rPr>
          <w:rFonts w:hint="eastAsia" w:ascii="仿宋_GB2312" w:hAnsi="仿宋_GB2312" w:eastAsia="仿宋_GB2312"/>
          <w:sz w:val="32"/>
          <w:szCs w:val="32"/>
          <w:lang w:val="en-US" w:eastAsia="zh-CN"/>
        </w:rPr>
        <w:t>。决算数与上年持平，主要原因：</w:t>
      </w:r>
      <w:r>
        <w:rPr>
          <w:rFonts w:hint="eastAsia" w:ascii="宋体" w:hAnsi="宋体" w:eastAsia="仿宋_GB2312" w:cs="Times New Roman"/>
          <w:sz w:val="32"/>
          <w:szCs w:val="30"/>
          <w:lang w:val="en-US" w:eastAsia="zh-CN"/>
        </w:rPr>
        <w:t>无因公出国人员</w:t>
      </w:r>
      <w:r>
        <w:rPr>
          <w:rFonts w:hint="eastAsia" w:ascii="仿宋_GB2312" w:hAnsi="仿宋_GB2312" w:eastAsia="仿宋_GB2312"/>
          <w:sz w:val="32"/>
          <w:szCs w:val="32"/>
          <w:lang w:val="en-US" w:eastAsia="zh-CN"/>
        </w:rPr>
        <w:t>。全年安排因公出国（境）团组0个，累计0人次，主要是：</w:t>
      </w:r>
      <w:r>
        <w:rPr>
          <w:rFonts w:hint="eastAsia" w:ascii="宋体" w:hAnsi="宋体" w:eastAsia="仿宋_GB2312" w:cs="Times New Roman"/>
          <w:sz w:val="32"/>
          <w:szCs w:val="30"/>
          <w:lang w:val="en-US" w:eastAsia="zh-CN"/>
        </w:rPr>
        <w:t>无因公出国人员</w:t>
      </w:r>
      <w:r>
        <w:rPr>
          <w:rFonts w:hint="eastAsia" w:ascii="仿宋_GB2312" w:hAnsi="仿宋_GB2312" w:eastAsia="仿宋_GB2312"/>
          <w:sz w:val="32"/>
          <w:szCs w:val="32"/>
          <w:lang w:val="en-US" w:eastAsia="zh-CN"/>
        </w:rPr>
        <w:t>。</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（二）公务用车购置及运行维护费全年预算数8.41万元，决算数6.39万元，其中：</w:t>
      </w:r>
    </w:p>
    <w:p>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公务用车购置全年预算数0.00万元，决算数0.00万元，主要原因：</w:t>
      </w:r>
      <w:r>
        <w:rPr>
          <w:rFonts w:hint="eastAsia" w:ascii="宋体" w:hAnsi="宋体" w:eastAsia="仿宋_GB2312" w:cs="Times New Roman"/>
          <w:sz w:val="32"/>
          <w:szCs w:val="30"/>
          <w:lang w:val="en-US" w:eastAsia="zh-CN"/>
        </w:rPr>
        <w:t>无车辆报废不购置新车辆</w:t>
      </w:r>
      <w:r>
        <w:rPr>
          <w:rFonts w:hint="eastAsia" w:ascii="仿宋_GB2312" w:hAnsi="仿宋_GB2312" w:eastAsia="仿宋_GB2312"/>
          <w:sz w:val="32"/>
          <w:szCs w:val="32"/>
          <w:lang w:val="en-US" w:eastAsia="zh-CN"/>
        </w:rPr>
        <w:t>。决算数与上年持平,主要原因：</w:t>
      </w:r>
      <w:r>
        <w:rPr>
          <w:rFonts w:hint="eastAsia" w:ascii="宋体" w:hAnsi="宋体" w:eastAsia="仿宋_GB2312" w:cs="Times New Roman"/>
          <w:sz w:val="32"/>
          <w:szCs w:val="30"/>
          <w:lang w:val="en-US" w:eastAsia="zh-CN"/>
        </w:rPr>
        <w:t>无车辆报废不购置新车辆</w:t>
      </w:r>
      <w:r>
        <w:rPr>
          <w:rFonts w:hint="eastAsia" w:ascii="仿宋_GB2312" w:hAnsi="仿宋_GB2312" w:eastAsia="仿宋_GB2312"/>
          <w:sz w:val="32"/>
          <w:szCs w:val="32"/>
          <w:lang w:val="en-US" w:eastAsia="zh-CN"/>
        </w:rPr>
        <w:t>。全年使用财政拨款购置公务用车0辆。</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公务用车运行维护费全年预算数8.41万元，决算数6.39万元，完成全年预算的75.97%，主要原因：</w:t>
      </w:r>
      <w:r>
        <w:rPr>
          <w:rFonts w:hint="eastAsia" w:ascii="宋体" w:hAnsi="宋体" w:eastAsia="仿宋_GB2312" w:cs="Times New Roman"/>
          <w:sz w:val="32"/>
          <w:szCs w:val="30"/>
          <w:lang w:val="en-US" w:eastAsia="zh-CN"/>
        </w:rPr>
        <w:t>厉行节约</w:t>
      </w:r>
      <w:r>
        <w:rPr>
          <w:rFonts w:hint="eastAsia" w:ascii="仿宋_GB2312" w:hAnsi="仿宋_GB2312" w:eastAsia="仿宋_GB2312"/>
          <w:sz w:val="32"/>
          <w:szCs w:val="32"/>
          <w:lang w:val="en-US" w:eastAsia="zh-CN"/>
        </w:rPr>
        <w:t>。决算数比上年减少0.46万元，下降6.74%,主要原因：</w:t>
      </w:r>
      <w:r>
        <w:rPr>
          <w:rFonts w:hint="eastAsia" w:ascii="宋体" w:hAnsi="宋体" w:eastAsia="仿宋_GB2312" w:cs="Times New Roman"/>
          <w:sz w:val="32"/>
          <w:szCs w:val="30"/>
          <w:lang w:val="en-US" w:eastAsia="zh-CN"/>
        </w:rPr>
        <w:t>厉行节约</w:t>
      </w:r>
      <w:r>
        <w:rPr>
          <w:rFonts w:hint="eastAsia" w:ascii="仿宋_GB2312" w:hAnsi="仿宋_GB2312" w:eastAsia="仿宋_GB2312"/>
          <w:sz w:val="32"/>
          <w:szCs w:val="32"/>
          <w:lang w:val="en-US" w:eastAsia="zh-CN"/>
        </w:rPr>
        <w:t>。年末使用财政拨款负担费用的公务用车保有量5辆。</w:t>
      </w:r>
    </w:p>
    <w:p>
      <w:pPr>
        <w:ind w:firstLine="640" w:firstLineChars="200"/>
        <w:jc w:val="left"/>
        <w:rPr>
          <w:rFonts w:ascii="仿宋_GB2312" w:hAnsi="仿宋_GB2312" w:eastAsia="仿宋_GB2312"/>
          <w:sz w:val="32"/>
          <w:szCs w:val="32"/>
          <w:lang w:val="en-US" w:eastAsia="zh-CN"/>
        </w:rPr>
      </w:pPr>
      <w:r>
        <w:rPr>
          <w:rFonts w:hint="eastAsia" w:ascii="仿宋_GB2312" w:hAnsi="仿宋_GB2312" w:eastAsia="仿宋_GB2312"/>
          <w:sz w:val="32"/>
          <w:szCs w:val="32"/>
          <w:lang w:val="en-US" w:eastAsia="zh-CN"/>
        </w:rPr>
        <w:t>（三）公务接待费全年预算数21.19万元，决算数5.04万元，完成全年预算的23.79%，主要原因：</w:t>
      </w:r>
      <w:r>
        <w:rPr>
          <w:rFonts w:hint="eastAsia" w:ascii="宋体" w:hAnsi="宋体" w:eastAsia="仿宋_GB2312" w:cs="Times New Roman"/>
          <w:sz w:val="32"/>
          <w:szCs w:val="30"/>
          <w:lang w:val="en-US" w:eastAsia="zh-CN"/>
        </w:rPr>
        <w:t>厉行节约</w:t>
      </w:r>
      <w:r>
        <w:rPr>
          <w:rFonts w:hint="eastAsia" w:ascii="仿宋_GB2312" w:hAnsi="仿宋_GB2312" w:eastAsia="仿宋_GB2312"/>
          <w:sz w:val="32"/>
          <w:szCs w:val="32"/>
          <w:lang w:val="en-US" w:eastAsia="zh-CN"/>
        </w:rPr>
        <w:t>。决算数比上年减少2.70万元，下降34.90%,主要原因：</w:t>
      </w:r>
      <w:r>
        <w:rPr>
          <w:rFonts w:hint="eastAsia" w:ascii="仿宋" w:hAnsi="仿宋" w:eastAsia="仿宋" w:cs="Times New Roman"/>
          <w:sz w:val="30"/>
          <w:szCs w:val="30"/>
          <w:lang w:val="en-US" w:eastAsia="zh-CN"/>
        </w:rPr>
        <w:t>执行财政厉行节俭节约公务接待费用支出</w:t>
      </w:r>
      <w:r>
        <w:rPr>
          <w:rFonts w:hint="eastAsia" w:ascii="仿宋_GB2312" w:hAnsi="仿宋_GB2312" w:eastAsia="仿宋_GB2312"/>
          <w:sz w:val="32"/>
          <w:szCs w:val="32"/>
          <w:lang w:val="en-US" w:eastAsia="zh-CN"/>
        </w:rPr>
        <w:t>。全年国内公务接待954批，累计接待954人次，主要是：招商引资客商接待、上级单位检查指导工作接待、信访维稳等</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六、机关运行经费支出情况说明</w:t>
      </w:r>
    </w:p>
    <w:p>
      <w:pPr>
        <w:ind w:firstLine="630"/>
        <w:jc w:val="left"/>
        <w:rPr>
          <w:rFonts w:hint="eastAsia" w:ascii="仿宋_GB2312" w:hAnsi="仿宋_GB2312" w:eastAsia="仿宋_GB2312"/>
          <w:sz w:val="32"/>
          <w:szCs w:val="32"/>
          <w:highlight w:val="cyan"/>
          <w:lang w:val="en-US" w:eastAsia="zh-CN"/>
        </w:rPr>
      </w:pPr>
      <w:r>
        <w:rPr>
          <w:rFonts w:hint="eastAsia" w:ascii="仿宋_GB2312" w:hAnsi="仿宋_GB2312" w:eastAsia="仿宋_GB2312"/>
          <w:sz w:val="32"/>
          <w:szCs w:val="32"/>
          <w:lang w:val="en-US" w:eastAsia="zh-CN"/>
        </w:rPr>
        <w:t>本部门2024年度机关运行经费支出102.30万元，决算数比上年减少219.16万元，下降68.18%，主要原因：</w:t>
      </w:r>
      <w:r>
        <w:rPr>
          <w:rFonts w:hint="eastAsia" w:ascii="仿宋" w:hAnsi="仿宋" w:eastAsia="仿宋"/>
          <w:sz w:val="30"/>
          <w:szCs w:val="30"/>
          <w:lang w:val="en-US" w:eastAsia="zh-CN"/>
        </w:rPr>
        <w:t>人员数量减少，开支随之减少</w:t>
      </w:r>
      <w:r>
        <w:rPr>
          <w:rFonts w:hint="eastAsia" w:ascii="仿宋_GB2312" w:hAnsi="仿宋_GB2312" w:eastAsia="仿宋_GB2312"/>
          <w:sz w:val="32"/>
          <w:szCs w:val="32"/>
          <w:lang w:val="en-US" w:eastAsia="zh-CN"/>
        </w:rPr>
        <w:t>。</w:t>
      </w:r>
    </w:p>
    <w:p>
      <w:pPr>
        <w:ind w:firstLine="630"/>
        <w:jc w:val="left"/>
        <w:outlineLvl w:val="1"/>
        <w:rPr>
          <w:rFonts w:ascii="黑体" w:hAnsi="黑体" w:eastAsia="黑体"/>
          <w:sz w:val="32"/>
          <w:szCs w:val="32"/>
          <w:lang w:val="en-US" w:eastAsia="zh-CN"/>
        </w:rPr>
      </w:pPr>
      <w:r>
        <w:rPr>
          <w:rFonts w:hint="eastAsia" w:ascii="黑体" w:hAnsi="黑体" w:eastAsia="黑体"/>
          <w:sz w:val="32"/>
          <w:szCs w:val="32"/>
          <w:lang w:val="en-US" w:eastAsia="zh-CN"/>
        </w:rPr>
        <w:t>七、政府采购支出情况说明</w:t>
      </w:r>
    </w:p>
    <w:p>
      <w:pPr>
        <w:pStyle w:val="13"/>
        <w:spacing w:line="600" w:lineRule="atLeast"/>
        <w:ind w:firstLine="600"/>
        <w:jc w:val="both"/>
        <w:rPr>
          <w:rFonts w:hint="eastAsia" w:ascii="仿宋_GB2312" w:hAnsi="仿宋_GB2312" w:eastAsia="仿宋_GB2312"/>
          <w:color w:val="auto"/>
          <w:sz w:val="32"/>
          <w:szCs w:val="32"/>
          <w:lang w:val="en-US" w:eastAsia="zh-CN"/>
        </w:rPr>
      </w:pPr>
      <w:r>
        <w:rPr>
          <w:rFonts w:hint="eastAsia" w:ascii="仿宋_GB2312" w:hAnsi="仿宋_GB2312" w:eastAsia="仿宋_GB2312"/>
          <w:kern w:val="2"/>
          <w:sz w:val="32"/>
          <w:szCs w:val="32"/>
          <w:lang w:val="en-US" w:eastAsia="zh-CN"/>
        </w:rPr>
        <w:t>本部门2024年度政府采购支出总额0.00万元，其中：政府采购货物支出0.00万元、政府采购工程支出0.00万元、政府采购服务支出0.00万元。授予中小企业合同金额0.00万元，占政府采购支出总额的0.00%，其中：授予小微企业合同金额0.00万元，占授予</w:t>
      </w:r>
      <w:r>
        <w:rPr>
          <w:rFonts w:hint="eastAsia" w:ascii="仿宋_GB2312" w:hAnsi="仿宋_GB2312" w:eastAsia="仿宋_GB2312"/>
          <w:color w:val="auto"/>
          <w:kern w:val="2"/>
          <w:sz w:val="32"/>
          <w:szCs w:val="32"/>
          <w:lang w:val="en-US" w:eastAsia="zh-CN"/>
        </w:rPr>
        <w:t>中小企业合同金额的0.00%。</w:t>
      </w:r>
      <w:r>
        <w:rPr>
          <w:rFonts w:hint="eastAsia" w:ascii="仿宋_GB2312" w:hAnsi="仿宋_GB2312" w:eastAsia="仿宋_GB2312"/>
          <w:color w:val="auto"/>
          <w:sz w:val="32"/>
          <w:szCs w:val="32"/>
          <w:lang w:val="en-US" w:eastAsia="zh-CN"/>
        </w:rPr>
        <w:t>货物采购授予中小企业合同金额占货物支出金额的0.00%，工程采购授予中小企业合同金额占工程支出金额的0.00%，服务采购授予中小企业合同金额占服务支出金额的0.00%。</w:t>
      </w:r>
    </w:p>
    <w:p>
      <w:pPr>
        <w:ind w:firstLine="630"/>
        <w:jc w:val="left"/>
        <w:outlineLvl w:val="1"/>
        <w:rPr>
          <w:rFonts w:hint="eastAsia" w:ascii="黑体" w:hAnsi="黑体" w:eastAsia="黑体"/>
          <w:color w:val="auto"/>
          <w:sz w:val="32"/>
          <w:szCs w:val="32"/>
          <w:lang w:val="en-US" w:eastAsia="zh-CN"/>
        </w:rPr>
      </w:pPr>
      <w:r>
        <w:rPr>
          <w:rFonts w:hint="eastAsia" w:ascii="黑体" w:hAnsi="黑体" w:eastAsia="黑体"/>
          <w:color w:val="auto"/>
          <w:sz w:val="32"/>
          <w:szCs w:val="32"/>
          <w:lang w:val="en-US" w:eastAsia="zh-CN"/>
        </w:rPr>
        <w:t>八、国有资产占用情况说明</w:t>
      </w:r>
    </w:p>
    <w:p>
      <w:pPr>
        <w:ind w:firstLine="630"/>
        <w:jc w:val="left"/>
        <w:rPr>
          <w:rFonts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截止2024年12月31日，本部门共有车辆</w:t>
      </w:r>
      <w:r>
        <w:rPr>
          <w:rFonts w:hint="eastAsia" w:ascii="仿宋_GB2312" w:hAnsi="仿宋_GB2312" w:eastAsia="仿宋_GB2312"/>
          <w:sz w:val="32"/>
          <w:szCs w:val="32"/>
          <w:lang w:val="en-US" w:eastAsia="zh-CN"/>
        </w:rPr>
        <w:t>5</w:t>
      </w:r>
      <w:r>
        <w:rPr>
          <w:rFonts w:hint="eastAsia" w:ascii="仿宋_GB2312" w:hAnsi="仿宋_GB2312" w:eastAsia="仿宋_GB2312"/>
          <w:kern w:val="0"/>
          <w:sz w:val="32"/>
          <w:szCs w:val="32"/>
          <w:lang w:val="en-US" w:eastAsia="zh-CN"/>
        </w:rPr>
        <w:t>辆（台），其中：副部（省）级及以上领导用车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辆、主要负责人用车</w:t>
      </w:r>
      <w:r>
        <w:rPr>
          <w:rFonts w:hint="eastAsia" w:ascii="仿宋_GB2312" w:hAnsi="仿宋_GB2312" w:eastAsia="仿宋_GB2312"/>
          <w:sz w:val="32"/>
          <w:szCs w:val="32"/>
          <w:lang w:val="en-US" w:eastAsia="zh-CN"/>
        </w:rPr>
        <w:t>2</w:t>
      </w:r>
      <w:r>
        <w:rPr>
          <w:rFonts w:hint="eastAsia" w:ascii="仿宋_GB2312" w:hAnsi="仿宋_GB2312" w:eastAsia="仿宋_GB2312"/>
          <w:kern w:val="0"/>
          <w:sz w:val="32"/>
          <w:szCs w:val="32"/>
          <w:lang w:val="en-US" w:eastAsia="zh-CN"/>
        </w:rPr>
        <w:t>辆、机要通信用车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辆、应急保障用车</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lang w:val="en-US" w:eastAsia="zh-CN"/>
        </w:rPr>
        <w:t>辆、执法执勤用车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辆、特种专业技术用车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辆、离退休干部服务用车</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辆、其他用车</w:t>
      </w:r>
      <w:r>
        <w:rPr>
          <w:rFonts w:hint="eastAsia" w:ascii="仿宋_GB2312" w:hAnsi="仿宋_GB2312" w:eastAsia="仿宋_GB2312"/>
          <w:sz w:val="32"/>
          <w:szCs w:val="32"/>
          <w:lang w:val="en-US" w:eastAsia="zh-CN"/>
        </w:rPr>
        <w:t>2</w:t>
      </w:r>
      <w:r>
        <w:rPr>
          <w:rFonts w:hint="eastAsia" w:ascii="仿宋_GB2312" w:hAnsi="仿宋_GB2312" w:eastAsia="仿宋_GB2312"/>
          <w:kern w:val="0"/>
          <w:sz w:val="32"/>
          <w:szCs w:val="32"/>
          <w:lang w:val="en-US" w:eastAsia="zh-CN"/>
        </w:rPr>
        <w:t>辆</w:t>
      </w:r>
      <w:r>
        <w:rPr>
          <w:rFonts w:hint="eastAsia" w:ascii="仿宋_GB2312" w:hAnsi="仿宋_GB2312" w:eastAsia="仿宋_GB2312"/>
          <w:sz w:val="32"/>
          <w:szCs w:val="32"/>
          <w:lang w:val="en-US" w:eastAsia="zh-CN"/>
        </w:rPr>
        <w:t>，其他用车主要是用于（此处请补充内容）</w:t>
      </w:r>
      <w:r>
        <w:rPr>
          <w:rFonts w:hint="eastAsia" w:ascii="仿宋_GB2312" w:hAnsi="仿宋_GB2312" w:eastAsia="仿宋_GB2312"/>
          <w:kern w:val="0"/>
          <w:sz w:val="32"/>
          <w:szCs w:val="32"/>
          <w:lang w:val="en-US" w:eastAsia="zh-CN"/>
        </w:rPr>
        <w:t>。本部门单价100万元（含）以上设备（不含车辆）</w:t>
      </w:r>
      <w:r>
        <w:rPr>
          <w:rFonts w:hint="eastAsia" w:ascii="仿宋_GB2312" w:hAnsi="仿宋_GB2312" w:eastAsia="仿宋_GB2312"/>
          <w:sz w:val="32"/>
          <w:szCs w:val="32"/>
          <w:lang w:val="en-US" w:eastAsia="zh-CN"/>
        </w:rPr>
        <w:t>0</w:t>
      </w:r>
      <w:r>
        <w:rPr>
          <w:rFonts w:hint="eastAsia" w:ascii="仿宋_GB2312" w:hAnsi="仿宋_GB2312" w:eastAsia="仿宋_GB2312"/>
          <w:kern w:val="0"/>
          <w:sz w:val="32"/>
          <w:szCs w:val="32"/>
          <w:lang w:val="en-US" w:eastAsia="zh-CN"/>
        </w:rPr>
        <w:t>台（套）。</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根据预算绩效管理要求，我部门组织对纳入2024年度部门预算范围的二级项目4个全面开展绩效自评，共涉及资金6933.7万元，占项目支出总额的21 %。其中，2个项目评价结果为“优”，  1个项目评价结果为“良”，1个项目评价结果为“中”，0个项目评价结果为“差”。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组织对4个项目开展了部门评价，分别为：</w:t>
      </w:r>
      <w:r>
        <w:rPr>
          <w:rFonts w:hint="eastAsia" w:ascii="仿宋_GB2312" w:hAnsi="仿宋_GB2312" w:eastAsia="仿宋_GB2312"/>
          <w:color w:val="auto"/>
          <w:sz w:val="32"/>
          <w:szCs w:val="32"/>
          <w:lang w:eastAsia="zh-CN"/>
        </w:rPr>
        <w:t>“202</w:t>
      </w:r>
      <w:r>
        <w:rPr>
          <w:rFonts w:hint="eastAsia" w:ascii="仿宋_GB2312" w:hAnsi="仿宋_GB2312" w:eastAsia="仿宋_GB2312"/>
          <w:color w:val="auto"/>
          <w:sz w:val="32"/>
          <w:szCs w:val="32"/>
          <w:lang w:val="en-US" w:eastAsia="zh-CN"/>
        </w:rPr>
        <w:t>4</w:t>
      </w:r>
      <w:r>
        <w:rPr>
          <w:rFonts w:hint="eastAsia" w:ascii="仿宋_GB2312" w:hAnsi="仿宋_GB2312" w:eastAsia="仿宋_GB2312"/>
          <w:color w:val="auto"/>
          <w:sz w:val="32"/>
          <w:szCs w:val="32"/>
          <w:lang w:eastAsia="zh-CN"/>
        </w:rPr>
        <w:t>年衔接推进乡村振兴项目资金”、“上级资金”、“非“三保”资金”、“其他资金”</w:t>
      </w:r>
      <w:r>
        <w:rPr>
          <w:rFonts w:hint="eastAsia" w:ascii="仿宋_GB2312" w:hAnsi="仿宋_GB2312" w:eastAsia="仿宋_GB2312" w:cs="仿宋_GB2312"/>
          <w:kern w:val="0"/>
          <w:sz w:val="32"/>
          <w:szCs w:val="32"/>
          <w:lang w:val="en-US" w:eastAsia="zh-CN"/>
        </w:rPr>
        <w:t>。涉及一般公共预算支出2386.95万元，政府性基金预算支出546.7万元，国有资本预算支出0万元。从评价情况看，</w:t>
      </w:r>
      <w:r>
        <w:rPr>
          <w:rFonts w:hint="eastAsia" w:ascii="仿宋" w:hAnsi="仿宋" w:eastAsia="仿宋" w:cs="仿宋_GB2312"/>
          <w:kern w:val="0"/>
          <w:sz w:val="30"/>
          <w:szCs w:val="30"/>
          <w:lang w:eastAsia="zh-CN"/>
        </w:rPr>
        <w:t>项目建设基本达到年初设定绩效目标</w:t>
      </w:r>
      <w:r>
        <w:rPr>
          <w:rFonts w:hint="eastAsia" w:ascii="仿宋_GB2312" w:hAnsi="仿宋_GB2312" w:eastAsia="仿宋_GB2312" w:cs="仿宋_GB2312"/>
          <w:kern w:val="0"/>
          <w:sz w:val="32"/>
          <w:szCs w:val="32"/>
          <w:lang w:val="en-US" w:eastAsia="zh-CN"/>
        </w:rPr>
        <w:t>。</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组织开展部门整体支出绩效评价，涉及一般公共预算支出2386.95万元，政府性基金预算支出546.7万元，</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val="en-US" w:eastAsia="zh-CN"/>
        </w:rPr>
        <w:t>部门</w:t>
      </w:r>
      <w:r>
        <w:rPr>
          <w:rFonts w:hint="eastAsia" w:ascii="仿宋_GB2312" w:hAnsi="仿宋_GB2312" w:eastAsia="仿宋_GB2312" w:cs="仿宋_GB2312"/>
          <w:kern w:val="0"/>
          <w:sz w:val="32"/>
          <w:szCs w:val="32"/>
        </w:rPr>
        <w:t>建设基本达到年初设定绩效目标。</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（二）部门决算中项目绩效自评情况。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Times New Roman"/>
          <w:sz w:val="32"/>
          <w:szCs w:val="32"/>
          <w:lang w:val="en-US" w:eastAsia="zh-CN"/>
        </w:rPr>
        <w:t>兴国县杰村乡（本级）</w:t>
      </w:r>
      <w:r>
        <w:rPr>
          <w:rFonts w:hint="eastAsia" w:ascii="仿宋_GB2312" w:hAnsi="仿宋_GB2312" w:eastAsia="仿宋_GB2312" w:cs="仿宋_GB2312"/>
          <w:kern w:val="0"/>
          <w:sz w:val="32"/>
          <w:szCs w:val="32"/>
          <w:lang w:val="en-US" w:eastAsia="zh-CN"/>
        </w:rPr>
        <w:t>“2024年其他资金”“2024年非三保资金”“2024年上级资金（非三保）”“2024年衔接推进乡村振兴补助项目资金”等项目支出绩效自评结果如下：</w:t>
      </w:r>
    </w:p>
    <w:tbl>
      <w:tblPr>
        <w:tblStyle w:val="7"/>
        <w:tblpPr w:leftFromText="180" w:rightFromText="180" w:vertAnchor="text" w:horzAnchor="page" w:tblpX="1282" w:tblpY="635"/>
        <w:tblOverlap w:val="never"/>
        <w:tblW w:w="9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6"/>
        <w:gridCol w:w="497"/>
        <w:gridCol w:w="513"/>
        <w:gridCol w:w="1382"/>
        <w:gridCol w:w="1196"/>
        <w:gridCol w:w="517"/>
        <w:gridCol w:w="1049"/>
        <w:gridCol w:w="994"/>
        <w:gridCol w:w="546"/>
        <w:gridCol w:w="548"/>
        <w:gridCol w:w="766"/>
        <w:gridCol w:w="5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916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916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05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杰村乡2024年其他资金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1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708"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w:t>
            </w:r>
          </w:p>
        </w:tc>
        <w:tc>
          <w:tcPr>
            <w:tcW w:w="15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2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10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2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58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9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58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5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917.55</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22.94</w:t>
            </w:r>
          </w:p>
        </w:tc>
        <w:tc>
          <w:tcPr>
            <w:tcW w:w="5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60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21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34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5210"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项目160个</w:t>
            </w:r>
          </w:p>
        </w:tc>
        <w:tc>
          <w:tcPr>
            <w:tcW w:w="3343"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19"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8"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≥200万元</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≥2000人</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生态稳定</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≥150亩</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产出数量效益</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≥250户</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质量标准</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≥250亩</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时间效益</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经济成果</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≥2100人</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社会成果</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≥150人</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生态成果</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≥150亩</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60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73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10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trPr>
        <w:tc>
          <w:tcPr>
            <w:tcW w:w="6817"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96</w:t>
            </w:r>
          </w:p>
        </w:tc>
        <w:tc>
          <w:tcPr>
            <w:tcW w:w="127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tbl>
      <w:tblPr>
        <w:tblStyle w:val="7"/>
        <w:tblpPr w:leftFromText="180" w:rightFromText="180" w:vertAnchor="text" w:horzAnchor="page" w:tblpX="1327" w:tblpY="11735"/>
        <w:tblOverlap w:val="never"/>
        <w:tblW w:w="92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29"/>
        <w:gridCol w:w="527"/>
        <w:gridCol w:w="547"/>
        <w:gridCol w:w="1471"/>
        <w:gridCol w:w="1269"/>
        <w:gridCol w:w="561"/>
        <w:gridCol w:w="783"/>
        <w:gridCol w:w="1040"/>
        <w:gridCol w:w="528"/>
        <w:gridCol w:w="569"/>
        <w:gridCol w:w="766"/>
        <w:gridCol w:w="5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3" w:hRule="atLeast"/>
        </w:trPr>
        <w:tc>
          <w:tcPr>
            <w:tcW w:w="9260" w:type="dxa"/>
            <w:gridSpan w:val="12"/>
            <w:tcBorders>
              <w:top w:val="nil"/>
              <w:left w:val="nil"/>
              <w:bottom w:val="nil"/>
              <w:right w:val="nil"/>
            </w:tcBorders>
            <w:noWrap w:val="0"/>
            <w:vAlign w:val="center"/>
          </w:tcPr>
          <w:p>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26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42"/>
                <w:szCs w:val="42"/>
                <w:u w:val="none"/>
                <w:lang w:val="en-US" w:eastAsia="zh-CN" w:bidi="ar"/>
              </w:rPr>
              <w:t>项目支出绩效自评表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116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094"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杰村乡上级资金（非三保）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16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管部门</w:t>
            </w:r>
          </w:p>
        </w:tc>
        <w:tc>
          <w:tcPr>
            <w:tcW w:w="4685"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w:t>
            </w:r>
          </w:p>
        </w:tc>
        <w:tc>
          <w:tcPr>
            <w:tcW w:w="156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4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116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056"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5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6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116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05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1000.54</w:t>
            </w:r>
          </w:p>
        </w:tc>
        <w:tc>
          <w:tcPr>
            <w:tcW w:w="135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1000.54</w:t>
            </w:r>
          </w:p>
        </w:tc>
        <w:tc>
          <w:tcPr>
            <w:tcW w:w="156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945.96</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94.55</w:t>
            </w:r>
          </w:p>
        </w:tc>
        <w:tc>
          <w:tcPr>
            <w:tcW w:w="5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63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21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40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521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项目按时完工，资金拨付率达到98％</w:t>
            </w:r>
          </w:p>
        </w:tc>
        <w:tc>
          <w:tcPr>
            <w:tcW w:w="340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0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09"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0"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≥400万元</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≥500人</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生态成本</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≥100亩</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产出数量效益</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≥150户</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质量标准</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≥200吨</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时间效益</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≥5年</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≥500万元</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社会成果</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≥300人</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生态成果</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≥100亩</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632"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10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8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rPr>
        <w:tc>
          <w:tcPr>
            <w:tcW w:w="6904"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127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p>
      <w:pPr>
        <w:pStyle w:val="2"/>
        <w:rPr>
          <w:rFonts w:hint="eastAsia"/>
          <w:lang w:val="en-US" w:eastAsia="zh-CN"/>
        </w:rPr>
      </w:pPr>
    </w:p>
    <w:p>
      <w:pPr>
        <w:rPr>
          <w:rFonts w:hint="eastAsia"/>
          <w:lang w:val="en-US" w:eastAsia="zh-CN"/>
        </w:rPr>
      </w:pPr>
    </w:p>
    <w:p>
      <w:pPr>
        <w:rPr>
          <w:rFonts w:hint="eastAsia"/>
          <w:lang w:val="en-US" w:eastAsia="zh-CN"/>
        </w:rPr>
      </w:pPr>
    </w:p>
    <w:tbl>
      <w:tblPr>
        <w:tblStyle w:val="7"/>
        <w:tblpPr w:leftFromText="180" w:rightFromText="180" w:vertAnchor="text" w:horzAnchor="page" w:tblpX="1751" w:tblpY="632"/>
        <w:tblOverlap w:val="never"/>
        <w:tblW w:w="82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7"/>
        <w:gridCol w:w="453"/>
        <w:gridCol w:w="458"/>
        <w:gridCol w:w="1236"/>
        <w:gridCol w:w="1103"/>
        <w:gridCol w:w="458"/>
        <w:gridCol w:w="705"/>
        <w:gridCol w:w="912"/>
        <w:gridCol w:w="540"/>
        <w:gridCol w:w="539"/>
        <w:gridCol w:w="783"/>
        <w:gridCol w:w="5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826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826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40"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2024年衔接推进乡村振兴补助项目资金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10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6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w:t>
            </w:r>
          </w:p>
        </w:tc>
        <w:tc>
          <w:tcPr>
            <w:tcW w:w="145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2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10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69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16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5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69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0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546.7</w:t>
            </w:r>
          </w:p>
        </w:tc>
        <w:tc>
          <w:tcPr>
            <w:tcW w:w="116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546.7</w:t>
            </w:r>
          </w:p>
        </w:tc>
        <w:tc>
          <w:tcPr>
            <w:tcW w:w="145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521.99</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95.48</w:t>
            </w:r>
          </w:p>
        </w:tc>
        <w:tc>
          <w:tcPr>
            <w:tcW w:w="5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56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41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2"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4413"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完成总体绩效目标98％</w:t>
            </w:r>
          </w:p>
        </w:tc>
        <w:tc>
          <w:tcPr>
            <w:tcW w:w="328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567"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40"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9"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≥600万元</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≥200万元</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产出效益</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≥5000人</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收益质量</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时间效益</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≥10年</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≥400万元</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9"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≥500户</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生态收益</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67"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1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6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7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5892"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128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p>
      <w:pPr>
        <w:autoSpaceDE w:val="0"/>
        <w:autoSpaceDN w:val="0"/>
        <w:adjustRightInd w:val="0"/>
        <w:spacing w:line="360" w:lineRule="auto"/>
        <w:jc w:val="left"/>
        <w:outlineLvl w:val="2"/>
        <w:rPr>
          <w:rFonts w:hint="eastAsia" w:ascii="仿宋_GB2312" w:hAnsi="仿宋_GB2312" w:eastAsia="仿宋_GB2312" w:cs="仿宋_GB2312"/>
          <w:b/>
          <w:bCs/>
          <w:kern w:val="0"/>
          <w:sz w:val="32"/>
          <w:szCs w:val="32"/>
          <w:lang w:val="en-US" w:eastAsia="zh-CN"/>
        </w:rPr>
      </w:pPr>
    </w:p>
    <w:tbl>
      <w:tblPr>
        <w:tblStyle w:val="7"/>
        <w:tblW w:w="8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6"/>
        <w:gridCol w:w="240"/>
        <w:gridCol w:w="579"/>
        <w:gridCol w:w="1515"/>
        <w:gridCol w:w="106"/>
        <w:gridCol w:w="642"/>
        <w:gridCol w:w="252"/>
        <w:gridCol w:w="894"/>
        <w:gridCol w:w="772"/>
        <w:gridCol w:w="698"/>
        <w:gridCol w:w="535"/>
        <w:gridCol w:w="777"/>
        <w:gridCol w:w="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trPr>
        <w:tc>
          <w:tcPr>
            <w:tcW w:w="8280" w:type="dxa"/>
            <w:gridSpan w:val="13"/>
            <w:tcBorders>
              <w:top w:val="nil"/>
              <w:left w:val="nil"/>
              <w:bottom w:val="nil"/>
              <w:right w:val="nil"/>
            </w:tcBorders>
            <w:noWrap w:val="0"/>
            <w:vAlign w:val="center"/>
          </w:tcPr>
          <w:p>
            <w:pPr>
              <w:keepNext w:val="0"/>
              <w:keepLines w:val="0"/>
              <w:widowControl/>
              <w:suppressLineNumbers w:val="0"/>
              <w:jc w:val="both"/>
              <w:textAlignment w:val="center"/>
              <w:rPr>
                <w:rFonts w:hint="eastAsia" w:ascii="宋体" w:hAnsi="宋体" w:eastAsia="宋体" w:cs="宋体"/>
                <w:b/>
                <w:bCs/>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8280" w:type="dxa"/>
            <w:gridSpan w:val="13"/>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0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74"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2024年非“三保”资金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100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8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1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00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094"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4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1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0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209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74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1386.41</w:t>
            </w:r>
          </w:p>
        </w:tc>
        <w:tc>
          <w:tcPr>
            <w:tcW w:w="114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1386.41</w:t>
            </w:r>
          </w:p>
        </w:tc>
        <w:tc>
          <w:tcPr>
            <w:tcW w:w="147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1221.93</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88.14</w:t>
            </w:r>
          </w:p>
        </w:tc>
        <w:tc>
          <w:tcPr>
            <w:tcW w:w="5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6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22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86"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4228"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完成2024年年度绩效目标</w:t>
            </w:r>
          </w:p>
        </w:tc>
        <w:tc>
          <w:tcPr>
            <w:tcW w:w="3286"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完成88.14%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66"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698"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5"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2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89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＞1000万元</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3"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产出数量</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产出质量</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＞3000万元</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时间效益</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＞2年</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w:t>
            </w: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＞3000万元</w:t>
            </w: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766"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1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5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0" w:type="dxa"/>
            <w:gridSpan w:val="3"/>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89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7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5766"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p>
    <w:p>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部门评价项目绩效评价情况。</w:t>
      </w:r>
    </w:p>
    <w:p>
      <w:pPr>
        <w:numPr>
          <w:ilvl w:val="0"/>
          <w:numId w:val="0"/>
        </w:numPr>
        <w:autoSpaceDE w:val="0"/>
        <w:autoSpaceDN w:val="0"/>
        <w:adjustRightInd w:val="0"/>
        <w:spacing w:line="360" w:lineRule="auto"/>
        <w:ind w:firstLine="640" w:firstLineChars="200"/>
        <w:jc w:val="left"/>
        <w:outlineLvl w:val="2"/>
        <w:rPr>
          <w:rFonts w:hint="eastAsia" w:ascii="宋体" w:hAnsi="宋体" w:cs="宋体"/>
          <w:b/>
          <w:bCs/>
          <w:sz w:val="44"/>
          <w:szCs w:val="44"/>
          <w:lang w:val="en-US" w:eastAsia="zh-CN"/>
        </w:rPr>
      </w:pPr>
      <w:r>
        <w:rPr>
          <w:rFonts w:hint="eastAsia" w:ascii="仿宋_GB2312" w:hAnsi="仿宋_GB2312" w:eastAsia="仿宋_GB2312" w:cs="仿宋_GB2312"/>
          <w:kern w:val="0"/>
          <w:sz w:val="32"/>
          <w:szCs w:val="32"/>
          <w:lang w:val="en-US" w:eastAsia="zh-CN"/>
        </w:rPr>
        <w:t>项目部门评价报告见第五部分附件。</w:t>
      </w:r>
    </w:p>
    <w:p>
      <w:pPr>
        <w:widowControl/>
        <w:spacing w:line="600" w:lineRule="exact"/>
        <w:jc w:val="both"/>
        <w:outlineLvl w:val="0"/>
        <w:rPr>
          <w:rFonts w:hint="eastAsia" w:ascii="宋体" w:hAnsi="宋体" w:cs="宋体"/>
          <w:b/>
          <w:bCs/>
          <w:sz w:val="44"/>
          <w:szCs w:val="44"/>
          <w:lang w:val="en-US" w:eastAsia="zh-CN"/>
        </w:rPr>
      </w:pPr>
    </w:p>
    <w:p>
      <w:pPr>
        <w:widowControl/>
        <w:spacing w:line="600" w:lineRule="exact"/>
        <w:ind w:firstLine="1767" w:firstLineChars="400"/>
        <w:jc w:val="both"/>
        <w:outlineLvl w:val="0"/>
        <w:rPr>
          <w:rFonts w:hint="eastAsia" w:ascii="方正小标宋简体" w:hAnsi="方正小标宋简体" w:eastAsia="方正小标宋简体" w:cs="方正小标宋简体"/>
          <w:sz w:val="44"/>
          <w:szCs w:val="44"/>
          <w:lang w:val="en-US" w:eastAsia="zh-CN"/>
        </w:rPr>
      </w:pPr>
      <w:r>
        <w:rPr>
          <w:rFonts w:hint="eastAsia" w:ascii="宋体" w:hAnsi="宋体" w:cs="宋体"/>
          <w:b/>
          <w:bCs/>
          <w:sz w:val="44"/>
          <w:szCs w:val="44"/>
          <w:lang w:val="en-US" w:eastAsia="zh-CN"/>
        </w:rPr>
        <w:t>第四部分  名词解释</w:t>
      </w:r>
    </w:p>
    <w:p>
      <w:pPr>
        <w:pStyle w:val="13"/>
        <w:spacing w:line="600" w:lineRule="atLeast"/>
        <w:ind w:firstLine="600"/>
        <w:jc w:val="both"/>
        <w:rPr>
          <w:rFonts w:hint="eastAsia" w:ascii="仿宋_GB2312" w:hAnsi="仿宋_GB2312" w:eastAsia="仿宋_GB2312"/>
          <w:sz w:val="30"/>
          <w:szCs w:val="30"/>
          <w:lang w:val="en-US" w:eastAsia="zh-CN"/>
        </w:rPr>
      </w:pP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一、收入科目</w:t>
      </w:r>
    </w:p>
    <w:p>
      <w:pPr>
        <w:ind w:firstLine="630"/>
        <w:jc w:val="left"/>
        <w:outlineLvl w:val="1"/>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1、财政拨款收入：指县本级财政当年拨付资金。</w:t>
      </w:r>
    </w:p>
    <w:p>
      <w:pPr>
        <w:pStyle w:val="2"/>
        <w:ind w:firstLine="642"/>
        <w:rPr>
          <w:rFonts w:hint="eastAsia" w:ascii="仿宋_GB2312" w:hAnsi="仿宋_GB2312" w:eastAsia="仿宋_GB2312"/>
          <w:b w:val="0"/>
          <w:bCs w:val="0"/>
          <w:color w:val="auto"/>
          <w:kern w:val="0"/>
          <w:sz w:val="32"/>
          <w:szCs w:val="32"/>
          <w:lang w:val="en-US" w:eastAsia="zh-CN"/>
        </w:rPr>
      </w:pPr>
      <w:r>
        <w:rPr>
          <w:rFonts w:hint="eastAsia" w:ascii="仿宋_GB2312" w:hAnsi="仿宋_GB2312" w:eastAsia="仿宋_GB2312"/>
          <w:b w:val="0"/>
          <w:bCs w:val="0"/>
          <w:color w:val="auto"/>
          <w:kern w:val="0"/>
          <w:sz w:val="32"/>
          <w:szCs w:val="32"/>
          <w:lang w:val="en-US" w:eastAsia="zh-CN"/>
        </w:rPr>
        <w:t>2、事业收入：指事业单位开展专业业务活动及辅助活动取得收入。</w:t>
      </w:r>
    </w:p>
    <w:p>
      <w:pPr>
        <w:ind w:firstLine="642"/>
        <w:rPr>
          <w:rFonts w:hint="eastAsia" w:ascii="仿宋" w:hAnsi="仿宋" w:eastAsia="仿宋" w:cs="仿宋"/>
          <w:sz w:val="32"/>
          <w:szCs w:val="32"/>
          <w:lang w:val="en-US" w:eastAsia="zh-CN"/>
        </w:rPr>
      </w:pPr>
      <w:r>
        <w:rPr>
          <w:rFonts w:hint="eastAsia"/>
          <w:sz w:val="32"/>
          <w:szCs w:val="32"/>
          <w:lang w:val="en-US" w:eastAsia="zh-CN"/>
        </w:rPr>
        <w:t>3、</w:t>
      </w:r>
      <w:r>
        <w:rPr>
          <w:rFonts w:hint="eastAsia" w:ascii="仿宋" w:hAnsi="仿宋" w:eastAsia="仿宋" w:cs="仿宋"/>
          <w:sz w:val="32"/>
          <w:szCs w:val="32"/>
          <w:lang w:val="en-US" w:eastAsia="zh-CN"/>
        </w:rPr>
        <w:t>事业单位经营收入：指事业单位在专业业务活动及辅助活动之外开展非独立核算经营活动取得的收入。</w:t>
      </w:r>
    </w:p>
    <w:p>
      <w:pPr>
        <w:pStyle w:val="2"/>
        <w:ind w:firstLine="641"/>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4、其他收入：指除财政拨款收入、事业收入、事业单位经营收入等以外的各项收入。</w:t>
      </w:r>
    </w:p>
    <w:p>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5、附属单位上缴收入：反映事业单位附属的独立核算单位按规定标准或比例缴纳的各项收入。包括附属的事业单位上缴的收入和附属的企业上缴的利润等。</w:t>
      </w:r>
    </w:p>
    <w:p>
      <w:pPr>
        <w:pStyle w:val="2"/>
        <w:ind w:firstLine="640"/>
        <w:rPr>
          <w:rFonts w:hint="eastAsia" w:ascii="仿宋" w:hAnsi="仿宋" w:eastAsia="仿宋" w:cs="仿宋"/>
          <w:b w:val="0"/>
          <w:bCs w:val="0"/>
          <w:lang w:val="en-US" w:eastAsia="zh-CN"/>
        </w:rPr>
      </w:pPr>
      <w:r>
        <w:rPr>
          <w:rFonts w:hint="eastAsia" w:ascii="仿宋" w:hAnsi="仿宋" w:eastAsia="仿宋" w:cs="仿宋"/>
          <w:b w:val="0"/>
          <w:bCs w:val="0"/>
          <w:lang w:val="en-US" w:eastAsia="zh-CN"/>
        </w:rPr>
        <w:t>6、上级补助收入：反映事业单位从主管部门和上级单位取得的非财政补助收入。</w:t>
      </w:r>
    </w:p>
    <w:p>
      <w:pPr>
        <w:rPr>
          <w:rFonts w:hint="eastAsia" w:ascii="仿宋" w:hAnsi="仿宋" w:eastAsia="仿宋" w:cs="仿宋"/>
          <w:b w:val="0"/>
          <w:bCs w:val="0"/>
          <w:sz w:val="32"/>
          <w:szCs w:val="32"/>
          <w:lang w:val="en-US" w:eastAsia="zh-CN"/>
        </w:rPr>
      </w:pPr>
      <w:r>
        <w:rPr>
          <w:rFonts w:hint="eastAsia" w:ascii="仿宋" w:hAnsi="仿宋" w:eastAsia="仿宋" w:cs="仿宋"/>
          <w:b w:val="0"/>
          <w:bCs w:val="0"/>
          <w:lang w:val="en-US" w:eastAsia="zh-CN"/>
        </w:rPr>
        <w:t xml:space="preserve">      </w:t>
      </w:r>
      <w:r>
        <w:rPr>
          <w:rFonts w:hint="eastAsia" w:ascii="仿宋" w:hAnsi="仿宋" w:eastAsia="仿宋" w:cs="仿宋"/>
          <w:b w:val="0"/>
          <w:bCs w:val="0"/>
          <w:sz w:val="32"/>
          <w:szCs w:val="32"/>
          <w:lang w:val="en-US" w:eastAsia="zh-CN"/>
        </w:rPr>
        <w:t>7、使用非财政拨款结余：填历年滚存的非限定用途的非统计财政拨款结余弥补2024年收支差额的数额。</w:t>
      </w:r>
    </w:p>
    <w:p>
      <w:pPr>
        <w:pStyle w:val="2"/>
        <w:rPr>
          <w:rFonts w:hint="default"/>
          <w:lang w:val="en-US" w:eastAsia="zh-CN"/>
        </w:rPr>
      </w:pPr>
      <w:r>
        <w:rPr>
          <w:rFonts w:hint="eastAsia" w:ascii="仿宋" w:hAnsi="仿宋" w:eastAsia="仿宋" w:cs="仿宋"/>
          <w:b w:val="0"/>
          <w:bCs w:val="0"/>
          <w:sz w:val="32"/>
          <w:szCs w:val="32"/>
          <w:lang w:val="en-US" w:eastAsia="zh-CN"/>
        </w:rPr>
        <w:t xml:space="preserve">    8、上年结转和结余：填列2024年全部结转和结余的资金，包括当年结转结余资金和历年滚存结转结余资金。</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二、支出科目</w:t>
      </w:r>
    </w:p>
    <w:p>
      <w:pPr>
        <w:ind w:firstLine="630"/>
        <w:jc w:val="left"/>
        <w:outlineLvl w:val="1"/>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1、行政运行支出：反映行政单位（事业单位）的基本支出。</w:t>
      </w:r>
    </w:p>
    <w:p>
      <w:pPr>
        <w:pStyle w:val="2"/>
        <w:ind w:firstLine="642"/>
        <w:rPr>
          <w:rFonts w:hint="eastAsia" w:ascii="仿宋_GB2312" w:hAnsi="仿宋_GB2312" w:eastAsia="仿宋_GB2312"/>
          <w:b w:val="0"/>
          <w:bCs w:val="0"/>
          <w:color w:val="auto"/>
          <w:kern w:val="0"/>
          <w:sz w:val="32"/>
          <w:szCs w:val="32"/>
          <w:lang w:val="en-US" w:eastAsia="zh-CN"/>
        </w:rPr>
      </w:pPr>
      <w:r>
        <w:rPr>
          <w:rFonts w:hint="eastAsia" w:ascii="仿宋_GB2312" w:hAnsi="仿宋_GB2312" w:eastAsia="仿宋_GB2312"/>
          <w:b w:val="0"/>
          <w:bCs w:val="0"/>
          <w:color w:val="auto"/>
          <w:kern w:val="0"/>
          <w:sz w:val="32"/>
          <w:szCs w:val="32"/>
          <w:lang w:val="en-US" w:eastAsia="zh-CN"/>
        </w:rPr>
        <w:t>2、一般行政管理事务支出：反映行政单位（包括事业单位）未单独设置项级科目的其他项目支出。</w:t>
      </w:r>
    </w:p>
    <w:p>
      <w:pPr>
        <w:ind w:firstLine="64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3、机关事业单位基本养老保险缴费支出：反映机关事业单位实施养老保险制度由单位缴纳的基本养老保险的支出。</w:t>
      </w:r>
    </w:p>
    <w:p>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4、行政单位医疗支出：反映行政事业单位基本医疗保险缴费经费。</w:t>
      </w:r>
    </w:p>
    <w:p>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5、事业单位医疗支出：反映财政部门集中安排的事业单位基本医疗保险缴费经费。</w:t>
      </w:r>
    </w:p>
    <w:p>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6、死亡抚恤支出：反映单位遗属人员生活补助。</w:t>
      </w:r>
    </w:p>
    <w:p>
      <w:pPr>
        <w:rPr>
          <w:rFonts w:hint="default"/>
          <w:lang w:val="en-US" w:eastAsia="zh-CN"/>
        </w:rPr>
      </w:pPr>
      <w:r>
        <w:rPr>
          <w:rFonts w:hint="eastAsia" w:ascii="仿宋" w:hAnsi="仿宋" w:eastAsia="仿宋" w:cs="仿宋"/>
          <w:b w:val="0"/>
          <w:bCs w:val="0"/>
          <w:sz w:val="32"/>
          <w:szCs w:val="32"/>
          <w:lang w:val="en-US" w:eastAsia="zh-CN"/>
        </w:rPr>
        <w:t xml:space="preserve">   7、项目支出：指在基本支出之外为完成特定行政任务和事业发展目标所发生的支出。</w:t>
      </w:r>
    </w:p>
    <w:p>
      <w:pPr>
        <w:ind w:firstLine="630"/>
        <w:jc w:val="left"/>
        <w:outlineLvl w:val="1"/>
        <w:rPr>
          <w:rFonts w:hint="eastAsia" w:ascii="黑体" w:hAnsi="黑体" w:eastAsia="黑体"/>
          <w:sz w:val="32"/>
          <w:szCs w:val="32"/>
          <w:lang w:val="en-US" w:eastAsia="zh-CN"/>
        </w:rPr>
      </w:pPr>
      <w:r>
        <w:rPr>
          <w:rFonts w:hint="eastAsia" w:ascii="黑体" w:hAnsi="黑体" w:eastAsia="黑体"/>
          <w:sz w:val="32"/>
          <w:szCs w:val="32"/>
          <w:lang w:val="en-US" w:eastAsia="zh-CN"/>
        </w:rPr>
        <w:t>三、相关专业名词</w:t>
      </w:r>
    </w:p>
    <w:p>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 xml:space="preserve"> </w:t>
      </w:r>
      <w:r>
        <w:rPr>
          <w:rFonts w:hint="eastAsia" w:ascii="仿宋_GB2312" w:hAnsi="仿宋_GB2312" w:eastAsia="仿宋_GB2312" w:cs="仿宋_GB2312"/>
          <w:b/>
          <w:bCs/>
          <w:kern w:val="0"/>
          <w:sz w:val="32"/>
          <w:szCs w:val="32"/>
          <w:lang w:val="en-US" w:eastAsia="zh-CN"/>
        </w:rPr>
        <w:t>（一）</w:t>
      </w:r>
      <w:r>
        <w:rPr>
          <w:rFonts w:hint="eastAsia" w:ascii="仿宋_GB2312" w:hAnsi="仿宋_GB2312" w:eastAsia="仿宋_GB2312"/>
          <w:b/>
          <w:bCs/>
          <w:kern w:val="0"/>
          <w:sz w:val="32"/>
          <w:szCs w:val="32"/>
          <w:lang w:val="en-US" w:eastAsia="zh-CN"/>
        </w:rPr>
        <w:t>“三公”经费：</w:t>
      </w:r>
      <w:r>
        <w:rPr>
          <w:rFonts w:hint="eastAsia" w:ascii="仿宋_GB2312" w:hAnsi="仿宋_GB2312" w:eastAsia="仿宋_GB2312"/>
          <w:kern w:val="0"/>
          <w:sz w:val="32"/>
          <w:szCs w:val="32"/>
          <w:lang w:val="en-US" w:eastAsia="zh-CN"/>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jc w:val="both"/>
        <w:rPr>
          <w:rFonts w:hint="eastAsia" w:ascii="仿宋_GB2312" w:hAnsi="仿宋_GB2312" w:eastAsia="仿宋_GB2312"/>
          <w:kern w:val="0"/>
          <w:sz w:val="32"/>
          <w:szCs w:val="32"/>
          <w:lang w:val="en-US" w:eastAsia="zh-CN"/>
        </w:rPr>
      </w:pP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b/>
          <w:bCs/>
          <w:kern w:val="0"/>
          <w:sz w:val="32"/>
          <w:szCs w:val="32"/>
          <w:lang w:val="en-US" w:eastAsia="zh-CN"/>
        </w:rPr>
        <w:t>机关运行经费：</w:t>
      </w:r>
      <w:r>
        <w:rPr>
          <w:rFonts w:hint="eastAsia" w:ascii="仿宋_GB2312" w:hAnsi="仿宋_GB2312" w:eastAsia="仿宋_GB2312"/>
          <w:kern w:val="0"/>
          <w:sz w:val="32"/>
          <w:szCs w:val="32"/>
          <w:lang w:val="en-US" w:eastAsia="zh-CN"/>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pageBreakBefore/>
        <w:widowControl/>
        <w:spacing w:line="600" w:lineRule="exact"/>
        <w:ind w:firstLine="2664" w:firstLineChars="603"/>
        <w:jc w:val="both"/>
        <w:outlineLvl w:val="0"/>
        <w:rPr>
          <w:rFonts w:hint="eastAsia" w:ascii="宋体" w:hAnsi="宋体" w:cs="宋体"/>
          <w:b/>
          <w:bCs/>
          <w:sz w:val="44"/>
          <w:szCs w:val="44"/>
          <w:lang w:val="en-US" w:eastAsia="zh-CN"/>
        </w:rPr>
      </w:pPr>
    </w:p>
    <w:p>
      <w:pPr>
        <w:widowControl/>
        <w:spacing w:line="600" w:lineRule="exact"/>
        <w:ind w:firstLine="2664" w:firstLineChars="603"/>
        <w:jc w:val="both"/>
        <w:outlineLvl w:val="0"/>
        <w:rPr>
          <w:rFonts w:hint="eastAsia" w:ascii="方正小标宋简体" w:hAnsi="方正小标宋简体" w:cs="方正小标宋简体"/>
          <w:sz w:val="44"/>
          <w:szCs w:val="44"/>
          <w:lang w:val="en-US" w:eastAsia="zh-CN"/>
        </w:rPr>
      </w:pPr>
      <w:r>
        <w:rPr>
          <w:rFonts w:hint="eastAsia" w:ascii="宋体" w:hAnsi="宋体" w:cs="宋体"/>
          <w:b/>
          <w:bCs/>
          <w:sz w:val="44"/>
          <w:szCs w:val="44"/>
          <w:lang w:val="en-US" w:eastAsia="zh-CN"/>
        </w:rPr>
        <w:t>第五部分  附件</w:t>
      </w:r>
    </w:p>
    <w:p>
      <w:pPr>
        <w:ind w:firstLine="640" w:firstLineChars="200"/>
        <w:jc w:val="both"/>
        <w:rPr>
          <w:rFonts w:hint="eastAsia" w:ascii="仿宋_GB2312" w:hAnsi="仿宋_GB2312" w:eastAsia="仿宋_GB2312"/>
          <w:color w:val="FF0000"/>
          <w:kern w:val="0"/>
          <w:sz w:val="32"/>
          <w:szCs w:val="32"/>
          <w:lang w:val="en-US" w:eastAsia="zh-CN"/>
        </w:rPr>
      </w:pPr>
    </w:p>
    <w:p>
      <w:pPr>
        <w:jc w:val="center"/>
        <w:rPr>
          <w:rFonts w:hint="default" w:ascii="仿宋" w:hAnsi="仿宋" w:eastAsia="仿宋"/>
          <w:sz w:val="36"/>
          <w:szCs w:val="36"/>
          <w:lang w:val="en-US" w:eastAsia="zh-CN"/>
        </w:rPr>
      </w:pPr>
      <w:r>
        <w:rPr>
          <w:rFonts w:hint="eastAsia" w:ascii="仿宋" w:hAnsi="仿宋" w:eastAsia="仿宋"/>
          <w:b/>
          <w:bCs/>
          <w:sz w:val="36"/>
          <w:szCs w:val="36"/>
          <w:lang w:val="en-US" w:eastAsia="zh-CN"/>
        </w:rPr>
        <w:t>杰村乡2024年其他资金项目部门评价报告</w:t>
      </w:r>
    </w:p>
    <w:p>
      <w:pPr>
        <w:numPr>
          <w:ilvl w:val="0"/>
          <w:numId w:val="2"/>
        </w:numPr>
        <w:ind w:left="630" w:leftChars="0" w:firstLineChars="0"/>
        <w:jc w:val="left"/>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基本情况</w:t>
      </w:r>
    </w:p>
    <w:p>
      <w:pPr>
        <w:numPr>
          <w:ilvl w:val="0"/>
          <w:numId w:val="3"/>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概况。杰村乡距离兴国县城21公里，统计人口约2.25万人。为促进经济社会和谐稳定发展，实现百姓安居乐业，特申报杰村乡2024其他资金项目、乡村振兴项目546.7万元。用于全乡项目建设和基本运转等资金支付。</w:t>
      </w:r>
    </w:p>
    <w:p>
      <w:pPr>
        <w:numPr>
          <w:ilvl w:val="0"/>
          <w:numId w:val="2"/>
        </w:numPr>
        <w:ind w:left="630" w:leftChars="0" w:firstLineChars="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绩效评价工作开展情况</w:t>
      </w:r>
    </w:p>
    <w:p>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根据项目实际施工进度、资金拨付及时率、项目工程质量、群众满意度、受益率等，综合评价资金绩效情况。</w:t>
      </w:r>
    </w:p>
    <w:p>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根据项目成本、项目质量、群众满意度等，综合评价并拨付相应工程款。促进项目好又快实施。</w:t>
      </w:r>
    </w:p>
    <w:p>
      <w:pPr>
        <w:numPr>
          <w:ilvl w:val="0"/>
          <w:numId w:val="2"/>
        </w:numPr>
        <w:ind w:left="630" w:leftChars="0" w:firstLineChars="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综合评价情况及评价结论（附相关评分表）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hint="eastAsia" w:ascii="仿宋_GB2312" w:hAnsi="仿宋_GB2312" w:eastAsia="仿宋_GB2312" w:cs="Times New Roman"/>
          <w:kern w:val="0"/>
          <w:sz w:val="32"/>
          <w:szCs w:val="32"/>
          <w:lang w:bidi="ar-SA"/>
        </w:rPr>
      </w:pPr>
      <w:r>
        <w:rPr>
          <w:rFonts w:hint="eastAsia" w:ascii="仿宋_GB2312" w:hAnsi="仿宋_GB2312" w:eastAsia="仿宋_GB2312" w:cs="Times New Roman"/>
          <w:kern w:val="0"/>
          <w:sz w:val="32"/>
          <w:szCs w:val="32"/>
          <w:lang w:bidi="ar-SA"/>
        </w:rPr>
        <w:t>由于措施得当</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管理有力</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服务到位</w:t>
      </w:r>
      <w:r>
        <w:rPr>
          <w:rFonts w:hint="eastAsia" w:ascii="仿宋_GB2312" w:hAnsi="仿宋_GB2312" w:eastAsia="仿宋_GB2312" w:cs="Times New Roman"/>
          <w:kern w:val="0"/>
          <w:sz w:val="32"/>
          <w:szCs w:val="32"/>
          <w:lang w:eastAsia="zh-CN" w:bidi="ar-SA"/>
        </w:rPr>
        <w:t>，</w:t>
      </w:r>
      <w:r>
        <w:rPr>
          <w:rFonts w:hint="eastAsia" w:ascii="仿宋_GB2312" w:hAnsi="仿宋_GB2312" w:eastAsia="仿宋_GB2312" w:cs="Times New Roman"/>
          <w:kern w:val="0"/>
          <w:sz w:val="32"/>
          <w:szCs w:val="32"/>
          <w:lang w:bidi="ar-SA"/>
        </w:rPr>
        <w:t>基本</w:t>
      </w:r>
      <w:r>
        <w:rPr>
          <w:rFonts w:hint="eastAsia" w:ascii="仿宋_GB2312" w:hAnsi="仿宋_GB2312" w:eastAsia="仿宋_GB2312" w:cs="Times New Roman"/>
          <w:kern w:val="0"/>
          <w:sz w:val="32"/>
          <w:szCs w:val="32"/>
          <w:lang w:val="en-US" w:eastAsia="zh-CN" w:bidi="ar-SA"/>
        </w:rPr>
        <w:t>达</w:t>
      </w:r>
      <w:r>
        <w:rPr>
          <w:rFonts w:hint="eastAsia" w:ascii="仿宋_GB2312" w:hAnsi="仿宋_GB2312" w:eastAsia="仿宋_GB2312" w:cs="Times New Roman"/>
          <w:kern w:val="0"/>
          <w:sz w:val="32"/>
          <w:szCs w:val="32"/>
          <w:lang w:bidi="ar-SA"/>
        </w:rPr>
        <w:t>到预期目的。</w:t>
      </w:r>
      <w:r>
        <w:rPr>
          <w:rFonts w:hint="eastAsia" w:ascii="仿宋_GB2312" w:hAnsi="仿宋_GB2312" w:eastAsia="仿宋_GB2312" w:cs="Times New Roman"/>
          <w:kern w:val="0"/>
          <w:sz w:val="32"/>
          <w:szCs w:val="32"/>
          <w:lang w:eastAsia="zh-CN" w:bidi="ar-SA"/>
        </w:rPr>
        <w:t>其他</w:t>
      </w:r>
      <w:r>
        <w:rPr>
          <w:rFonts w:hint="eastAsia" w:ascii="仿宋_GB2312" w:hAnsi="仿宋_GB2312" w:eastAsia="仿宋_GB2312" w:cs="Times New Roman"/>
          <w:kern w:val="0"/>
          <w:sz w:val="32"/>
          <w:szCs w:val="32"/>
          <w:lang w:bidi="ar-SA"/>
        </w:rPr>
        <w:t>资金绩效评价得分</w:t>
      </w:r>
      <w:r>
        <w:rPr>
          <w:rFonts w:hint="eastAsia" w:ascii="仿宋_GB2312" w:hAnsi="仿宋_GB2312" w:eastAsia="仿宋_GB2312" w:cs="Times New Roman"/>
          <w:kern w:val="0"/>
          <w:sz w:val="32"/>
          <w:szCs w:val="32"/>
          <w:lang w:val="en-US" w:eastAsia="zh-CN" w:bidi="ar-SA"/>
        </w:rPr>
        <w:t>96</w:t>
      </w:r>
      <w:r>
        <w:rPr>
          <w:rFonts w:hint="eastAsia" w:ascii="仿宋_GB2312" w:hAnsi="仿宋_GB2312" w:eastAsia="仿宋_GB2312" w:cs="Times New Roman"/>
          <w:kern w:val="0"/>
          <w:sz w:val="32"/>
          <w:szCs w:val="32"/>
          <w:lang w:bidi="ar-SA"/>
        </w:rPr>
        <w:t>分，</w:t>
      </w:r>
      <w:r>
        <w:rPr>
          <w:rFonts w:hint="eastAsia" w:ascii="仿宋" w:hAnsi="仿宋" w:eastAsia="仿宋" w:cs="仿宋_GB2312"/>
          <w:sz w:val="32"/>
          <w:szCs w:val="40"/>
          <w:lang w:val="en-US" w:eastAsia="zh-CN"/>
        </w:rPr>
        <w:t>乡村振兴项目资金绩效绩评价92分，</w:t>
      </w:r>
      <w:r>
        <w:rPr>
          <w:rFonts w:hint="eastAsia" w:ascii="仿宋_GB2312" w:hAnsi="仿宋_GB2312" w:eastAsia="仿宋_GB2312" w:cs="Times New Roman"/>
          <w:kern w:val="0"/>
          <w:sz w:val="32"/>
          <w:szCs w:val="32"/>
          <w:lang w:bidi="ar-SA"/>
        </w:rPr>
        <w:t>等级为优。</w:t>
      </w:r>
    </w:p>
    <w:tbl>
      <w:tblPr>
        <w:tblStyle w:val="7"/>
        <w:tblW w:w="83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54"/>
        <w:gridCol w:w="455"/>
        <w:gridCol w:w="469"/>
        <w:gridCol w:w="1264"/>
        <w:gridCol w:w="1094"/>
        <w:gridCol w:w="473"/>
        <w:gridCol w:w="960"/>
        <w:gridCol w:w="785"/>
        <w:gridCol w:w="624"/>
        <w:gridCol w:w="501"/>
        <w:gridCol w:w="701"/>
        <w:gridCol w:w="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838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838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7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杰村乡2024年其他资金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10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26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w:t>
            </w:r>
          </w:p>
        </w:tc>
        <w:tc>
          <w:tcPr>
            <w:tcW w:w="14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0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00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73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100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7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4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4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917.55</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22.94</w:t>
            </w: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5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71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11"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471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项目160个</w:t>
            </w:r>
          </w:p>
        </w:tc>
        <w:tc>
          <w:tcPr>
            <w:tcW w:w="3111"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54"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9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624"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01"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≥200万元</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≥2000人</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生态稳定</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≥150亩</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3"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产出数量效益</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质量标准</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≥250亩</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时间效益</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≥2100人</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≥150人</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生态成果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≥150亩</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54"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9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6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6054"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6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22"/>
                <w:szCs w:val="22"/>
                <w:u w:val="none"/>
                <w:lang w:val="en-US" w:eastAsia="zh-CN" w:bidi="ar"/>
              </w:rPr>
              <w:t>100</w:t>
            </w:r>
          </w:p>
        </w:tc>
        <w:tc>
          <w:tcPr>
            <w:tcW w:w="50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96</w:t>
            </w:r>
          </w:p>
        </w:tc>
        <w:tc>
          <w:tcPr>
            <w:tcW w:w="12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tbl>
      <w:tblPr>
        <w:tblStyle w:val="7"/>
        <w:tblpPr w:leftFromText="180" w:rightFromText="180" w:vertAnchor="text" w:horzAnchor="page" w:tblpX="1751" w:tblpY="632"/>
        <w:tblOverlap w:val="never"/>
        <w:tblW w:w="8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0"/>
        <w:gridCol w:w="447"/>
        <w:gridCol w:w="452"/>
        <w:gridCol w:w="1221"/>
        <w:gridCol w:w="1089"/>
        <w:gridCol w:w="453"/>
        <w:gridCol w:w="697"/>
        <w:gridCol w:w="900"/>
        <w:gridCol w:w="534"/>
        <w:gridCol w:w="532"/>
        <w:gridCol w:w="773"/>
        <w:gridCol w:w="5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60" w:type="dxa"/>
            <w:gridSpan w:val="12"/>
            <w:tcBorders>
              <w:top w:val="nil"/>
              <w:left w:val="nil"/>
              <w:bottom w:val="nil"/>
              <w:right w:val="nil"/>
            </w:tcBorders>
            <w:noWrap w:val="0"/>
            <w:vAlign w:val="center"/>
          </w:tcPr>
          <w:p>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pPr>
              <w:pStyle w:val="2"/>
              <w:rPr>
                <w:rFonts w:hint="eastAsia"/>
                <w:lang w:val="en-US" w:eastAsia="zh-CN"/>
              </w:rPr>
            </w:pPr>
          </w:p>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160" w:type="dxa"/>
            <w:gridSpan w:val="1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42"/>
                <w:szCs w:val="42"/>
                <w:u w:val="none"/>
                <w:lang w:val="en-US" w:eastAsia="zh-CN" w:bidi="ar"/>
              </w:rPr>
              <w:t>项目支出绩效自评表</w:t>
            </w:r>
          </w:p>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153"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2024年衔接推进乡村振兴补助项目资金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12"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w:t>
            </w:r>
          </w:p>
        </w:tc>
        <w:tc>
          <w:tcPr>
            <w:tcW w:w="14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0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6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6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546.7</w:t>
            </w:r>
          </w:p>
        </w:tc>
        <w:tc>
          <w:tcPr>
            <w:tcW w:w="115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546.7</w:t>
            </w:r>
          </w:p>
        </w:tc>
        <w:tc>
          <w:tcPr>
            <w:tcW w:w="143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521.99</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95.48</w:t>
            </w:r>
          </w:p>
        </w:tc>
        <w:tc>
          <w:tcPr>
            <w:tcW w:w="5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35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41"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4359"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完成总体绩效目标98％</w:t>
            </w:r>
          </w:p>
        </w:tc>
        <w:tc>
          <w:tcPr>
            <w:tcW w:w="3241"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restart"/>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9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34"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32" w:type="dxa"/>
            <w:tcBorders>
              <w:top w:val="single" w:color="000000" w:sz="4" w:space="0"/>
              <w:left w:val="single" w:color="000000" w:sz="4" w:space="0"/>
              <w:bottom w:val="single" w:color="000000" w:sz="4" w:space="0"/>
              <w:right w:val="single" w:color="000000" w:sz="4" w:space="0"/>
            </w:tcBorders>
            <w:noWrap w:val="0"/>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≥600万元</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≥200万元</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18"/>
                <w:szCs w:val="18"/>
                <w:u w:val="none"/>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产出效益</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≥5000人</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收益质量</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时间效益</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≥10年</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≥400万元</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≥500户</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u w:val="none"/>
              </w:rPr>
            </w:pP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生态收益</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10</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60" w:type="dxa"/>
            <w:vMerge w:val="continue"/>
            <w:tcBorders>
              <w:top w:val="single" w:color="000000" w:sz="4" w:space="0"/>
              <w:left w:val="single" w:color="000000" w:sz="4" w:space="0"/>
              <w:bottom w:val="single" w:color="000000" w:sz="4" w:space="0"/>
              <w:right w:val="single" w:color="000000" w:sz="4" w:space="0"/>
            </w:tcBorders>
            <w:noWrap w:val="0"/>
            <w:textDirection w:val="tbRlV"/>
            <w:vAlign w:val="center"/>
          </w:tcPr>
          <w:p>
            <w:pPr>
              <w:jc w:val="center"/>
              <w:rPr>
                <w:rFonts w:hint="eastAsia" w:ascii="宋体" w:hAnsi="宋体" w:eastAsia="宋体" w:cs="宋体"/>
                <w:i w:val="0"/>
                <w:iCs w:val="0"/>
                <w:color w:val="000000"/>
                <w:sz w:val="18"/>
                <w:szCs w:val="18"/>
                <w:u w:val="none"/>
              </w:rPr>
            </w:pPr>
          </w:p>
        </w:tc>
        <w:tc>
          <w:tcPr>
            <w:tcW w:w="89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19"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3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27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p>
      <w:pPr>
        <w:numPr>
          <w:ilvl w:val="0"/>
          <w:numId w:val="0"/>
        </w:numPr>
        <w:ind w:firstLine="643" w:firstLineChars="200"/>
        <w:jc w:val="left"/>
        <w:rPr>
          <w:rFonts w:hint="eastAsia" w:ascii="仿宋" w:hAnsi="仿宋" w:eastAsia="仿宋" w:cs="仿宋_GB2312"/>
          <w:b/>
          <w:bCs/>
          <w:sz w:val="32"/>
          <w:szCs w:val="40"/>
          <w:lang w:val="en-US" w:eastAsia="zh-CN"/>
        </w:rPr>
      </w:pPr>
    </w:p>
    <w:p>
      <w:pPr>
        <w:numPr>
          <w:ilvl w:val="0"/>
          <w:numId w:val="0"/>
        </w:numPr>
        <w:ind w:firstLine="643" w:firstLineChars="200"/>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四、绩效评价指标分析</w:t>
      </w:r>
    </w:p>
    <w:p>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项目决策情况。项目为全额财政拨款546.7万元，目前财政拨款521.99万元。其他资金4000万元。目前县财政已拨款917.55万元。</w:t>
      </w:r>
    </w:p>
    <w:p>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项目过程情况。主要安排实施我乡项目推进和正常运转。目前已完成施工、验收并拨付工程款，项目执行率得分28分。</w:t>
      </w:r>
    </w:p>
    <w:p>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项目产出情况。目前项目正常推进，质量可靠，工程已按时完成，产出指标得分38分。</w:t>
      </w:r>
    </w:p>
    <w:p>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项目效益情况。该项目方便了辖区群众的居住、生活、养老，效益指标得分30分。</w:t>
      </w:r>
    </w:p>
    <w:p>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项目群众满意度情况。该项目方便了辖区群众的居住、生活、养老，指标得分10分</w:t>
      </w:r>
    </w:p>
    <w:p>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综合自评96分，项目进展顺利，符合预期目标。</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绩效指标值模糊，未依据绩效目标设定清晰、细化、可衡量指标。</w:t>
      </w:r>
    </w:p>
    <w:p>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六、有关建议：无。</w:t>
      </w:r>
    </w:p>
    <w:p>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七、其他需要说明的问题：无。</w:t>
      </w:r>
    </w:p>
    <w:p>
      <w:pPr>
        <w:ind w:firstLine="600"/>
        <w:jc w:val="both"/>
        <w:rPr>
          <w:rFonts w:hint="eastAsia" w:ascii="仿宋_GB2312" w:hAnsi="仿宋_GB2312" w:eastAsia="仿宋_GB2312"/>
          <w:kern w:val="0"/>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lang w:val="en-US" w:eastAsia="zh-CN"/>
      </w:rPr>
    </w:pPr>
    <w:r>
      <w:rPr>
        <w:lang w:val="en-US"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lang/>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5"/>
                      <w:jc w:val="left"/>
                      <w:rPr>
                        <w:rFonts w:hint="eastAsia" w:ascii="宋体" w:hAnsi="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lang w:val="en-US" w:eastAsia="zh-CN"/>
                      </w:rPr>
                      <w:fldChar w:fldCharType="begin"/>
                    </w:r>
                    <w:r>
                      <w:rPr>
                        <w:rFonts w:hint="eastAsia" w:ascii="宋体" w:hAnsi="宋体" w:cs="宋体"/>
                        <w:sz w:val="28"/>
                        <w:szCs w:val="28"/>
                        <w:lang w:val="en-US" w:eastAsia="zh-CN"/>
                      </w:rPr>
                      <w:instrText xml:space="preserve"> PAGE  \* MERGEFORMAT </w:instrText>
                    </w:r>
                    <w:r>
                      <w:rPr>
                        <w:rFonts w:hint="eastAsia" w:ascii="宋体" w:hAnsi="宋体" w:cs="宋体"/>
                        <w:sz w:val="28"/>
                        <w:szCs w:val="28"/>
                        <w:lang w:val="en-US" w:eastAsia="zh-CN"/>
                      </w:rPr>
                      <w:fldChar w:fldCharType="separate"/>
                    </w:r>
                    <w:r>
                      <w:rPr>
                        <w:rFonts w:ascii="宋体" w:hAnsi="宋体" w:cs="宋体"/>
                        <w:sz w:val="28"/>
                        <w:szCs w:val="28"/>
                        <w:lang/>
                      </w:rPr>
                      <w:t>45</w:t>
                    </w:r>
                    <w:r>
                      <w:rPr>
                        <w:rFonts w:hint="eastAsia" w:ascii="宋体" w:hAnsi="宋体" w:cs="宋体"/>
                        <w:sz w:val="28"/>
                        <w:szCs w:val="28"/>
                        <w:lang w:val="en-US" w:eastAsia="zh-CN"/>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pPr>
        <w:ind w:left="630"/>
      </w:pPr>
      <w:rPr>
        <w:rFonts w:hint="eastAsia"/>
      </w:rPr>
    </w:lvl>
  </w:abstractNum>
  <w:abstractNum w:abstractNumId="2">
    <w:nsid w:val="4F109FA4"/>
    <w:multiLevelType w:val="singleLevel"/>
    <w:tmpl w:val="4F109FA4"/>
    <w:lvl w:ilvl="0" w:tentative="0">
      <w:start w:val="3"/>
      <w:numFmt w:val="chineseCounting"/>
      <w:suff w:val="nothing"/>
      <w:lvlText w:val="（%1）"/>
      <w:lvlJc w:val="left"/>
      <w:rPr>
        <w:rFonts w:hint="eastAsia"/>
      </w:rPr>
    </w:lvl>
  </w:abstractNum>
  <w:abstractNum w:abstractNumId="3">
    <w:nsid w:val="69E88652"/>
    <w:multiLevelType w:val="singleLevel"/>
    <w:tmpl w:val="69E88652"/>
    <w:lvl w:ilvl="0" w:tentative="0">
      <w:start w:val="1"/>
      <w:numFmt w:val="chineseCounting"/>
      <w:suff w:val="nothing"/>
      <w:lvlText w:val="（%1）"/>
      <w:lvlJc w:val="left"/>
      <w:pPr>
        <w:ind w:left="0" w:firstLine="420"/>
      </w:pPr>
      <w:rPr>
        <w:rFonts w:hint="eastAsia"/>
      </w:rPr>
    </w:lvl>
  </w:abstractNum>
  <w:abstractNum w:abstractNumId="4">
    <w:nsid w:val="6D041C08"/>
    <w:multiLevelType w:val="singleLevel"/>
    <w:tmpl w:val="6D041C08"/>
    <w:lvl w:ilvl="0" w:tentative="0">
      <w:start w:val="1"/>
      <w:numFmt w:val="chineseCounting"/>
      <w:suff w:val="nothing"/>
      <w:lvlText w:val="（%1）"/>
      <w:lvlJc w:val="left"/>
      <w:pPr>
        <w:ind w:left="0" w:firstLine="420"/>
      </w:pPr>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172A27"/>
    <w:rsid w:val="09787E0F"/>
    <w:rsid w:val="0AB85257"/>
    <w:rsid w:val="0B8660CB"/>
    <w:rsid w:val="0F280CC7"/>
    <w:rsid w:val="11EB50DD"/>
    <w:rsid w:val="1A815C54"/>
    <w:rsid w:val="1FBE2DF1"/>
    <w:rsid w:val="200D78BA"/>
    <w:rsid w:val="2F8B0309"/>
    <w:rsid w:val="31240A52"/>
    <w:rsid w:val="34240B68"/>
    <w:rsid w:val="56270168"/>
    <w:rsid w:val="5AA742B3"/>
    <w:rsid w:val="63DD4036"/>
    <w:rsid w:val="6CA40042"/>
    <w:rsid w:val="74153556"/>
    <w:rsid w:val="786F17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iPriority="0" w:semiHidden="0" w:name="heading 1"/>
    <w:lsdException w:qFormat="1" w:unhideWhenUsed="0" w:uiPriority="9"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widowControl/>
      <w:outlineLvl w:val="1"/>
    </w:pPr>
    <w:rPr>
      <w:rFonts w:ascii="Arial" w:hAnsi="Arial" w:eastAsia="黑体"/>
      <w:b/>
      <w:bCs/>
      <w:sz w:val="32"/>
      <w:szCs w:val="32"/>
    </w:rPr>
  </w:style>
  <w:style w:type="character" w:default="1" w:styleId="9">
    <w:name w:val="Default Paragraph Font"/>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annotation text"/>
    <w:basedOn w:val="1"/>
    <w:uiPriority w:val="0"/>
    <w:pPr>
      <w:jc w:val="left"/>
    </w:pPr>
    <w:rPr>
      <w:lang w:val="en-US" w:eastAsia="zh-CN"/>
    </w:rPr>
  </w:style>
  <w:style w:type="paragraph" w:styleId="4">
    <w:name w:val="Balloon Text"/>
    <w:basedOn w:val="1"/>
    <w:link w:val="10"/>
    <w:uiPriority w:val="0"/>
    <w:pPr>
      <w:jc w:val="both"/>
    </w:pPr>
    <w:rPr>
      <w:sz w:val="18"/>
      <w:szCs w:val="18"/>
      <w:lang w:val="en-US" w:eastAsia="zh-CN"/>
    </w:rPr>
  </w:style>
  <w:style w:type="paragraph" w:styleId="5">
    <w:name w:val="footer"/>
    <w:basedOn w:val="1"/>
    <w:link w:val="11"/>
    <w:uiPriority w:val="0"/>
    <w:pPr>
      <w:tabs>
        <w:tab w:val="center" w:pos="4153"/>
        <w:tab w:val="right" w:pos="8306"/>
      </w:tabs>
      <w:snapToGrid w:val="0"/>
      <w:jc w:val="left"/>
    </w:pPr>
    <w:rPr>
      <w:sz w:val="18"/>
      <w:szCs w:val="18"/>
      <w:lang w:val="en-US" w:eastAsia="zh-CN"/>
    </w:rPr>
  </w:style>
  <w:style w:type="paragraph" w:styleId="6">
    <w:name w:val="header"/>
    <w:basedOn w:val="1"/>
    <w:link w:val="12"/>
    <w:uiPriority w:val="0"/>
    <w:pPr>
      <w:pBdr>
        <w:bottom w:val="single" w:color="auto" w:sz="6" w:space="1"/>
      </w:pBdr>
      <w:tabs>
        <w:tab w:val="center" w:pos="4153"/>
        <w:tab w:val="right" w:pos="8306"/>
      </w:tabs>
      <w:snapToGrid w:val="0"/>
      <w:jc w:val="center"/>
    </w:pPr>
    <w:rPr>
      <w:sz w:val="18"/>
      <w:szCs w:val="18"/>
      <w:lang w:val="en-US" w:eastAsia="zh-CN"/>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批注框文本 Char"/>
    <w:link w:val="4"/>
    <w:uiPriority w:val="0"/>
    <w:rPr>
      <w:sz w:val="18"/>
      <w:szCs w:val="18"/>
    </w:rPr>
  </w:style>
  <w:style w:type="character" w:customStyle="1" w:styleId="11">
    <w:name w:val="页脚 Char"/>
    <w:link w:val="5"/>
    <w:uiPriority w:val="0"/>
    <w:rPr>
      <w:sz w:val="18"/>
      <w:szCs w:val="18"/>
    </w:rPr>
  </w:style>
  <w:style w:type="character" w:customStyle="1" w:styleId="12">
    <w:name w:val="页眉 Char"/>
    <w:link w:val="6"/>
    <w:uiPriority w:val="0"/>
    <w:rPr>
      <w:sz w:val="18"/>
      <w:szCs w:val="18"/>
    </w:rPr>
  </w:style>
  <w:style w:type="paragraph" w:customStyle="1" w:styleId="13">
    <w:name w:val="p0"/>
    <w:basedOn w:val="1"/>
    <w:uiPriority w:val="0"/>
    <w:pPr>
      <w:widowControl/>
      <w:jc w:val="both"/>
    </w:pPr>
    <w:rPr>
      <w:kern w:val="0"/>
      <w:szCs w:val="21"/>
      <w:lang w:val="en-US" w:eastAsia="zh-CN"/>
    </w:rPr>
  </w:style>
  <w:style w:type="table" w:customStyle="1" w:styleId="14">
    <w:name w:val="普通表格1"/>
    <w:semiHidden/>
    <w:qFormat/>
    <w:uiPriority w:val="0"/>
    <w:tblPr>
      <w:tblStyle w:val="7"/>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14202</Words>
  <Characters>21744</Characters>
  <Lines>174</Lines>
  <Paragraphs>49</Paragraphs>
  <TotalTime>0</TotalTime>
  <ScaleCrop>false</ScaleCrop>
  <LinksUpToDate>false</LinksUpToDate>
  <CharactersWithSpaces>22204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胡淑萍</dc:creator>
  <cp:lastModifiedBy>Administrator</cp:lastModifiedBy>
  <cp:lastPrinted>2024-05-22T07:51:00Z</cp:lastPrinted>
  <dcterms:modified xsi:type="dcterms:W3CDTF">2025-11-14T03:32:24Z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48B1279245AE42BD94146DEB1690A62F</vt:lpwstr>
  </property>
</Properties>
</file>