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E581A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微软雅黑" w:hAnsi="微软雅黑" w:eastAsia="微软雅黑" w:cs="微软雅黑"/>
          <w:b/>
          <w:bCs w:val="0"/>
          <w:color w:val="FF0000"/>
          <w:sz w:val="44"/>
          <w:szCs w:val="44"/>
          <w:u w:val="none"/>
          <w:lang w:val="en-US" w:eastAsia="zh-CN"/>
        </w:rPr>
      </w:pPr>
      <w:r>
        <w:rPr>
          <w:rFonts w:hint="eastAsia" w:ascii="微软雅黑" w:hAnsi="微软雅黑" w:eastAsia="微软雅黑" w:cs="微软雅黑"/>
          <w:b/>
          <w:bCs w:val="0"/>
          <w:color w:val="auto"/>
          <w:sz w:val="44"/>
          <w:szCs w:val="44"/>
          <w:u w:val="none"/>
          <w:lang w:val="en-US" w:eastAsia="zh-CN"/>
        </w:rPr>
        <w:t>兴国县高兴镇人民政府</w:t>
      </w:r>
    </w:p>
    <w:p w14:paraId="3846764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微软雅黑" w:hAnsi="微软雅黑" w:eastAsia="微软雅黑" w:cs="微软雅黑"/>
          <w:b w:val="0"/>
          <w:bCs/>
          <w:color w:val="000000" w:themeColor="text1"/>
          <w:sz w:val="44"/>
          <w:szCs w:val="44"/>
          <w:u w:val="none"/>
          <w14:textFill>
            <w14:solidFill>
              <w14:schemeClr w14:val="tx1"/>
            </w14:solidFill>
          </w14:textFill>
        </w:rPr>
      </w:pPr>
      <w:r>
        <w:rPr>
          <w:rFonts w:hint="eastAsia" w:ascii="微软雅黑" w:hAnsi="微软雅黑" w:eastAsia="微软雅黑" w:cs="微软雅黑"/>
          <w:b w:val="0"/>
          <w:bCs/>
          <w:color w:val="000000" w:themeColor="text1"/>
          <w:sz w:val="44"/>
          <w:szCs w:val="44"/>
          <w:u w:val="none"/>
          <w:lang w:val="en-US" w:eastAsia="zh-CN"/>
          <w14:textFill>
            <w14:solidFill>
              <w14:schemeClr w14:val="tx1"/>
            </w14:solidFill>
          </w14:textFill>
        </w:rPr>
        <w:t>2025年</w:t>
      </w:r>
      <w:r>
        <w:rPr>
          <w:rFonts w:hint="eastAsia" w:ascii="微软雅黑" w:hAnsi="微软雅黑" w:eastAsia="微软雅黑" w:cs="微软雅黑"/>
          <w:b w:val="0"/>
          <w:bCs/>
          <w:color w:val="000000" w:themeColor="text1"/>
          <w:sz w:val="44"/>
          <w:szCs w:val="44"/>
          <w:u w:val="none"/>
          <w14:textFill>
            <w14:solidFill>
              <w14:schemeClr w14:val="tx1"/>
            </w14:solidFill>
          </w14:textFill>
        </w:rPr>
        <w:t>部门</w:t>
      </w:r>
      <w:r>
        <w:rPr>
          <w:rFonts w:hint="eastAsia" w:ascii="微软雅黑" w:hAnsi="微软雅黑" w:eastAsia="微软雅黑" w:cs="微软雅黑"/>
          <w:b w:val="0"/>
          <w:bCs/>
          <w:color w:val="000000" w:themeColor="text1"/>
          <w:sz w:val="44"/>
          <w:szCs w:val="44"/>
          <w:u w:val="none"/>
          <w:lang w:eastAsia="zh-CN"/>
          <w14:textFill>
            <w14:solidFill>
              <w14:schemeClr w14:val="tx1"/>
            </w14:solidFill>
          </w14:textFill>
        </w:rPr>
        <w:t>（单位）</w:t>
      </w:r>
      <w:r>
        <w:rPr>
          <w:rFonts w:hint="eastAsia" w:ascii="微软雅黑" w:hAnsi="微软雅黑" w:eastAsia="微软雅黑" w:cs="微软雅黑"/>
          <w:b w:val="0"/>
          <w:bCs/>
          <w:color w:val="000000" w:themeColor="text1"/>
          <w:sz w:val="44"/>
          <w:szCs w:val="44"/>
          <w:u w:val="none"/>
          <w14:textFill>
            <w14:solidFill>
              <w14:schemeClr w14:val="tx1"/>
            </w14:solidFill>
          </w14:textFill>
        </w:rPr>
        <w:t>预算编制说明</w:t>
      </w:r>
    </w:p>
    <w:p w14:paraId="3D15B99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u w:val="none"/>
        </w:rPr>
      </w:pPr>
    </w:p>
    <w:p w14:paraId="6BB21DB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微软雅黑" w:hAnsi="微软雅黑" w:eastAsia="微软雅黑" w:cs="微软雅黑"/>
          <w:b w:val="0"/>
          <w:bCs/>
          <w:color w:val="000000" w:themeColor="text1"/>
          <w:sz w:val="44"/>
          <w:szCs w:val="44"/>
          <w:u w:val="none"/>
          <w14:textFill>
            <w14:solidFill>
              <w14:schemeClr w14:val="tx1"/>
            </w14:solidFill>
          </w14:textFill>
        </w:rPr>
      </w:pPr>
      <w:r>
        <w:rPr>
          <w:rFonts w:hint="eastAsia" w:ascii="微软雅黑" w:hAnsi="微软雅黑" w:eastAsia="微软雅黑" w:cs="微软雅黑"/>
          <w:b w:val="0"/>
          <w:bCs/>
          <w:color w:val="000000" w:themeColor="text1"/>
          <w:sz w:val="44"/>
          <w:szCs w:val="44"/>
          <w:u w:val="none"/>
          <w14:textFill>
            <w14:solidFill>
              <w14:schemeClr w14:val="tx1"/>
            </w14:solidFill>
          </w14:textFill>
        </w:rPr>
        <w:t>目录</w:t>
      </w:r>
    </w:p>
    <w:p w14:paraId="0651BDD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u w:val="none"/>
        </w:rPr>
      </w:pPr>
    </w:p>
    <w:p w14:paraId="0867D4B4">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第一部分部门</w:t>
      </w:r>
      <w:r>
        <w:rPr>
          <w:rFonts w:hint="eastAsia" w:ascii="仿宋" w:hAnsi="仿宋" w:eastAsia="仿宋" w:cs="仿宋"/>
          <w:b/>
          <w:bCs/>
          <w:sz w:val="32"/>
          <w:szCs w:val="32"/>
          <w:u w:val="none"/>
          <w:lang w:eastAsia="zh-CN"/>
        </w:rPr>
        <w:t>（单位）</w:t>
      </w:r>
      <w:r>
        <w:rPr>
          <w:rFonts w:hint="eastAsia" w:ascii="仿宋" w:hAnsi="仿宋" w:eastAsia="仿宋" w:cs="仿宋"/>
          <w:b/>
          <w:bCs/>
          <w:sz w:val="32"/>
          <w:szCs w:val="32"/>
          <w:u w:val="none"/>
        </w:rPr>
        <w:t>概况</w:t>
      </w:r>
    </w:p>
    <w:p w14:paraId="2BBE37E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u w:val="none"/>
        </w:rPr>
      </w:pPr>
      <w:r>
        <w:rPr>
          <w:rFonts w:hint="eastAsia" w:ascii="仿宋" w:hAnsi="仿宋" w:eastAsia="仿宋" w:cs="仿宋"/>
          <w:sz w:val="32"/>
          <w:szCs w:val="32"/>
          <w:u w:val="none"/>
        </w:rPr>
        <w:t>一、</w:t>
      </w:r>
      <w:r>
        <w:rPr>
          <w:rFonts w:hint="eastAsia" w:ascii="仿宋" w:hAnsi="仿宋" w:eastAsia="仿宋" w:cs="仿宋"/>
          <w:b w:val="0"/>
          <w:bCs w:val="0"/>
          <w:sz w:val="32"/>
          <w:szCs w:val="32"/>
          <w:u w:val="none"/>
        </w:rPr>
        <w:t>部门</w:t>
      </w:r>
      <w:r>
        <w:rPr>
          <w:rFonts w:hint="eastAsia" w:ascii="仿宋" w:hAnsi="仿宋" w:eastAsia="仿宋" w:cs="仿宋"/>
          <w:b w:val="0"/>
          <w:bCs w:val="0"/>
          <w:sz w:val="32"/>
          <w:szCs w:val="32"/>
          <w:u w:val="none"/>
          <w:lang w:eastAsia="zh-CN"/>
        </w:rPr>
        <w:t>（单位）</w:t>
      </w:r>
      <w:r>
        <w:rPr>
          <w:rFonts w:hint="eastAsia" w:ascii="仿宋" w:hAnsi="仿宋" w:eastAsia="仿宋" w:cs="仿宋"/>
          <w:b w:val="0"/>
          <w:bCs w:val="0"/>
          <w:sz w:val="32"/>
          <w:szCs w:val="32"/>
          <w:u w:val="none"/>
        </w:rPr>
        <w:t>主要职责</w:t>
      </w:r>
    </w:p>
    <w:p w14:paraId="5B1D35E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u w:val="none"/>
        </w:rPr>
      </w:pPr>
      <w:r>
        <w:rPr>
          <w:rFonts w:hint="eastAsia" w:ascii="仿宋" w:hAnsi="仿宋" w:eastAsia="仿宋" w:cs="仿宋"/>
          <w:b w:val="0"/>
          <w:bCs w:val="0"/>
          <w:sz w:val="32"/>
          <w:szCs w:val="32"/>
          <w:u w:val="none"/>
        </w:rPr>
        <w:t>二、部门</w:t>
      </w:r>
      <w:r>
        <w:rPr>
          <w:rFonts w:hint="eastAsia" w:ascii="仿宋" w:hAnsi="仿宋" w:eastAsia="仿宋" w:cs="仿宋"/>
          <w:b w:val="0"/>
          <w:bCs w:val="0"/>
          <w:sz w:val="32"/>
          <w:szCs w:val="32"/>
          <w:u w:val="none"/>
          <w:lang w:eastAsia="zh-CN"/>
        </w:rPr>
        <w:t>（单位）</w:t>
      </w:r>
      <w:r>
        <w:rPr>
          <w:rFonts w:hint="eastAsia" w:ascii="仿宋" w:hAnsi="仿宋" w:eastAsia="仿宋" w:cs="仿宋"/>
          <w:b w:val="0"/>
          <w:bCs w:val="0"/>
          <w:sz w:val="32"/>
          <w:szCs w:val="32"/>
          <w:u w:val="none"/>
        </w:rPr>
        <w:t>基本情况</w:t>
      </w:r>
    </w:p>
    <w:p w14:paraId="11FFEF6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w:t>
      </w:r>
      <w:r>
        <w:rPr>
          <w:rFonts w:hint="eastAsia" w:ascii="仿宋" w:hAnsi="仿宋" w:eastAsia="仿宋" w:cs="仿宋"/>
          <w:b/>
          <w:bCs/>
          <w:sz w:val="32"/>
          <w:szCs w:val="32"/>
          <w:u w:val="none"/>
          <w:lang w:eastAsia="zh-CN"/>
        </w:rPr>
        <w:t>二</w:t>
      </w:r>
      <w:r>
        <w:rPr>
          <w:rFonts w:hint="eastAsia" w:ascii="仿宋" w:hAnsi="仿宋" w:eastAsia="仿宋" w:cs="仿宋"/>
          <w:b/>
          <w:bCs/>
          <w:sz w:val="32"/>
          <w:szCs w:val="32"/>
          <w:u w:val="none"/>
        </w:rPr>
        <w:t>部分</w:t>
      </w:r>
      <w:r>
        <w:rPr>
          <w:rFonts w:hint="eastAsia" w:ascii="仿宋" w:hAnsi="仿宋" w:eastAsia="仿宋" w:cs="仿宋"/>
          <w:b/>
          <w:bCs/>
          <w:sz w:val="32"/>
          <w:szCs w:val="32"/>
          <w:u w:val="none"/>
          <w:lang w:val="en-US" w:eastAsia="zh-CN"/>
        </w:rPr>
        <w:t>2025年</w:t>
      </w:r>
      <w:r>
        <w:rPr>
          <w:rFonts w:hint="eastAsia" w:ascii="仿宋" w:hAnsi="仿宋" w:eastAsia="仿宋" w:cs="仿宋"/>
          <w:b/>
          <w:bCs/>
          <w:sz w:val="32"/>
          <w:szCs w:val="32"/>
          <w:u w:val="none"/>
        </w:rPr>
        <w:t>部门</w:t>
      </w:r>
      <w:r>
        <w:rPr>
          <w:rFonts w:hint="eastAsia" w:ascii="仿宋" w:hAnsi="仿宋" w:eastAsia="仿宋" w:cs="仿宋"/>
          <w:b/>
          <w:bCs/>
          <w:sz w:val="32"/>
          <w:szCs w:val="32"/>
          <w:u w:val="none"/>
          <w:lang w:eastAsia="zh-CN"/>
        </w:rPr>
        <w:t>（单位）</w:t>
      </w:r>
      <w:r>
        <w:rPr>
          <w:rFonts w:hint="eastAsia" w:ascii="仿宋" w:hAnsi="仿宋" w:eastAsia="仿宋" w:cs="仿宋"/>
          <w:b/>
          <w:bCs/>
          <w:sz w:val="32"/>
          <w:szCs w:val="32"/>
          <w:u w:val="none"/>
        </w:rPr>
        <w:t>预算情况说明</w:t>
      </w:r>
    </w:p>
    <w:p w14:paraId="719E32A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一、</w:t>
      </w:r>
      <w:r>
        <w:rPr>
          <w:rFonts w:hint="eastAsia" w:ascii="仿宋" w:hAnsi="仿宋" w:eastAsia="仿宋" w:cs="仿宋"/>
          <w:b w:val="0"/>
          <w:bCs w:val="0"/>
          <w:sz w:val="32"/>
          <w:szCs w:val="32"/>
          <w:u w:val="none"/>
        </w:rPr>
        <w:t>部门</w:t>
      </w:r>
      <w:r>
        <w:rPr>
          <w:rFonts w:hint="eastAsia" w:ascii="仿宋" w:hAnsi="仿宋" w:eastAsia="仿宋" w:cs="仿宋"/>
          <w:b w:val="0"/>
          <w:bCs w:val="0"/>
          <w:sz w:val="32"/>
          <w:szCs w:val="32"/>
          <w:u w:val="none"/>
          <w:lang w:eastAsia="zh-CN"/>
        </w:rPr>
        <w:t>（单位）</w:t>
      </w:r>
      <w:r>
        <w:rPr>
          <w:rFonts w:hint="eastAsia" w:ascii="仿宋" w:hAnsi="仿宋" w:eastAsia="仿宋" w:cs="仿宋"/>
          <w:b w:val="0"/>
          <w:bCs w:val="0"/>
          <w:sz w:val="32"/>
          <w:szCs w:val="32"/>
          <w:u w:val="none"/>
        </w:rPr>
        <w:t>预算</w:t>
      </w:r>
      <w:r>
        <w:rPr>
          <w:rFonts w:hint="eastAsia" w:ascii="仿宋" w:hAnsi="仿宋" w:eastAsia="仿宋" w:cs="仿宋"/>
          <w:sz w:val="32"/>
          <w:szCs w:val="32"/>
          <w:u w:val="none"/>
        </w:rPr>
        <w:t>收支情况说明</w:t>
      </w:r>
    </w:p>
    <w:p w14:paraId="414DC70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sz w:val="32"/>
          <w:szCs w:val="32"/>
          <w:u w:val="none"/>
        </w:rPr>
      </w:pPr>
      <w:r>
        <w:rPr>
          <w:rFonts w:hint="eastAsia" w:ascii="仿宋" w:hAnsi="仿宋" w:eastAsia="仿宋" w:cs="仿宋"/>
          <w:sz w:val="32"/>
          <w:szCs w:val="32"/>
          <w:u w:val="none"/>
        </w:rPr>
        <w:t>二、“三公”经费预算情况说明</w:t>
      </w:r>
    </w:p>
    <w:p w14:paraId="5B5D72F8">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w:t>
      </w:r>
      <w:r>
        <w:rPr>
          <w:rFonts w:hint="eastAsia" w:ascii="仿宋" w:hAnsi="仿宋" w:eastAsia="仿宋" w:cs="仿宋"/>
          <w:b/>
          <w:bCs/>
          <w:sz w:val="32"/>
          <w:szCs w:val="32"/>
          <w:u w:val="none"/>
          <w:lang w:eastAsia="zh-CN"/>
        </w:rPr>
        <w:t>三</w:t>
      </w:r>
      <w:r>
        <w:rPr>
          <w:rFonts w:hint="eastAsia" w:ascii="仿宋" w:hAnsi="仿宋" w:eastAsia="仿宋" w:cs="仿宋"/>
          <w:b/>
          <w:bCs/>
          <w:sz w:val="32"/>
          <w:szCs w:val="32"/>
          <w:u w:val="none"/>
        </w:rPr>
        <w:t>部分</w:t>
      </w:r>
      <w:r>
        <w:rPr>
          <w:rFonts w:hint="eastAsia" w:ascii="仿宋" w:hAnsi="仿宋" w:eastAsia="仿宋" w:cs="仿宋"/>
          <w:b/>
          <w:bCs/>
          <w:color w:val="auto"/>
          <w:sz w:val="32"/>
          <w:szCs w:val="32"/>
          <w:u w:val="none"/>
          <w:lang w:val="en-US" w:eastAsia="zh-CN"/>
        </w:rPr>
        <w:t>2025年</w:t>
      </w:r>
      <w:r>
        <w:rPr>
          <w:rFonts w:hint="eastAsia" w:ascii="仿宋" w:hAnsi="仿宋" w:eastAsia="仿宋" w:cs="仿宋"/>
          <w:b/>
          <w:bCs/>
          <w:sz w:val="32"/>
          <w:szCs w:val="32"/>
          <w:u w:val="none"/>
        </w:rPr>
        <w:t>部门</w:t>
      </w:r>
      <w:r>
        <w:rPr>
          <w:rFonts w:hint="eastAsia" w:ascii="仿宋" w:hAnsi="仿宋" w:eastAsia="仿宋" w:cs="仿宋"/>
          <w:b/>
          <w:bCs/>
          <w:sz w:val="32"/>
          <w:szCs w:val="32"/>
          <w:u w:val="none"/>
          <w:lang w:eastAsia="zh-CN"/>
        </w:rPr>
        <w:t>（单位）</w:t>
      </w:r>
      <w:r>
        <w:rPr>
          <w:rFonts w:hint="eastAsia" w:ascii="仿宋" w:hAnsi="仿宋" w:eastAsia="仿宋" w:cs="仿宋"/>
          <w:b/>
          <w:bCs/>
          <w:sz w:val="32"/>
          <w:szCs w:val="32"/>
          <w:u w:val="none"/>
        </w:rPr>
        <w:t>预算表</w:t>
      </w:r>
    </w:p>
    <w:p w14:paraId="642012CB">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一、《收支预算总表》</w:t>
      </w:r>
    </w:p>
    <w:p w14:paraId="540F19DC">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二、《部门收入总表》</w:t>
      </w:r>
    </w:p>
    <w:p w14:paraId="1FDA14E1">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三、《部门支出总表》</w:t>
      </w:r>
    </w:p>
    <w:p w14:paraId="0C52828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四、《财政拨款收支总表》</w:t>
      </w:r>
    </w:p>
    <w:p w14:paraId="412895B7">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五、《一般公共预算支出表》</w:t>
      </w:r>
    </w:p>
    <w:p w14:paraId="518E2501">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六、《一般公共预算基本支出表》</w:t>
      </w:r>
    </w:p>
    <w:p w14:paraId="6FE6153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七、《一般公共预算“三公”经费支出表》</w:t>
      </w:r>
    </w:p>
    <w:p w14:paraId="621F842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八、《政府性基金预算支出表》</w:t>
      </w:r>
    </w:p>
    <w:p w14:paraId="7BA147C4">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u w:val="none"/>
        </w:rPr>
      </w:pPr>
      <w:r>
        <w:rPr>
          <w:rFonts w:hint="eastAsia" w:ascii="仿宋" w:hAnsi="仿宋" w:eastAsia="仿宋" w:cs="仿宋"/>
          <w:sz w:val="32"/>
          <w:szCs w:val="32"/>
          <w:u w:val="none"/>
        </w:rPr>
        <w:t>九、《国有资本经营预算支出表》</w:t>
      </w:r>
    </w:p>
    <w:p w14:paraId="48095D1A">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十、《部门整体支出绩效目标表》</w:t>
      </w:r>
    </w:p>
    <w:p w14:paraId="165EADD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u w:val="none"/>
        </w:rPr>
      </w:pPr>
      <w:r>
        <w:rPr>
          <w:rFonts w:hint="eastAsia" w:ascii="仿宋" w:hAnsi="仿宋" w:eastAsia="仿宋" w:cs="仿宋"/>
          <w:sz w:val="32"/>
          <w:szCs w:val="32"/>
          <w:u w:val="none"/>
          <w:lang w:eastAsia="zh-CN"/>
        </w:rPr>
        <w:t>十一、</w:t>
      </w:r>
      <w:r>
        <w:rPr>
          <w:rFonts w:hint="eastAsia" w:ascii="仿宋" w:hAnsi="仿宋" w:eastAsia="仿宋" w:cs="仿宋"/>
          <w:sz w:val="32"/>
          <w:szCs w:val="32"/>
          <w:u w:val="none"/>
        </w:rPr>
        <w:t>《项目支出绩效目标表》</w:t>
      </w:r>
    </w:p>
    <w:p w14:paraId="12E7F10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第四部分名词解释</w:t>
      </w:r>
    </w:p>
    <w:p w14:paraId="38E0E0B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sz w:val="32"/>
          <w:szCs w:val="32"/>
          <w:u w:val="none"/>
        </w:rPr>
      </w:pPr>
    </w:p>
    <w:p w14:paraId="0F98B626">
      <w:pPr>
        <w:pStyle w:val="3"/>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u w:val="none"/>
        </w:rPr>
      </w:pPr>
    </w:p>
    <w:p w14:paraId="42D6152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第一部分</w:t>
      </w:r>
      <w:r>
        <w:rPr>
          <w:rFonts w:hint="eastAsia" w:ascii="黑体" w:hAnsi="黑体" w:eastAsia="黑体" w:cs="黑体"/>
          <w:b w:val="0"/>
          <w:bCs w:val="0"/>
          <w:color w:val="auto"/>
          <w:sz w:val="32"/>
          <w:szCs w:val="32"/>
          <w:u w:val="none"/>
        </w:rPr>
        <w:t>部门</w:t>
      </w:r>
      <w:r>
        <w:rPr>
          <w:rFonts w:hint="eastAsia" w:ascii="黑体" w:hAnsi="黑体" w:eastAsia="黑体" w:cs="黑体"/>
          <w:b w:val="0"/>
          <w:bCs w:val="0"/>
          <w:color w:val="auto"/>
          <w:sz w:val="32"/>
          <w:szCs w:val="32"/>
          <w:u w:val="none"/>
          <w:lang w:eastAsia="zh-CN"/>
        </w:rPr>
        <w:t>（单位）</w:t>
      </w:r>
      <w:r>
        <w:rPr>
          <w:rFonts w:hint="eastAsia" w:ascii="黑体" w:hAnsi="黑体" w:eastAsia="黑体" w:cs="黑体"/>
          <w:b w:val="0"/>
          <w:bCs w:val="0"/>
          <w:sz w:val="32"/>
          <w:szCs w:val="32"/>
          <w:u w:val="none"/>
        </w:rPr>
        <w:t>概况</w:t>
      </w:r>
    </w:p>
    <w:p w14:paraId="7AB74F7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2"/>
          <w:szCs w:val="32"/>
          <w:u w:val="none"/>
        </w:rPr>
      </w:pPr>
    </w:p>
    <w:p w14:paraId="1A4B68E6">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一、部门</w:t>
      </w:r>
      <w:r>
        <w:rPr>
          <w:rFonts w:hint="eastAsia" w:ascii="楷体" w:hAnsi="楷体" w:eastAsia="楷体" w:cs="楷体"/>
          <w:b/>
          <w:bCs/>
          <w:sz w:val="32"/>
          <w:szCs w:val="32"/>
          <w:u w:val="none"/>
          <w:lang w:eastAsia="zh-CN"/>
        </w:rPr>
        <w:t>（单位）</w:t>
      </w:r>
      <w:r>
        <w:rPr>
          <w:rFonts w:hint="eastAsia" w:ascii="楷体" w:hAnsi="楷体" w:eastAsia="楷体" w:cs="楷体"/>
          <w:b/>
          <w:bCs/>
          <w:sz w:val="32"/>
          <w:szCs w:val="32"/>
          <w:u w:val="none"/>
        </w:rPr>
        <w:t>主要职责</w:t>
      </w:r>
    </w:p>
    <w:p w14:paraId="5F2B9E9F">
      <w:pPr>
        <w:spacing w:line="600" w:lineRule="exact"/>
        <w:ind w:firstLine="63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（一）宣传贯彻党的路线、方针、政策，执行党中央、上级党组织的决定，领导本镇工作，对本镇重大工作、重点问题进行决策，认真抓好党的思想、组织和作风建设，支持和保证</w:t>
      </w:r>
    </w:p>
    <w:p w14:paraId="38854BA8">
      <w:pPr>
        <w:spacing w:line="600" w:lineRule="exact"/>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行政组织、经济组织、群众组织充分行使职权，充分发挥基层党组织战斗堡垒作用和共产党的先锋模范作用。</w:t>
      </w:r>
    </w:p>
    <w:p w14:paraId="0310642C">
      <w:pPr>
        <w:spacing w:line="600" w:lineRule="exact"/>
        <w:ind w:firstLine="63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（二）监督本乡国家公务员和机关工作人员依法行政，秉公办事，领导和组织实施本镇的“两个文明”建设。</w:t>
      </w:r>
    </w:p>
    <w:p w14:paraId="1EC39B38">
      <w:pPr>
        <w:spacing w:line="600" w:lineRule="exact"/>
        <w:ind w:firstLine="63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（三）执行本级人民代表大会的决议和上级国家行政机关的决定与命令，发布决定。</w:t>
      </w:r>
    </w:p>
    <w:p w14:paraId="6521A504">
      <w:pPr>
        <w:spacing w:line="600" w:lineRule="exact"/>
        <w:ind w:firstLine="63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（四）管理行政区域内的经济、教育、科学、文化、卫生、体育事业和财政、民政优抚、社会治安综合治理、计划生育、乡村建设等行政事务工作。</w:t>
      </w:r>
    </w:p>
    <w:p w14:paraId="43E0F20B">
      <w:pPr>
        <w:spacing w:line="600" w:lineRule="exact"/>
        <w:ind w:firstLine="63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（五）建立健全农业科技体系，为农民和经济组织服务，调整产业结构，发展特色产业。</w:t>
      </w:r>
    </w:p>
    <w:p w14:paraId="4D327ACC">
      <w:pPr>
        <w:spacing w:line="600" w:lineRule="exact"/>
        <w:ind w:firstLine="63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（六）加快全乡公益事业的发展，组织救灾抢险重大工作。</w:t>
      </w:r>
    </w:p>
    <w:p w14:paraId="4D8F72D4">
      <w:pPr>
        <w:spacing w:line="600" w:lineRule="exact"/>
        <w:ind w:firstLine="630"/>
        <w:rPr>
          <w:rFonts w:hint="eastAsia" w:ascii="楷体" w:hAnsi="楷体" w:eastAsia="楷体" w:cs="楷体"/>
          <w:color w:val="FF0000"/>
          <w:sz w:val="24"/>
          <w:szCs w:val="24"/>
          <w:u w:val="none"/>
        </w:rPr>
      </w:pPr>
      <w:r>
        <w:rPr>
          <w:rFonts w:hint="eastAsia" w:ascii="仿宋_GB2312" w:hAnsi="仿宋_GB2312" w:eastAsia="仿宋_GB2312" w:cs="仿宋_GB2312"/>
          <w:color w:val="000000" w:themeColor="text1"/>
          <w:sz w:val="32"/>
          <w:szCs w:val="32"/>
          <w:u w:val="none"/>
          <w14:textFill>
            <w14:solidFill>
              <w14:schemeClr w14:val="tx1"/>
            </w14:solidFill>
          </w14:textFill>
        </w:rPr>
        <w:t>（七）承办县委、县政府交办的其他工作。</w:t>
      </w:r>
    </w:p>
    <w:p w14:paraId="215D41C9">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二、部门</w:t>
      </w:r>
      <w:r>
        <w:rPr>
          <w:rFonts w:hint="eastAsia" w:ascii="楷体" w:hAnsi="楷体" w:eastAsia="楷体" w:cs="楷体"/>
          <w:b/>
          <w:bCs/>
          <w:sz w:val="32"/>
          <w:szCs w:val="32"/>
          <w:u w:val="none"/>
          <w:lang w:eastAsia="zh-CN"/>
        </w:rPr>
        <w:t>（单位）</w:t>
      </w:r>
      <w:r>
        <w:rPr>
          <w:rFonts w:hint="eastAsia" w:ascii="楷体" w:hAnsi="楷体" w:eastAsia="楷体" w:cs="楷体"/>
          <w:b/>
          <w:bCs/>
          <w:sz w:val="32"/>
          <w:szCs w:val="32"/>
          <w:u w:val="none"/>
        </w:rPr>
        <w:t>基本情况</w:t>
      </w:r>
    </w:p>
    <w:p w14:paraId="51A6DC7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楷体"/>
          <w:color w:val="auto"/>
          <w:sz w:val="32"/>
          <w:szCs w:val="32"/>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lang w:eastAsia="zh-CN"/>
        </w:rPr>
        <w:t>本</w:t>
      </w:r>
      <w:r>
        <w:rPr>
          <w:rFonts w:hint="eastAsia" w:ascii="仿宋" w:hAnsi="仿宋" w:eastAsia="仿宋"/>
          <w:color w:val="auto"/>
          <w:sz w:val="32"/>
          <w:szCs w:val="32"/>
          <w:u w:val="none"/>
        </w:rPr>
        <w:t>部门共有单位</w:t>
      </w:r>
      <w:r>
        <w:rPr>
          <w:rFonts w:hint="eastAsia" w:ascii="仿宋" w:hAnsi="仿宋" w:eastAsia="仿宋" w:cs="Times New Roman"/>
          <w:color w:val="auto"/>
          <w:kern w:val="0"/>
          <w:sz w:val="32"/>
          <w:szCs w:val="32"/>
          <w:u w:val="none"/>
          <w:lang w:val="en-US" w:eastAsia="zh-CN"/>
        </w:rPr>
        <w:t>1</w:t>
      </w:r>
      <w:r>
        <w:rPr>
          <w:rFonts w:ascii="仿宋" w:hAnsi="仿宋" w:eastAsia="仿宋"/>
          <w:color w:val="auto"/>
          <w:sz w:val="32"/>
          <w:szCs w:val="32"/>
          <w:u w:val="none"/>
        </w:rPr>
        <w:t>个，包括</w:t>
      </w:r>
      <w:r>
        <w:rPr>
          <w:rFonts w:hint="eastAsia" w:ascii="仿宋" w:hAnsi="仿宋" w:eastAsia="仿宋"/>
          <w:color w:val="auto"/>
          <w:sz w:val="32"/>
          <w:szCs w:val="32"/>
          <w:u w:val="none"/>
        </w:rPr>
        <w:t>：</w:t>
      </w:r>
      <w:r>
        <w:rPr>
          <w:rFonts w:hint="eastAsia" w:ascii="仿宋" w:hAnsi="仿宋" w:eastAsia="仿宋"/>
          <w:color w:val="auto"/>
          <w:sz w:val="32"/>
          <w:szCs w:val="32"/>
          <w:u w:val="none"/>
          <w:lang w:eastAsia="zh-CN"/>
        </w:rPr>
        <w:t>本级</w:t>
      </w:r>
      <w:r>
        <w:rPr>
          <w:rFonts w:hint="eastAsia" w:ascii="仿宋" w:hAnsi="仿宋" w:eastAsia="仿宋"/>
          <w:color w:val="auto"/>
          <w:sz w:val="32"/>
          <w:szCs w:val="32"/>
          <w:u w:val="none"/>
        </w:rPr>
        <w:t>机关</w:t>
      </w:r>
      <w:r>
        <w:rPr>
          <w:rFonts w:hint="eastAsia" w:ascii="仿宋" w:hAnsi="仿宋" w:eastAsia="仿宋"/>
          <w:color w:val="auto"/>
          <w:sz w:val="32"/>
          <w:szCs w:val="32"/>
          <w:u w:val="none"/>
          <w:lang w:eastAsia="zh-CN"/>
        </w:rPr>
        <w:t>单位</w:t>
      </w:r>
      <w:r>
        <w:rPr>
          <w:rFonts w:hint="eastAsia" w:ascii="仿宋" w:hAnsi="仿宋" w:eastAsia="仿宋"/>
          <w:color w:val="auto"/>
          <w:sz w:val="32"/>
          <w:szCs w:val="32"/>
          <w:u w:val="none"/>
        </w:rPr>
        <w:t>、单位</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lang w:val="en-US" w:eastAsia="zh-CN"/>
        </w:rPr>
        <w:t>兴国县高兴镇人民政府</w:t>
      </w:r>
      <w:r>
        <w:rPr>
          <w:rFonts w:hint="eastAsia" w:ascii="仿宋" w:hAnsi="仿宋" w:eastAsia="仿宋"/>
          <w:color w:val="auto"/>
          <w:sz w:val="32"/>
          <w:szCs w:val="32"/>
          <w:u w:val="none"/>
        </w:rPr>
        <w:t>。</w:t>
      </w:r>
      <w:r>
        <w:rPr>
          <w:rFonts w:hint="eastAsia" w:ascii="仿宋" w:hAnsi="仿宋" w:eastAsia="仿宋"/>
          <w:color w:val="auto"/>
          <w:sz w:val="32"/>
          <w:szCs w:val="32"/>
          <w:u w:val="none"/>
          <w:lang w:eastAsia="zh-CN"/>
        </w:rPr>
        <w:t>各单位于机关单位进行财务核算，均未独立核算。</w:t>
      </w:r>
    </w:p>
    <w:p w14:paraId="3C4BE9CB">
      <w:pPr>
        <w:ind w:firstLine="640" w:firstLineChars="200"/>
        <w:rPr>
          <w:rFonts w:hint="eastAsia" w:ascii="仿宋" w:hAnsi="仿宋" w:eastAsia="仿宋"/>
          <w:color w:val="auto"/>
          <w:sz w:val="32"/>
          <w:szCs w:val="32"/>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olor w:val="auto"/>
          <w:sz w:val="32"/>
          <w:szCs w:val="32"/>
          <w:u w:val="none"/>
          <w:lang w:eastAsia="zh-CN"/>
        </w:rPr>
        <w:t>本部门机关单位</w:t>
      </w:r>
      <w:r>
        <w:rPr>
          <w:rFonts w:hint="eastAsia" w:ascii="仿宋" w:hAnsi="仿宋" w:eastAsia="仿宋"/>
          <w:color w:val="auto"/>
          <w:sz w:val="32"/>
          <w:szCs w:val="32"/>
          <w:u w:val="none"/>
        </w:rPr>
        <w:t>内设处室</w:t>
      </w:r>
      <w:r>
        <w:rPr>
          <w:rFonts w:hint="eastAsia" w:ascii="仿宋" w:hAnsi="仿宋" w:eastAsia="仿宋"/>
          <w:color w:val="auto"/>
          <w:sz w:val="32"/>
          <w:szCs w:val="32"/>
          <w:u w:val="none"/>
          <w:lang w:val="en-US" w:eastAsia="zh-CN"/>
        </w:rPr>
        <w:t>4</w:t>
      </w:r>
      <w:r>
        <w:rPr>
          <w:rFonts w:hint="eastAsia" w:ascii="仿宋" w:hAnsi="仿宋" w:eastAsia="仿宋"/>
          <w:color w:val="auto"/>
          <w:sz w:val="32"/>
          <w:szCs w:val="32"/>
          <w:u w:val="none"/>
        </w:rPr>
        <w:t>个，分别为：</w:t>
      </w:r>
      <w:r>
        <w:rPr>
          <w:rFonts w:hint="eastAsia" w:ascii="仿宋" w:hAnsi="仿宋" w:eastAsia="仿宋"/>
          <w:color w:val="auto"/>
          <w:sz w:val="32"/>
          <w:szCs w:val="32"/>
          <w:u w:val="none"/>
          <w:lang w:val="en-US" w:eastAsia="zh-CN"/>
        </w:rPr>
        <w:t>兴国县高兴镇党政</w:t>
      </w:r>
      <w:r>
        <w:rPr>
          <w:rFonts w:hint="eastAsia" w:ascii="仿宋" w:hAnsi="仿宋" w:eastAsia="仿宋"/>
          <w:color w:val="auto"/>
          <w:sz w:val="32"/>
          <w:szCs w:val="32"/>
          <w:u w:val="none"/>
        </w:rPr>
        <w:t>办公室、</w:t>
      </w:r>
      <w:r>
        <w:rPr>
          <w:rFonts w:hint="eastAsia" w:ascii="仿宋" w:hAnsi="仿宋" w:eastAsia="仿宋"/>
          <w:color w:val="auto"/>
          <w:sz w:val="32"/>
          <w:szCs w:val="32"/>
          <w:u w:val="none"/>
          <w:lang w:val="en-US" w:eastAsia="zh-CN"/>
        </w:rPr>
        <w:t>兴国县高兴镇财政经济办公室、兴国县高兴镇便民服务中心、兴国县高兴镇综合执法队</w:t>
      </w:r>
      <w:r>
        <w:rPr>
          <w:rFonts w:hint="eastAsia" w:ascii="仿宋" w:hAnsi="仿宋" w:eastAsia="仿宋"/>
          <w:color w:val="auto"/>
          <w:sz w:val="32"/>
          <w:szCs w:val="32"/>
          <w:u w:val="none"/>
        </w:rPr>
        <w:t>。</w:t>
      </w:r>
    </w:p>
    <w:p w14:paraId="1A784DF3">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楷体" w:hAnsi="楷体" w:eastAsia="楷体" w:cs="楷体"/>
          <w:color w:val="FF0000"/>
          <w:sz w:val="24"/>
          <w:szCs w:val="24"/>
          <w:u w:val="none"/>
          <w:lang w:eastAsia="zh-CN"/>
        </w:rPr>
      </w:pPr>
      <w:r>
        <w:rPr>
          <w:rFonts w:hint="eastAsia" w:ascii="仿宋" w:hAnsi="仿宋" w:eastAsia="仿宋"/>
          <w:sz w:val="32"/>
          <w:szCs w:val="32"/>
          <w:u w:val="none"/>
          <w:lang w:val="en-US" w:eastAsia="zh-CN"/>
        </w:rPr>
        <w:t>2025年</w:t>
      </w:r>
      <w:r>
        <w:rPr>
          <w:rFonts w:hint="eastAsia" w:ascii="仿宋" w:hAnsi="仿宋" w:eastAsia="仿宋"/>
          <w:sz w:val="32"/>
          <w:szCs w:val="32"/>
          <w:u w:val="none"/>
          <w:lang w:eastAsia="zh-CN"/>
        </w:rPr>
        <w:t>本部门</w:t>
      </w:r>
      <w:r>
        <w:rPr>
          <w:rFonts w:hint="eastAsia" w:ascii="仿宋" w:hAnsi="仿宋" w:eastAsia="仿宋"/>
          <w:sz w:val="32"/>
          <w:szCs w:val="32"/>
          <w:u w:val="none"/>
        </w:rPr>
        <w:t>编制人数小计</w:t>
      </w:r>
      <w:r>
        <w:rPr>
          <w:rFonts w:hint="eastAsia" w:ascii="仿宋" w:hAnsi="仿宋" w:eastAsia="仿宋"/>
          <w:sz w:val="32"/>
          <w:szCs w:val="32"/>
          <w:u w:val="none"/>
          <w:lang w:val="en-US" w:eastAsia="zh-CN"/>
        </w:rPr>
        <w:t>77</w:t>
      </w:r>
      <w:r>
        <w:rPr>
          <w:rFonts w:hint="eastAsia" w:ascii="仿宋" w:hAnsi="仿宋" w:eastAsia="仿宋"/>
          <w:sz w:val="32"/>
          <w:szCs w:val="32"/>
          <w:u w:val="none"/>
        </w:rPr>
        <w:t>人,其中：行政编制人数</w:t>
      </w:r>
      <w:r>
        <w:rPr>
          <w:rFonts w:hint="eastAsia" w:ascii="仿宋" w:hAnsi="仿宋" w:eastAsia="仿宋"/>
          <w:sz w:val="32"/>
          <w:szCs w:val="32"/>
          <w:u w:val="none"/>
          <w:lang w:val="en-US" w:eastAsia="zh-CN"/>
        </w:rPr>
        <w:t>37</w:t>
      </w:r>
      <w:r>
        <w:rPr>
          <w:rFonts w:hint="eastAsia" w:ascii="仿宋" w:hAnsi="仿宋" w:eastAsia="仿宋"/>
          <w:sz w:val="32"/>
          <w:szCs w:val="32"/>
          <w:u w:val="none"/>
        </w:rPr>
        <w:t>人,参照公务员管理的事业编制人数</w:t>
      </w:r>
      <w:r>
        <w:rPr>
          <w:rFonts w:hint="eastAsia" w:ascii="仿宋" w:hAnsi="仿宋" w:eastAsia="仿宋"/>
          <w:sz w:val="32"/>
          <w:szCs w:val="32"/>
          <w:u w:val="none"/>
          <w:lang w:val="en-US" w:eastAsia="zh-CN"/>
        </w:rPr>
        <w:t>40</w:t>
      </w:r>
      <w:r>
        <w:rPr>
          <w:rFonts w:hint="eastAsia" w:ascii="仿宋" w:hAnsi="仿宋" w:eastAsia="仿宋"/>
          <w:sz w:val="32"/>
          <w:szCs w:val="32"/>
          <w:u w:val="none"/>
        </w:rPr>
        <w:t>人。实有人数小计</w:t>
      </w:r>
      <w:r>
        <w:rPr>
          <w:rFonts w:hint="eastAsia" w:ascii="仿宋" w:hAnsi="仿宋" w:eastAsia="仿宋"/>
          <w:sz w:val="32"/>
          <w:szCs w:val="32"/>
          <w:u w:val="none"/>
          <w:lang w:val="en-US" w:eastAsia="zh-CN"/>
        </w:rPr>
        <w:t>113</w:t>
      </w:r>
      <w:r>
        <w:rPr>
          <w:rFonts w:hint="eastAsia" w:ascii="仿宋" w:hAnsi="仿宋" w:eastAsia="仿宋"/>
          <w:sz w:val="32"/>
          <w:szCs w:val="32"/>
          <w:u w:val="none"/>
        </w:rPr>
        <w:t>人,其中：在职人数小计</w:t>
      </w:r>
      <w:r>
        <w:rPr>
          <w:rFonts w:hint="eastAsia" w:ascii="仿宋" w:hAnsi="仿宋" w:eastAsia="仿宋"/>
          <w:sz w:val="32"/>
          <w:szCs w:val="32"/>
          <w:u w:val="none"/>
          <w:lang w:val="en-US" w:eastAsia="zh-CN"/>
        </w:rPr>
        <w:t>77</w:t>
      </w:r>
      <w:r>
        <w:rPr>
          <w:rFonts w:hint="eastAsia" w:ascii="仿宋" w:hAnsi="仿宋" w:eastAsia="仿宋"/>
          <w:sz w:val="32"/>
          <w:szCs w:val="32"/>
          <w:u w:val="none"/>
        </w:rPr>
        <w:t>人</w:t>
      </w:r>
      <w:r>
        <w:rPr>
          <w:rFonts w:hint="eastAsia" w:ascii="楷体" w:hAnsi="楷体" w:eastAsia="楷体" w:cs="楷体"/>
          <w:sz w:val="30"/>
          <w:szCs w:val="30"/>
          <w:u w:val="none"/>
        </w:rPr>
        <w:t>（行政在职人数</w:t>
      </w:r>
      <w:r>
        <w:rPr>
          <w:rFonts w:hint="eastAsia" w:ascii="楷体" w:hAnsi="楷体" w:eastAsia="楷体" w:cs="楷体"/>
          <w:sz w:val="30"/>
          <w:szCs w:val="30"/>
          <w:u w:val="none"/>
          <w:lang w:val="en-US" w:eastAsia="zh-CN"/>
        </w:rPr>
        <w:t>37</w:t>
      </w:r>
      <w:r>
        <w:rPr>
          <w:rFonts w:hint="eastAsia" w:ascii="楷体" w:hAnsi="楷体" w:eastAsia="楷体" w:cs="楷体"/>
          <w:sz w:val="30"/>
          <w:szCs w:val="30"/>
          <w:u w:val="none"/>
        </w:rPr>
        <w:t>人,参照公务员管理的事业单位在职人数</w:t>
      </w:r>
      <w:r>
        <w:rPr>
          <w:rFonts w:hint="eastAsia" w:ascii="楷体" w:hAnsi="楷体" w:eastAsia="楷体" w:cs="楷体"/>
          <w:sz w:val="30"/>
          <w:szCs w:val="30"/>
          <w:u w:val="none"/>
          <w:lang w:val="en-US" w:eastAsia="zh-CN"/>
        </w:rPr>
        <w:t>40</w:t>
      </w:r>
      <w:r>
        <w:rPr>
          <w:rFonts w:hint="eastAsia" w:ascii="楷体" w:hAnsi="楷体" w:eastAsia="楷体" w:cs="楷体"/>
          <w:sz w:val="30"/>
          <w:szCs w:val="30"/>
          <w:u w:val="none"/>
        </w:rPr>
        <w:t>人）</w:t>
      </w:r>
      <w:r>
        <w:rPr>
          <w:rFonts w:hint="eastAsia" w:ascii="仿宋" w:hAnsi="仿宋" w:eastAsia="仿宋"/>
          <w:sz w:val="32"/>
          <w:szCs w:val="32"/>
          <w:u w:val="none"/>
        </w:rPr>
        <w:t>；离休人数小计</w:t>
      </w:r>
      <w:r>
        <w:rPr>
          <w:rFonts w:hint="eastAsia" w:ascii="仿宋" w:hAnsi="仿宋" w:eastAsia="仿宋"/>
          <w:sz w:val="32"/>
          <w:szCs w:val="32"/>
          <w:u w:val="none"/>
          <w:lang w:val="en-US" w:eastAsia="zh-CN"/>
        </w:rPr>
        <w:t>0</w:t>
      </w:r>
      <w:r>
        <w:rPr>
          <w:rFonts w:hint="eastAsia" w:ascii="仿宋" w:hAnsi="仿宋" w:eastAsia="仿宋"/>
          <w:sz w:val="32"/>
          <w:szCs w:val="32"/>
          <w:u w:val="none"/>
        </w:rPr>
        <w:t>人；退休人数小计</w:t>
      </w:r>
      <w:r>
        <w:rPr>
          <w:rFonts w:hint="eastAsia" w:ascii="仿宋" w:hAnsi="仿宋" w:eastAsia="仿宋"/>
          <w:sz w:val="32"/>
          <w:szCs w:val="32"/>
          <w:u w:val="none"/>
          <w:lang w:val="en-US" w:eastAsia="zh-CN"/>
        </w:rPr>
        <w:t>36</w:t>
      </w:r>
      <w:r>
        <w:rPr>
          <w:rFonts w:hint="eastAsia" w:ascii="仿宋" w:hAnsi="仿宋" w:eastAsia="仿宋"/>
          <w:sz w:val="32"/>
          <w:szCs w:val="32"/>
          <w:u w:val="none"/>
        </w:rPr>
        <w:t>人。</w:t>
      </w:r>
    </w:p>
    <w:p w14:paraId="1741758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w:t>
      </w:r>
      <w:r>
        <w:rPr>
          <w:rFonts w:hint="eastAsia" w:ascii="黑体" w:hAnsi="黑体" w:eastAsia="黑体" w:cs="黑体"/>
          <w:b w:val="0"/>
          <w:bCs w:val="0"/>
          <w:sz w:val="32"/>
          <w:szCs w:val="32"/>
          <w:u w:val="none"/>
          <w:lang w:eastAsia="zh-CN"/>
        </w:rPr>
        <w:t>二</w:t>
      </w:r>
      <w:r>
        <w:rPr>
          <w:rFonts w:hint="eastAsia" w:ascii="黑体" w:hAnsi="黑体" w:eastAsia="黑体" w:cs="黑体"/>
          <w:b w:val="0"/>
          <w:bCs w:val="0"/>
          <w:sz w:val="32"/>
          <w:szCs w:val="32"/>
          <w:u w:val="none"/>
        </w:rPr>
        <w:t>部分</w:t>
      </w:r>
      <w:r>
        <w:rPr>
          <w:rFonts w:hint="eastAsia" w:ascii="黑体" w:hAnsi="黑体" w:eastAsia="黑体" w:cs="黑体"/>
          <w:b w:val="0"/>
          <w:bCs w:val="0"/>
          <w:sz w:val="32"/>
          <w:szCs w:val="32"/>
          <w:u w:val="none"/>
          <w:lang w:val="en-US" w:eastAsia="zh-CN"/>
        </w:rPr>
        <w:t>2025年</w:t>
      </w:r>
      <w:r>
        <w:rPr>
          <w:rFonts w:hint="eastAsia" w:ascii="黑体" w:hAnsi="黑体" w:eastAsia="黑体" w:cs="黑体"/>
          <w:b w:val="0"/>
          <w:bCs w:val="0"/>
          <w:color w:val="auto"/>
          <w:sz w:val="32"/>
          <w:szCs w:val="32"/>
          <w:u w:val="none"/>
        </w:rPr>
        <w:t>部门</w:t>
      </w:r>
      <w:r>
        <w:rPr>
          <w:rFonts w:hint="eastAsia" w:ascii="黑体" w:hAnsi="黑体" w:eastAsia="黑体" w:cs="黑体"/>
          <w:b w:val="0"/>
          <w:bCs w:val="0"/>
          <w:sz w:val="32"/>
          <w:szCs w:val="32"/>
          <w:u w:val="none"/>
        </w:rPr>
        <w:t>预算情况说明</w:t>
      </w:r>
    </w:p>
    <w:p w14:paraId="2C40FFCB">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一、部门</w:t>
      </w:r>
      <w:r>
        <w:rPr>
          <w:rFonts w:hint="eastAsia" w:ascii="楷体" w:hAnsi="楷体" w:eastAsia="楷体" w:cs="楷体"/>
          <w:b/>
          <w:bCs/>
          <w:sz w:val="32"/>
          <w:szCs w:val="32"/>
          <w:u w:val="none"/>
          <w:lang w:eastAsia="zh-CN"/>
        </w:rPr>
        <w:t>（单位）</w:t>
      </w:r>
      <w:r>
        <w:rPr>
          <w:rFonts w:hint="eastAsia" w:ascii="楷体" w:hAnsi="楷体" w:eastAsia="楷体" w:cs="楷体"/>
          <w:b/>
          <w:bCs/>
          <w:sz w:val="32"/>
          <w:szCs w:val="32"/>
          <w:u w:val="none"/>
        </w:rPr>
        <w:t>预算收支情况说明</w:t>
      </w:r>
      <w:bookmarkStart w:id="0" w:name="_GoBack"/>
      <w:bookmarkEnd w:id="0"/>
    </w:p>
    <w:p w14:paraId="0F6D028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（一）收入预算情况</w:t>
      </w:r>
    </w:p>
    <w:p w14:paraId="0A4C3A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FF0000"/>
          <w:sz w:val="24"/>
          <w:szCs w:val="24"/>
          <w:u w:val="none"/>
          <w:lang w:val="en-US"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本部门（单位）收入</w:t>
      </w:r>
      <w:r>
        <w:rPr>
          <w:rFonts w:hint="eastAsia" w:ascii="仿宋" w:hAnsi="仿宋" w:eastAsia="仿宋" w:cs="仿宋"/>
          <w:sz w:val="30"/>
          <w:szCs w:val="30"/>
          <w:u w:val="none"/>
        </w:rPr>
        <w:t>预算</w:t>
      </w:r>
      <w:r>
        <w:rPr>
          <w:rFonts w:hint="eastAsia" w:ascii="仿宋" w:hAnsi="仿宋" w:eastAsia="仿宋" w:cs="仿宋"/>
          <w:sz w:val="30"/>
          <w:szCs w:val="30"/>
          <w:u w:val="none"/>
          <w:lang w:eastAsia="zh-CN"/>
        </w:rPr>
        <w:t>总额</w:t>
      </w:r>
      <w:r>
        <w:rPr>
          <w:rFonts w:hint="eastAsia" w:ascii="仿宋" w:hAnsi="仿宋" w:eastAsia="仿宋" w:cs="仿宋"/>
          <w:color w:val="auto"/>
          <w:sz w:val="32"/>
          <w:szCs w:val="32"/>
          <w:u w:val="none"/>
          <w:lang w:val="en-US" w:eastAsia="zh-CN"/>
        </w:rPr>
        <w:t>5415.9</w:t>
      </w:r>
      <w:r>
        <w:rPr>
          <w:rFonts w:hint="eastAsia" w:ascii="仿宋" w:hAnsi="仿宋" w:eastAsia="仿宋" w:cs="仿宋"/>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429.54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8.61%</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人员经费增加、工作经费增加，农林水等项目增加。</w:t>
      </w:r>
    </w:p>
    <w:p w14:paraId="0C1EC803">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pacing w:val="4"/>
          <w:sz w:val="30"/>
          <w:szCs w:val="30"/>
          <w:u w:val="none"/>
        </w:rPr>
      </w:pPr>
      <w:r>
        <w:rPr>
          <w:rFonts w:hint="eastAsia" w:ascii="仿宋" w:hAnsi="仿宋" w:eastAsia="仿宋" w:cs="仿宋"/>
          <w:spacing w:val="11"/>
          <w:sz w:val="30"/>
          <w:szCs w:val="30"/>
          <w:u w:val="none"/>
        </w:rPr>
        <w:t>其中：</w:t>
      </w:r>
      <w:r>
        <w:rPr>
          <w:rFonts w:hint="eastAsia" w:ascii="仿宋" w:hAnsi="仿宋" w:eastAsia="仿宋" w:cs="仿宋"/>
          <w:spacing w:val="11"/>
          <w:sz w:val="30"/>
          <w:szCs w:val="30"/>
          <w:u w:val="none"/>
          <w:lang w:eastAsia="zh-CN"/>
        </w:rPr>
        <w:t>一般公共预算</w:t>
      </w:r>
      <w:r>
        <w:rPr>
          <w:rFonts w:hint="eastAsia" w:ascii="仿宋" w:hAnsi="仿宋" w:eastAsia="仿宋" w:cs="仿宋"/>
          <w:spacing w:val="11"/>
          <w:sz w:val="30"/>
          <w:szCs w:val="30"/>
          <w:u w:val="none"/>
        </w:rPr>
        <w:t>收入</w:t>
      </w:r>
      <w:r>
        <w:rPr>
          <w:rFonts w:hint="eastAsia" w:ascii="仿宋" w:hAnsi="仿宋" w:eastAsia="仿宋" w:cs="仿宋"/>
          <w:color w:val="auto"/>
          <w:sz w:val="32"/>
          <w:szCs w:val="32"/>
          <w:u w:val="none"/>
          <w:lang w:val="en-US" w:eastAsia="zh-CN"/>
        </w:rPr>
        <w:t>1196.8</w:t>
      </w:r>
      <w:r>
        <w:rPr>
          <w:rFonts w:hint="eastAsia" w:ascii="仿宋" w:hAnsi="仿宋" w:eastAsia="仿宋" w:cs="仿宋"/>
          <w:spacing w:val="11"/>
          <w:sz w:val="30"/>
          <w:szCs w:val="30"/>
          <w:u w:val="none"/>
        </w:rPr>
        <w:t>万元,较</w:t>
      </w:r>
      <w:r>
        <w:rPr>
          <w:rFonts w:hint="eastAsia" w:ascii="仿宋" w:hAnsi="仿宋" w:eastAsia="仿宋" w:cs="仿宋"/>
          <w:spacing w:val="23"/>
          <w:sz w:val="30"/>
          <w:szCs w:val="30"/>
          <w:u w:val="none"/>
        </w:rPr>
        <w:t>上年预算安</w:t>
      </w:r>
      <w:r>
        <w:rPr>
          <w:rFonts w:hint="eastAsia" w:ascii="仿宋" w:hAnsi="仿宋" w:eastAsia="仿宋" w:cs="仿宋"/>
          <w:color w:val="auto"/>
          <w:spacing w:val="23"/>
          <w:sz w:val="30"/>
          <w:szCs w:val="30"/>
          <w:u w:val="none"/>
        </w:rPr>
        <w:t>排增加</w:t>
      </w:r>
      <w:r>
        <w:rPr>
          <w:rFonts w:hint="eastAsia" w:ascii="仿宋" w:hAnsi="仿宋" w:eastAsia="仿宋" w:cs="仿宋"/>
          <w:color w:val="auto"/>
          <w:sz w:val="32"/>
          <w:szCs w:val="32"/>
          <w:u w:val="none"/>
          <w:lang w:val="en-US" w:eastAsia="zh-CN"/>
        </w:rPr>
        <w:t>210.44</w:t>
      </w:r>
      <w:r>
        <w:rPr>
          <w:rFonts w:hint="eastAsia" w:ascii="仿宋" w:hAnsi="仿宋" w:eastAsia="仿宋" w:cs="仿宋"/>
          <w:color w:val="auto"/>
          <w:spacing w:val="23"/>
          <w:sz w:val="30"/>
          <w:szCs w:val="30"/>
          <w:u w:val="none"/>
        </w:rPr>
        <w:t>万元;教育收费资金收</w:t>
      </w:r>
      <w:r>
        <w:rPr>
          <w:rFonts w:hint="eastAsia" w:ascii="仿宋" w:hAnsi="仿宋" w:eastAsia="仿宋" w:cs="仿宋"/>
          <w:color w:val="auto"/>
          <w:spacing w:val="23"/>
          <w:sz w:val="30"/>
          <w:szCs w:val="30"/>
          <w:u w:val="none"/>
          <w:lang w:eastAsia="zh-CN"/>
        </w:rPr>
        <w:t>入</w:t>
      </w:r>
      <w:r>
        <w:rPr>
          <w:rFonts w:hint="eastAsia" w:ascii="仿宋" w:hAnsi="仿宋" w:eastAsia="仿宋" w:cs="仿宋"/>
          <w:color w:val="auto"/>
          <w:spacing w:val="28"/>
          <w:sz w:val="30"/>
          <w:szCs w:val="30"/>
          <w:u w:val="none"/>
        </w:rPr>
        <w:t>万元,较年预算安排</w:t>
      </w:r>
      <w:r>
        <w:rPr>
          <w:rFonts w:hint="eastAsia" w:ascii="仿宋" w:hAnsi="仿宋" w:eastAsia="仿宋" w:cs="仿宋"/>
          <w:color w:val="auto"/>
          <w:spacing w:val="23"/>
          <w:sz w:val="30"/>
          <w:szCs w:val="30"/>
          <w:u w:val="none"/>
        </w:rPr>
        <w:t>增加（减少）</w:t>
      </w:r>
      <w:r>
        <w:rPr>
          <w:rFonts w:hint="eastAsia" w:ascii="仿宋" w:hAnsi="仿宋" w:eastAsia="仿宋" w:cs="仿宋"/>
          <w:color w:val="auto"/>
          <w:spacing w:val="28"/>
          <w:sz w:val="30"/>
          <w:szCs w:val="30"/>
          <w:u w:val="none"/>
        </w:rPr>
        <w:t>万元;事业收入</w:t>
      </w:r>
      <w:r>
        <w:rPr>
          <w:rFonts w:hint="eastAsia" w:ascii="仿宋" w:hAnsi="仿宋" w:eastAsia="仿宋" w:cs="仿宋"/>
          <w:color w:val="auto"/>
          <w:spacing w:val="7"/>
          <w:sz w:val="30"/>
          <w:szCs w:val="30"/>
          <w:u w:val="none"/>
        </w:rPr>
        <w:t>万元,较上年预算安排增加（减少）万元;</w:t>
      </w:r>
      <w:r>
        <w:rPr>
          <w:rFonts w:hint="eastAsia" w:ascii="仿宋" w:hAnsi="仿宋" w:eastAsia="仿宋" w:cs="仿宋"/>
          <w:color w:val="auto"/>
          <w:spacing w:val="8"/>
          <w:sz w:val="30"/>
          <w:szCs w:val="30"/>
          <w:u w:val="none"/>
        </w:rPr>
        <w:t>；</w:t>
      </w:r>
      <w:r>
        <w:rPr>
          <w:rFonts w:hint="eastAsia" w:ascii="仿宋" w:hAnsi="仿宋" w:eastAsia="仿宋" w:cs="仿宋"/>
          <w:color w:val="auto"/>
          <w:spacing w:val="18"/>
          <w:sz w:val="30"/>
          <w:szCs w:val="30"/>
          <w:u w:val="none"/>
        </w:rPr>
        <w:t>其他收入</w:t>
      </w:r>
      <w:r>
        <w:rPr>
          <w:rFonts w:hint="eastAsia" w:ascii="仿宋" w:hAnsi="仿宋" w:eastAsia="仿宋" w:cs="仿宋"/>
          <w:color w:val="auto"/>
          <w:sz w:val="32"/>
          <w:szCs w:val="32"/>
          <w:u w:val="none"/>
          <w:lang w:val="en-US" w:eastAsia="zh-CN"/>
        </w:rPr>
        <w:t>4000</w:t>
      </w:r>
      <w:r>
        <w:rPr>
          <w:rFonts w:hint="eastAsia" w:ascii="仿宋" w:hAnsi="仿宋" w:eastAsia="仿宋" w:cs="仿宋"/>
          <w:color w:val="auto"/>
          <w:spacing w:val="18"/>
          <w:sz w:val="30"/>
          <w:szCs w:val="30"/>
          <w:u w:val="none"/>
        </w:rPr>
        <w:t>万元，较上年预算安排增加</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7"/>
          <w:sz w:val="30"/>
          <w:szCs w:val="30"/>
          <w:u w:val="none"/>
          <w:lang w:eastAsia="zh-CN"/>
        </w:rPr>
        <w:t>财政拨款结转</w:t>
      </w:r>
      <w:r>
        <w:rPr>
          <w:rFonts w:hint="eastAsia" w:ascii="仿宋" w:hAnsi="仿宋" w:eastAsia="仿宋" w:cs="仿宋"/>
          <w:color w:val="auto"/>
          <w:sz w:val="32"/>
          <w:szCs w:val="32"/>
          <w:u w:val="none"/>
          <w:lang w:val="en-US" w:eastAsia="zh-CN"/>
        </w:rPr>
        <w:t>219.1</w:t>
      </w:r>
      <w:r>
        <w:rPr>
          <w:rFonts w:hint="eastAsia" w:ascii="仿宋" w:hAnsi="仿宋" w:eastAsia="仿宋" w:cs="仿宋"/>
          <w:color w:val="auto"/>
          <w:spacing w:val="8"/>
          <w:sz w:val="30"/>
          <w:szCs w:val="30"/>
          <w:u w:val="none"/>
        </w:rPr>
        <w:t>万元,较上年预算安排增加</w:t>
      </w:r>
      <w:r>
        <w:rPr>
          <w:rFonts w:hint="eastAsia" w:ascii="仿宋" w:hAnsi="仿宋" w:eastAsia="仿宋" w:cs="仿宋"/>
          <w:color w:val="auto"/>
          <w:sz w:val="32"/>
          <w:szCs w:val="32"/>
          <w:u w:val="none"/>
          <w:lang w:val="en-US" w:eastAsia="zh-CN"/>
        </w:rPr>
        <w:t>219.1</w:t>
      </w:r>
      <w:r>
        <w:rPr>
          <w:rFonts w:hint="eastAsia" w:ascii="仿宋" w:hAnsi="仿宋" w:eastAsia="仿宋" w:cs="仿宋"/>
          <w:color w:val="auto"/>
          <w:spacing w:val="8"/>
          <w:sz w:val="30"/>
          <w:szCs w:val="30"/>
          <w:u w:val="none"/>
        </w:rPr>
        <w:t>万元</w:t>
      </w:r>
      <w:r>
        <w:rPr>
          <w:rFonts w:hint="eastAsia" w:ascii="仿宋" w:hAnsi="仿宋" w:eastAsia="仿宋" w:cs="仿宋"/>
          <w:color w:val="auto"/>
          <w:spacing w:val="4"/>
          <w:sz w:val="30"/>
          <w:szCs w:val="30"/>
          <w:u w:val="none"/>
        </w:rPr>
        <w:t>。</w:t>
      </w:r>
    </w:p>
    <w:p w14:paraId="60212C4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（二）支出预算情况</w:t>
      </w:r>
    </w:p>
    <w:p w14:paraId="1331A20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0"/>
          <w:szCs w:val="30"/>
          <w:u w:val="none"/>
        </w:rPr>
        <w:t>支出预算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5415.9</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429.54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8.61%</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人员经费增加、工作经费增加，农林水等项目增加。</w:t>
      </w:r>
      <w:r>
        <w:rPr>
          <w:rFonts w:hint="eastAsia" w:ascii="仿宋" w:hAnsi="仿宋" w:eastAsia="仿宋" w:cs="仿宋"/>
          <w:color w:val="auto"/>
          <w:sz w:val="30"/>
          <w:szCs w:val="30"/>
          <w:u w:val="none"/>
        </w:rPr>
        <w:t>具体为：</w:t>
      </w:r>
    </w:p>
    <w:p w14:paraId="1560AA71">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z w:val="30"/>
          <w:szCs w:val="30"/>
          <w:u w:val="none"/>
          <w:lang w:val="en-US" w:eastAsia="zh-CN"/>
        </w:rPr>
        <w:t>一般公共服务</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700.7</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上年预算安排减少</w:t>
      </w:r>
      <w:r>
        <w:rPr>
          <w:rFonts w:hint="eastAsia" w:ascii="仿宋" w:hAnsi="仿宋" w:eastAsia="仿宋" w:cs="仿宋"/>
          <w:color w:val="auto"/>
          <w:sz w:val="32"/>
          <w:szCs w:val="32"/>
          <w:u w:val="none"/>
          <w:lang w:val="en-US" w:eastAsia="zh-CN"/>
        </w:rPr>
        <w:t>15.84</w:t>
      </w:r>
      <w:r>
        <w:rPr>
          <w:rFonts w:hint="eastAsia" w:ascii="仿宋" w:hAnsi="仿宋" w:eastAsia="仿宋" w:cs="仿宋"/>
          <w:color w:val="auto"/>
          <w:spacing w:val="5"/>
          <w:sz w:val="30"/>
          <w:szCs w:val="30"/>
          <w:u w:val="none"/>
        </w:rPr>
        <w:t>万元;社会保障和就业支出</w:t>
      </w:r>
      <w:r>
        <w:rPr>
          <w:rFonts w:hint="eastAsia" w:ascii="仿宋" w:hAnsi="仿宋" w:eastAsia="仿宋" w:cs="仿宋"/>
          <w:color w:val="auto"/>
          <w:sz w:val="32"/>
          <w:szCs w:val="32"/>
          <w:u w:val="none"/>
          <w:lang w:val="en-US" w:eastAsia="zh-CN"/>
        </w:rPr>
        <w:t>148.</w:t>
      </w:r>
      <w:r>
        <w:rPr>
          <w:rFonts w:hint="default" w:ascii="仿宋" w:hAnsi="仿宋" w:eastAsia="仿宋" w:cs="仿宋"/>
          <w:color w:val="auto"/>
          <w:sz w:val="32"/>
          <w:szCs w:val="32"/>
          <w:u w:val="none"/>
          <w:lang w:val="en-US" w:eastAsia="zh-CN"/>
        </w:rPr>
        <w:t>73</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上年预算安排增加</w:t>
      </w:r>
      <w:r>
        <w:rPr>
          <w:rFonts w:hint="eastAsia" w:ascii="仿宋" w:hAnsi="仿宋" w:eastAsia="仿宋" w:cs="仿宋"/>
          <w:color w:val="auto"/>
          <w:sz w:val="32"/>
          <w:szCs w:val="32"/>
          <w:u w:val="none"/>
          <w:lang w:val="en-US" w:eastAsia="zh-CN"/>
        </w:rPr>
        <w:t>34.74</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z w:val="32"/>
          <w:szCs w:val="32"/>
          <w:u w:val="none"/>
          <w:lang w:val="en-US" w:eastAsia="zh-CN"/>
        </w:rPr>
        <w:t>81.69</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元,较上年预算安排增加</w:t>
      </w:r>
      <w:r>
        <w:rPr>
          <w:rFonts w:hint="eastAsia" w:ascii="仿宋" w:hAnsi="仿宋" w:eastAsia="仿宋" w:cs="仿宋"/>
          <w:color w:val="auto"/>
          <w:sz w:val="32"/>
          <w:szCs w:val="32"/>
          <w:u w:val="none"/>
          <w:lang w:val="en-US" w:eastAsia="zh-CN"/>
        </w:rPr>
        <w:t>19.82</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val="en-US" w:eastAsia="zh-CN"/>
        </w:rPr>
        <w:t>97.72</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元,较上年预算安排增加</w:t>
      </w:r>
      <w:r>
        <w:rPr>
          <w:rFonts w:hint="eastAsia" w:ascii="仿宋" w:hAnsi="仿宋" w:eastAsia="仿宋" w:cs="仿宋"/>
          <w:color w:val="auto"/>
          <w:sz w:val="32"/>
          <w:szCs w:val="32"/>
          <w:u w:val="none"/>
          <w:lang w:val="en-US" w:eastAsia="zh-CN"/>
        </w:rPr>
        <w:t>3.76</w:t>
      </w:r>
      <w:r>
        <w:rPr>
          <w:rFonts w:hint="eastAsia" w:ascii="仿宋" w:hAnsi="仿宋" w:eastAsia="仿宋" w:cs="仿宋"/>
          <w:color w:val="auto"/>
          <w:spacing w:val="17"/>
          <w:sz w:val="30"/>
          <w:szCs w:val="30"/>
          <w:u w:val="none"/>
        </w:rPr>
        <w:t>万元;其他支出</w:t>
      </w:r>
      <w:r>
        <w:rPr>
          <w:rFonts w:hint="eastAsia" w:ascii="仿宋" w:hAnsi="仿宋" w:eastAsia="仿宋" w:cs="仿宋"/>
          <w:color w:val="auto"/>
          <w:sz w:val="32"/>
          <w:szCs w:val="32"/>
          <w:u w:val="none"/>
          <w:lang w:val="en-US" w:eastAsia="zh-CN"/>
        </w:rPr>
        <w:t>4000</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元,较上年预算安排增加</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val="en-US" w:eastAsia="zh-CN"/>
        </w:rPr>
        <w:t>文化旅游体育与传媒支出0.54万元；农林水支出386.52万元。</w:t>
      </w:r>
    </w:p>
    <w:p w14:paraId="6E1B9A48">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2"/>
          <w:szCs w:val="32"/>
          <w:u w:val="none"/>
          <w:lang w:val="en-US" w:eastAsia="zh-CN"/>
        </w:rPr>
        <w:t>994.8</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8.44</w:t>
      </w:r>
      <w:r>
        <w:rPr>
          <w:rFonts w:hint="eastAsia" w:ascii="仿宋" w:hAnsi="仿宋" w:eastAsia="仿宋" w:cs="仿宋"/>
          <w:color w:val="auto"/>
          <w:sz w:val="32"/>
          <w:szCs w:val="32"/>
          <w:u w:val="none"/>
          <w:lang w:eastAsia="zh-CN"/>
        </w:rPr>
        <w:t>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838.48</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103.69</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30.63</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22</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2"/>
          <w:szCs w:val="32"/>
          <w:u w:val="none"/>
          <w:lang w:val="en-US" w:eastAsia="zh-CN"/>
        </w:rPr>
        <w:t>4421.1</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421.1</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其中：工资福利支出万元，商品和服务支出</w:t>
      </w:r>
      <w:r>
        <w:rPr>
          <w:rFonts w:hint="default" w:ascii="仿宋" w:hAnsi="仿宋" w:eastAsia="仿宋" w:cs="仿宋"/>
          <w:color w:val="auto"/>
          <w:sz w:val="32"/>
          <w:szCs w:val="32"/>
          <w:u w:val="none"/>
          <w:lang w:val="en-US" w:eastAsia="zh-CN"/>
        </w:rPr>
        <w:t>202</w:t>
      </w:r>
      <w:r>
        <w:rPr>
          <w:rFonts w:hint="eastAsia" w:ascii="仿宋" w:hAnsi="仿宋" w:eastAsia="仿宋" w:cs="仿宋"/>
          <w:color w:val="auto"/>
          <w:sz w:val="30"/>
          <w:szCs w:val="30"/>
          <w:u w:val="none"/>
          <w:lang w:eastAsia="zh-CN"/>
        </w:rPr>
        <w:t>万元，对个人和家庭的补助万元，资本性支出（基本建设支出）</w:t>
      </w:r>
      <w:r>
        <w:rPr>
          <w:rFonts w:hint="default" w:ascii="仿宋" w:hAnsi="仿宋" w:eastAsia="仿宋" w:cs="仿宋"/>
          <w:color w:val="auto"/>
          <w:sz w:val="32"/>
          <w:szCs w:val="32"/>
          <w:u w:val="none"/>
          <w:lang w:val="en-US" w:eastAsia="zh-CN"/>
        </w:rPr>
        <w:t>125.52</w:t>
      </w:r>
      <w:r>
        <w:rPr>
          <w:rFonts w:hint="eastAsia" w:ascii="仿宋" w:hAnsi="仿宋" w:eastAsia="仿宋" w:cs="仿宋"/>
          <w:color w:val="auto"/>
          <w:sz w:val="30"/>
          <w:szCs w:val="30"/>
          <w:u w:val="none"/>
          <w:lang w:eastAsia="zh-CN"/>
        </w:rPr>
        <w:t>万元，资本性支出</w:t>
      </w:r>
      <w:r>
        <w:rPr>
          <w:rFonts w:hint="default"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万元，其他相关支出</w:t>
      </w:r>
      <w:r>
        <w:rPr>
          <w:rFonts w:hint="default" w:ascii="仿宋" w:hAnsi="仿宋" w:eastAsia="仿宋" w:cs="仿宋"/>
          <w:color w:val="auto"/>
          <w:sz w:val="32"/>
          <w:szCs w:val="32"/>
          <w:u w:val="none"/>
          <w:lang w:val="en-US" w:eastAsia="zh-CN"/>
        </w:rPr>
        <w:t>4093.58</w:t>
      </w:r>
      <w:r>
        <w:rPr>
          <w:rFonts w:hint="eastAsia" w:ascii="仿宋" w:hAnsi="仿宋" w:eastAsia="仿宋" w:cs="仿宋"/>
          <w:color w:val="auto"/>
          <w:sz w:val="30"/>
          <w:szCs w:val="30"/>
          <w:u w:val="none"/>
          <w:lang w:eastAsia="zh-CN"/>
        </w:rPr>
        <w:t>万元。</w:t>
      </w:r>
    </w:p>
    <w:p w14:paraId="0A62B2B5">
      <w:pPr>
        <w:pStyle w:val="3"/>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按支出经济分类科目划分：工资福利支出</w:t>
      </w:r>
      <w:r>
        <w:rPr>
          <w:rFonts w:hint="eastAsia" w:ascii="仿宋" w:hAnsi="仿宋" w:eastAsia="仿宋" w:cs="仿宋"/>
          <w:color w:val="auto"/>
          <w:sz w:val="32"/>
          <w:szCs w:val="32"/>
          <w:u w:val="none"/>
          <w:lang w:val="en-US" w:eastAsia="zh-CN"/>
        </w:rPr>
        <w:t>838.48</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47.34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商品和服务支出</w:t>
      </w:r>
      <w:r>
        <w:rPr>
          <w:rFonts w:hint="eastAsia" w:ascii="仿宋" w:hAnsi="仿宋" w:eastAsia="仿宋" w:cs="仿宋"/>
          <w:color w:val="auto"/>
          <w:sz w:val="32"/>
          <w:szCs w:val="32"/>
          <w:u w:val="none"/>
          <w:lang w:val="en-US" w:eastAsia="zh-CN"/>
        </w:rPr>
        <w:t>103.69</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58.05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对个人和家庭的补助</w:t>
      </w:r>
      <w:r>
        <w:rPr>
          <w:rFonts w:hint="default" w:ascii="仿宋" w:hAnsi="仿宋" w:eastAsia="仿宋" w:cs="仿宋"/>
          <w:color w:val="auto"/>
          <w:sz w:val="32"/>
          <w:szCs w:val="32"/>
          <w:u w:val="none"/>
          <w:lang w:val="en-US" w:eastAsia="zh-CN"/>
        </w:rPr>
        <w:t>30.63</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19.15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资本性支出（基本建设支出）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资本性支出</w:t>
      </w:r>
      <w:r>
        <w:rPr>
          <w:rFonts w:hint="eastAsia" w:ascii="仿宋" w:hAnsi="仿宋" w:eastAsia="仿宋" w:cs="仿宋"/>
          <w:color w:val="auto"/>
          <w:sz w:val="32"/>
          <w:szCs w:val="32"/>
          <w:u w:val="none"/>
          <w:lang w:val="en-US" w:eastAsia="zh-CN"/>
        </w:rPr>
        <w:t>22</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其他相关支出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p>
    <w:p w14:paraId="4B6F0FB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14:paraId="262C055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0"/>
          <w:szCs w:val="30"/>
          <w:u w:val="none"/>
        </w:rPr>
        <w:t>财政拨款（补助）支出预算</w:t>
      </w:r>
      <w:r>
        <w:rPr>
          <w:rFonts w:hint="eastAsia" w:ascii="仿宋" w:hAnsi="仿宋" w:eastAsia="仿宋" w:cs="仿宋"/>
          <w:color w:val="auto"/>
          <w:sz w:val="32"/>
          <w:szCs w:val="32"/>
          <w:u w:val="none"/>
          <w:lang w:val="en-US" w:eastAsia="zh-CN"/>
        </w:rPr>
        <w:t>1196.8</w:t>
      </w:r>
      <w:r>
        <w:rPr>
          <w:rFonts w:hint="eastAsia" w:ascii="仿宋" w:hAnsi="仿宋" w:eastAsia="仿宋" w:cs="仿宋"/>
          <w:color w:val="auto"/>
          <w:sz w:val="30"/>
          <w:szCs w:val="30"/>
          <w:u w:val="none"/>
        </w:rPr>
        <w:t>万元，占</w:t>
      </w:r>
      <w:r>
        <w:rPr>
          <w:rFonts w:hint="eastAsia" w:ascii="仿宋" w:hAnsi="仿宋" w:eastAsia="仿宋" w:cs="仿宋"/>
          <w:color w:val="auto"/>
          <w:sz w:val="30"/>
          <w:szCs w:val="30"/>
          <w:u w:val="none"/>
          <w:lang w:eastAsia="zh-CN"/>
        </w:rPr>
        <w:t>本年</w:t>
      </w:r>
      <w:r>
        <w:rPr>
          <w:rFonts w:hint="eastAsia" w:ascii="仿宋" w:hAnsi="仿宋" w:eastAsia="仿宋" w:cs="仿宋"/>
          <w:color w:val="auto"/>
          <w:sz w:val="30"/>
          <w:szCs w:val="30"/>
          <w:u w:val="none"/>
        </w:rPr>
        <w:t>支出预算额的</w:t>
      </w:r>
      <w:r>
        <w:rPr>
          <w:rFonts w:hint="eastAsia" w:ascii="仿宋" w:hAnsi="仿宋" w:eastAsia="仿宋" w:cs="仿宋"/>
          <w:color w:val="auto"/>
          <w:sz w:val="32"/>
          <w:szCs w:val="32"/>
          <w:u w:val="none"/>
          <w:lang w:val="en-US" w:eastAsia="zh-CN"/>
        </w:rPr>
        <w:t>22.1</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210.44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21.34</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人员经费增加、工作经费增加，农林水等项目增加。</w:t>
      </w:r>
      <w:r>
        <w:rPr>
          <w:rFonts w:hint="eastAsia" w:ascii="仿宋" w:hAnsi="仿宋" w:eastAsia="仿宋" w:cs="仿宋"/>
          <w:color w:val="auto"/>
          <w:sz w:val="30"/>
          <w:szCs w:val="30"/>
          <w:u w:val="none"/>
        </w:rPr>
        <w:t>具体为：</w:t>
      </w:r>
    </w:p>
    <w:p w14:paraId="29F7A90D">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z w:val="30"/>
          <w:szCs w:val="30"/>
          <w:u w:val="none"/>
          <w:lang w:val="en-US" w:eastAsia="zh-CN"/>
        </w:rPr>
        <w:t>一般公共服务</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700.7</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w:t>
      </w:r>
      <w:r>
        <w:rPr>
          <w:rFonts w:hint="eastAsia" w:ascii="仿宋" w:hAnsi="仿宋" w:eastAsia="仿宋" w:cs="仿宋"/>
          <w:color w:val="auto"/>
          <w:sz w:val="32"/>
          <w:szCs w:val="32"/>
          <w:u w:val="none"/>
        </w:rPr>
        <w:t>减</w:t>
      </w:r>
      <w:r>
        <w:rPr>
          <w:rFonts w:hint="eastAsia" w:ascii="仿宋" w:hAnsi="仿宋" w:eastAsia="仿宋" w:cs="仿宋"/>
          <w:color w:val="auto"/>
          <w:sz w:val="32"/>
          <w:szCs w:val="32"/>
          <w:u w:val="none"/>
          <w:lang w:val="en-US" w:eastAsia="zh-CN"/>
        </w:rPr>
        <w:t>15.84</w:t>
      </w:r>
      <w:r>
        <w:rPr>
          <w:rFonts w:hint="eastAsia" w:ascii="仿宋" w:hAnsi="仿宋" w:eastAsia="仿宋" w:cs="仿宋"/>
          <w:color w:val="auto"/>
          <w:spacing w:val="5"/>
          <w:sz w:val="30"/>
          <w:szCs w:val="30"/>
          <w:u w:val="none"/>
        </w:rPr>
        <w:t>万元;社会保障和就业支出</w:t>
      </w:r>
      <w:r>
        <w:rPr>
          <w:rFonts w:hint="eastAsia" w:ascii="仿宋" w:hAnsi="仿宋" w:eastAsia="仿宋" w:cs="仿宋"/>
          <w:color w:val="auto"/>
          <w:sz w:val="32"/>
          <w:szCs w:val="32"/>
          <w:u w:val="none"/>
          <w:lang w:val="en-US" w:eastAsia="zh-CN"/>
        </w:rPr>
        <w:t>148.69</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34.74</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z w:val="32"/>
          <w:szCs w:val="32"/>
          <w:u w:val="none"/>
          <w:lang w:val="en-US" w:eastAsia="zh-CN"/>
        </w:rPr>
        <w:t>81.69</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19.82</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val="en-US" w:eastAsia="zh-CN"/>
        </w:rPr>
        <w:t>97.72</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3.76</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val="en-US" w:eastAsia="zh-CN"/>
        </w:rPr>
        <w:t>农林水支出168万元；</w:t>
      </w:r>
      <w:r>
        <w:rPr>
          <w:rFonts w:hint="eastAsia" w:ascii="仿宋" w:hAnsi="仿宋" w:eastAsia="仿宋" w:cs="仿宋"/>
          <w:color w:val="auto"/>
          <w:spacing w:val="17"/>
          <w:sz w:val="30"/>
          <w:szCs w:val="30"/>
          <w:u w:val="none"/>
        </w:rPr>
        <w:t>其他支出</w:t>
      </w:r>
      <w:r>
        <w:rPr>
          <w:rFonts w:hint="default" w:ascii="仿宋" w:hAnsi="仿宋" w:eastAsia="仿宋" w:cs="仿宋"/>
          <w:color w:val="auto"/>
          <w:sz w:val="32"/>
          <w:szCs w:val="32"/>
          <w:u w:val="none"/>
          <w:lang w:val="en-US" w:eastAsia="zh-CN"/>
        </w:rPr>
        <w:t>0</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z w:val="32"/>
          <w:szCs w:val="32"/>
          <w:u w:val="none"/>
        </w:rPr>
        <w:t>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14:paraId="058706A8">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2"/>
          <w:szCs w:val="32"/>
          <w:u w:val="none"/>
          <w:lang w:val="en-US" w:eastAsia="zh-CN"/>
        </w:rPr>
        <w:t>994.8</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8.44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838.48</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103.69</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30.63</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22</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default" w:ascii="仿宋" w:hAnsi="仿宋" w:eastAsia="仿宋" w:cs="仿宋"/>
          <w:color w:val="auto"/>
          <w:sz w:val="32"/>
          <w:szCs w:val="32"/>
          <w:u w:val="none"/>
          <w:lang w:val="en-US" w:eastAsia="zh-CN"/>
        </w:rPr>
        <w:t>202</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default" w:ascii="仿宋" w:hAnsi="仿宋" w:eastAsia="仿宋" w:cs="仿宋"/>
          <w:color w:val="auto"/>
          <w:sz w:val="32"/>
          <w:szCs w:val="32"/>
          <w:u w:val="none"/>
          <w:lang w:val="en-US" w:eastAsia="zh-CN"/>
        </w:rPr>
        <w:t>202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其中：工资福利支出万元，商品和服务支出</w:t>
      </w:r>
      <w:r>
        <w:rPr>
          <w:rFonts w:hint="default" w:ascii="仿宋" w:hAnsi="仿宋" w:eastAsia="仿宋" w:cs="仿宋"/>
          <w:color w:val="auto"/>
          <w:sz w:val="32"/>
          <w:szCs w:val="32"/>
          <w:u w:val="none"/>
          <w:lang w:val="en-US" w:eastAsia="zh-CN"/>
        </w:rPr>
        <w:t>202</w:t>
      </w:r>
      <w:r>
        <w:rPr>
          <w:rFonts w:hint="eastAsia" w:ascii="仿宋" w:hAnsi="仿宋" w:eastAsia="仿宋" w:cs="仿宋"/>
          <w:color w:val="auto"/>
          <w:sz w:val="30"/>
          <w:szCs w:val="30"/>
          <w:u w:val="none"/>
          <w:lang w:eastAsia="zh-CN"/>
        </w:rPr>
        <w:t>万元，对个人和家庭的补助万元，资本性支出</w:t>
      </w:r>
      <w:r>
        <w:rPr>
          <w:rFonts w:hint="default"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万元，其他相关支出万元。</w:t>
      </w:r>
    </w:p>
    <w:p w14:paraId="55F70F3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14:paraId="188A019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rPr>
        <w:t>政府性基金</w:t>
      </w:r>
      <w:r>
        <w:rPr>
          <w:rFonts w:hint="eastAsia" w:ascii="仿宋" w:hAnsi="仿宋" w:eastAsia="仿宋" w:cs="仿宋"/>
          <w:color w:val="auto"/>
          <w:sz w:val="30"/>
          <w:szCs w:val="30"/>
          <w:u w:val="none"/>
          <w:lang w:eastAsia="zh-CN"/>
        </w:rPr>
        <w:t>无使用政府性基金预算拨款安排的支出。</w:t>
      </w:r>
    </w:p>
    <w:p w14:paraId="15483758">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国有资本经营情况</w:t>
      </w:r>
    </w:p>
    <w:p w14:paraId="6B85674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kern w:val="2"/>
          <w:sz w:val="28"/>
          <w:szCs w:val="28"/>
          <w:u w:val="none"/>
          <w:lang w:val="en-US" w:eastAsia="zh-CN" w:bidi="ar-SA"/>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lang w:val="en-US" w:eastAsia="zh-CN"/>
        </w:rPr>
        <w:t>无使用国有资本经营预算拨款安排的支出。</w:t>
      </w:r>
    </w:p>
    <w:p w14:paraId="368ED123">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（六）</w:t>
      </w:r>
      <w:r>
        <w:rPr>
          <w:rFonts w:hint="eastAsia" w:ascii="仿宋" w:hAnsi="仿宋" w:eastAsia="仿宋" w:cs="仿宋"/>
          <w:b/>
          <w:bCs/>
          <w:color w:val="auto"/>
          <w:sz w:val="32"/>
          <w:szCs w:val="32"/>
          <w:u w:val="none"/>
        </w:rPr>
        <w:t>机关运行经费等重要事项的说明</w:t>
      </w:r>
    </w:p>
    <w:p w14:paraId="703A2CC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bCs/>
          <w:color w:val="auto"/>
          <w:sz w:val="24"/>
          <w:szCs w:val="24"/>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rPr>
        <w:t>机关运行费预算</w:t>
      </w:r>
      <w:r>
        <w:rPr>
          <w:rFonts w:hint="eastAsia" w:ascii="仿宋" w:hAnsi="仿宋" w:eastAsia="仿宋" w:cs="仿宋"/>
          <w:color w:val="auto"/>
          <w:sz w:val="32"/>
          <w:szCs w:val="32"/>
          <w:u w:val="none"/>
          <w:lang w:val="en-US" w:eastAsia="zh-CN"/>
        </w:rPr>
        <w:t>103.69</w:t>
      </w:r>
      <w:r>
        <w:rPr>
          <w:rFonts w:hint="eastAsia" w:ascii="仿宋" w:hAnsi="仿宋" w:eastAsia="仿宋" w:cs="仿宋"/>
          <w:color w:val="auto"/>
          <w:sz w:val="32"/>
          <w:szCs w:val="32"/>
          <w:u w:val="none"/>
        </w:rPr>
        <w:t>万元较上年预算安排减</w:t>
      </w:r>
      <w:r>
        <w:rPr>
          <w:rFonts w:hint="eastAsia" w:ascii="仿宋" w:hAnsi="仿宋" w:eastAsia="仿宋" w:cs="仿宋"/>
          <w:color w:val="auto"/>
          <w:sz w:val="32"/>
          <w:szCs w:val="32"/>
          <w:u w:val="none"/>
          <w:lang w:val="en-US" w:eastAsia="zh-CN"/>
        </w:rPr>
        <w:t>612.85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下降</w:t>
      </w:r>
      <w:r>
        <w:rPr>
          <w:rFonts w:hint="eastAsia" w:ascii="仿宋" w:hAnsi="仿宋" w:eastAsia="仿宋" w:cs="仿宋"/>
          <w:color w:val="auto"/>
          <w:sz w:val="32"/>
          <w:szCs w:val="32"/>
          <w:u w:val="none"/>
          <w:lang w:val="en-US" w:eastAsia="zh-CN"/>
        </w:rPr>
        <w:t>85.55</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lang w:eastAsia="zh-CN"/>
        </w:rPr>
        <w:t>主要原因是：</w:t>
      </w:r>
      <w:r>
        <w:rPr>
          <w:rFonts w:hint="eastAsia" w:ascii="仿宋" w:hAnsi="仿宋" w:eastAsia="仿宋" w:cs="仿宋"/>
          <w:color w:val="auto"/>
          <w:sz w:val="32"/>
          <w:szCs w:val="32"/>
          <w:u w:val="none"/>
          <w:lang w:val="en-US" w:eastAsia="zh-CN"/>
        </w:rPr>
        <w:t>缩减开支，公用经费减少。</w:t>
      </w:r>
    </w:p>
    <w:p w14:paraId="500D17A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七</w:t>
      </w:r>
      <w:r>
        <w:rPr>
          <w:rFonts w:hint="eastAsia" w:ascii="仿宋" w:hAnsi="仿宋" w:eastAsia="仿宋" w:cs="仿宋"/>
          <w:b/>
          <w:bCs/>
          <w:color w:val="auto"/>
          <w:sz w:val="32"/>
          <w:szCs w:val="32"/>
          <w:u w:val="none"/>
        </w:rPr>
        <w:t>）政府采购情况</w:t>
      </w:r>
    </w:p>
    <w:p w14:paraId="4224535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rPr>
        <w:t>政府采购总额</w:t>
      </w:r>
      <w:r>
        <w:rPr>
          <w:rFonts w:hint="eastAsia" w:ascii="仿宋" w:hAnsi="仿宋" w:eastAsia="仿宋" w:cs="仿宋"/>
          <w:color w:val="auto"/>
          <w:sz w:val="32"/>
          <w:szCs w:val="32"/>
          <w:u w:val="none"/>
          <w:lang w:val="en-US" w:eastAsia="zh-CN"/>
        </w:rPr>
        <w:t>22</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22</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14:paraId="55C13A0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14:paraId="5431EAC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2024年</w:t>
      </w:r>
      <w:r>
        <w:rPr>
          <w:rFonts w:hint="eastAsia" w:ascii="仿宋" w:hAnsi="仿宋" w:eastAsia="仿宋" w:cs="仿宋"/>
          <w:color w:val="auto"/>
          <w:sz w:val="32"/>
          <w:szCs w:val="32"/>
          <w:u w:val="none"/>
        </w:rPr>
        <w:t>12月31日</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3</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辆。</w:t>
      </w:r>
    </w:p>
    <w:p w14:paraId="21736D3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辆，安排购置单位价值200万元以上大型设备具体为：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w:t>
      </w:r>
    </w:p>
    <w:p w14:paraId="1CCA91CC">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整体</w:t>
      </w:r>
      <w:r>
        <w:rPr>
          <w:rFonts w:hint="eastAsia" w:ascii="仿宋" w:hAnsi="仿宋" w:eastAsia="仿宋" w:cs="仿宋"/>
          <w:b/>
          <w:bCs/>
          <w:color w:val="auto"/>
          <w:sz w:val="32"/>
          <w:szCs w:val="32"/>
          <w:u w:val="none"/>
        </w:rPr>
        <w:t>绩效目标设置情况</w:t>
      </w:r>
    </w:p>
    <w:p w14:paraId="37E2A1DF">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color w:val="auto"/>
          <w:u w:val="none"/>
          <w:lang w:val="en-US" w:eastAsia="zh-CN"/>
        </w:rPr>
      </w:pPr>
      <w:r>
        <w:rPr>
          <w:rFonts w:hint="eastAsia" w:ascii="仿宋" w:hAnsi="仿宋" w:eastAsia="仿宋" w:cs="仿宋"/>
          <w:color w:val="auto"/>
          <w:kern w:val="2"/>
          <w:sz w:val="32"/>
          <w:szCs w:val="32"/>
          <w:u w:val="none"/>
          <w:lang w:val="en-US" w:eastAsia="zh-CN" w:bidi="ar-SA"/>
        </w:rPr>
        <w:t>2025年本部门整体支出和项目支出全面实施绩效目标管理，部门整体支出预算金额</w:t>
      </w:r>
      <w:r>
        <w:rPr>
          <w:rFonts w:hint="eastAsia" w:ascii="仿宋" w:hAnsi="仿宋" w:eastAsia="仿宋" w:cs="仿宋"/>
          <w:color w:val="auto"/>
          <w:sz w:val="32"/>
          <w:szCs w:val="32"/>
          <w:u w:val="none"/>
          <w:lang w:val="en-US" w:eastAsia="zh-CN"/>
        </w:rPr>
        <w:t>5415.9</w:t>
      </w:r>
      <w:r>
        <w:rPr>
          <w:rFonts w:hint="eastAsia" w:ascii="仿宋" w:hAnsi="仿宋" w:eastAsia="仿宋" w:cs="仿宋"/>
          <w:color w:val="auto"/>
          <w:kern w:val="2"/>
          <w:sz w:val="32"/>
          <w:szCs w:val="32"/>
          <w:u w:val="none"/>
          <w:lang w:val="en-US" w:eastAsia="zh-CN" w:bidi="ar-SA"/>
        </w:rPr>
        <w:t>万元。根据以前年度绩效评价结果，优化2025年预算安排4个项目、XX项目等项目支出2025年预算安排,并进一步改进管理、完善政策。</w:t>
      </w:r>
    </w:p>
    <w:p w14:paraId="49EECF6B">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auto"/>
          <w:kern w:val="2"/>
          <w:sz w:val="24"/>
          <w:szCs w:val="24"/>
          <w:u w:val="none"/>
          <w:lang w:val="en-US" w:eastAsia="zh-CN" w:bidi="ar-SA"/>
        </w:rPr>
      </w:pPr>
      <w:r>
        <w:rPr>
          <w:rFonts w:hint="eastAsia" w:ascii="仿宋" w:hAnsi="仿宋" w:eastAsia="仿宋" w:cs="仿宋"/>
          <w:color w:val="auto"/>
          <w:kern w:val="2"/>
          <w:sz w:val="32"/>
          <w:szCs w:val="32"/>
          <w:u w:val="none"/>
          <w:lang w:val="en-US" w:eastAsia="zh-CN" w:bidi="ar-SA"/>
        </w:rPr>
        <w:t>2025年本部门（单位）预算安排项目</w:t>
      </w:r>
      <w:r>
        <w:rPr>
          <w:rFonts w:hint="eastAsia" w:ascii="仿宋" w:hAnsi="仿宋" w:eastAsia="仿宋" w:cs="仿宋"/>
          <w:color w:val="auto"/>
          <w:sz w:val="32"/>
          <w:szCs w:val="32"/>
          <w:u w:val="none"/>
          <w:lang w:val="en-US" w:eastAsia="zh-CN"/>
        </w:rPr>
        <w:t>3</w:t>
      </w:r>
      <w:r>
        <w:rPr>
          <w:rFonts w:hint="eastAsia" w:ascii="仿宋" w:hAnsi="仿宋" w:eastAsia="仿宋" w:cs="仿宋"/>
          <w:color w:val="auto"/>
          <w:kern w:val="2"/>
          <w:sz w:val="32"/>
          <w:szCs w:val="32"/>
          <w:u w:val="none"/>
          <w:lang w:val="en-US" w:eastAsia="zh-CN" w:bidi="ar-SA"/>
        </w:rPr>
        <w:t>个，项目预算金额合计</w:t>
      </w:r>
      <w:r>
        <w:rPr>
          <w:rFonts w:hint="eastAsia" w:ascii="仿宋" w:hAnsi="仿宋" w:eastAsia="仿宋" w:cs="仿宋"/>
          <w:color w:val="auto"/>
          <w:sz w:val="32"/>
          <w:szCs w:val="32"/>
          <w:u w:val="none"/>
          <w:lang w:val="en-US" w:eastAsia="zh-CN"/>
        </w:rPr>
        <w:t>4202</w:t>
      </w:r>
      <w:r>
        <w:rPr>
          <w:rFonts w:hint="eastAsia" w:ascii="仿宋" w:hAnsi="仿宋" w:eastAsia="仿宋" w:cs="仿宋"/>
          <w:color w:val="auto"/>
          <w:kern w:val="2"/>
          <w:sz w:val="32"/>
          <w:szCs w:val="32"/>
          <w:u w:val="none"/>
          <w:lang w:val="en-US" w:eastAsia="zh-CN" w:bidi="ar-SA"/>
        </w:rPr>
        <w:t>万元。</w:t>
      </w:r>
    </w:p>
    <w:p w14:paraId="30153F9C">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eastAsia="zh-CN"/>
        </w:rPr>
        <w:t>项目</w:t>
      </w:r>
      <w:r>
        <w:rPr>
          <w:rFonts w:hint="eastAsia" w:ascii="仿宋" w:hAnsi="仿宋" w:eastAsia="仿宋" w:cs="仿宋"/>
          <w:b/>
          <w:bCs/>
          <w:color w:val="auto"/>
          <w:sz w:val="32"/>
          <w:szCs w:val="32"/>
          <w:u w:val="none"/>
        </w:rPr>
        <w:t>绩效目标设置情况</w:t>
      </w:r>
    </w:p>
    <w:p w14:paraId="5B76031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项目一：兴国县高兴镇2025年村级转移支付资金项目</w:t>
      </w:r>
    </w:p>
    <w:p w14:paraId="6072FC4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：兴国县高兴镇2025年村级转移支付资金</w:t>
      </w:r>
    </w:p>
    <w:p w14:paraId="19859CC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上级相关文件</w:t>
      </w:r>
    </w:p>
    <w:p w14:paraId="3E35BAB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兴国县高兴镇人民政府</w:t>
      </w:r>
    </w:p>
    <w:p w14:paraId="7CE321D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.实施方案：拨付兴国县高兴镇2025年村级转移支付资金</w:t>
      </w:r>
    </w:p>
    <w:p w14:paraId="0489357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2025年一年</w:t>
      </w:r>
    </w:p>
    <w:p w14:paraId="5D61421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168</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168</w:t>
      </w:r>
      <w:r>
        <w:rPr>
          <w:rFonts w:hint="eastAsia" w:ascii="仿宋" w:hAnsi="仿宋" w:eastAsia="仿宋" w:cs="仿宋"/>
          <w:color w:val="auto"/>
          <w:sz w:val="32"/>
          <w:szCs w:val="32"/>
          <w:u w:val="none"/>
          <w:lang w:eastAsia="zh-CN"/>
        </w:rPr>
        <w:t>万元</w:t>
      </w:r>
    </w:p>
    <w:p w14:paraId="261E101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全面完成兴国县高兴镇2025年村级转移支付资金拨付。</w:t>
      </w:r>
    </w:p>
    <w:p w14:paraId="76690DA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项目二：高兴镇司法、民政、信访、应急等专项工作经费</w:t>
      </w:r>
    </w:p>
    <w:p w14:paraId="10939DE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：高兴镇司法、民政、信访、应急等专项工作经费</w:t>
      </w:r>
    </w:p>
    <w:p w14:paraId="07F39CE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上级相关文件</w:t>
      </w:r>
    </w:p>
    <w:p w14:paraId="2B29B16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兴国县高兴镇人民政府</w:t>
      </w:r>
    </w:p>
    <w:p w14:paraId="5748798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.实施方案：拨付兴国县高兴镇司法、民政、信访、应急等专项工作经费</w:t>
      </w:r>
    </w:p>
    <w:p w14:paraId="72373B9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2025年一年</w:t>
      </w:r>
    </w:p>
    <w:p w14:paraId="2F926D6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34</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34</w:t>
      </w:r>
      <w:r>
        <w:rPr>
          <w:rFonts w:hint="eastAsia" w:ascii="仿宋" w:hAnsi="仿宋" w:eastAsia="仿宋" w:cs="仿宋"/>
          <w:color w:val="auto"/>
          <w:sz w:val="32"/>
          <w:szCs w:val="32"/>
          <w:u w:val="none"/>
          <w:lang w:eastAsia="zh-CN"/>
        </w:rPr>
        <w:t>万元</w:t>
      </w:r>
    </w:p>
    <w:p w14:paraId="23F8FED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全面完成兴国县高兴镇司法、民政、信访、应急等专项工作经费。</w:t>
      </w:r>
    </w:p>
    <w:p w14:paraId="5E7FC40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项目三：兴国县高兴镇2025年其它资金</w:t>
      </w:r>
    </w:p>
    <w:p w14:paraId="2D7678B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：兴国县高兴镇2025年其它资金</w:t>
      </w:r>
    </w:p>
    <w:p w14:paraId="620F1B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上级相关文件</w:t>
      </w:r>
    </w:p>
    <w:p w14:paraId="0B9961B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兴国县高兴镇人民政府</w:t>
      </w:r>
    </w:p>
    <w:p w14:paraId="237A5C1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.实施方案：拨付兴国县高兴镇2025年其它资金</w:t>
      </w:r>
    </w:p>
    <w:p w14:paraId="5005B9B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2025年一年</w:t>
      </w:r>
    </w:p>
    <w:p w14:paraId="7E82672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4000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4000</w:t>
      </w:r>
      <w:r>
        <w:rPr>
          <w:rFonts w:hint="eastAsia" w:ascii="仿宋" w:hAnsi="仿宋" w:eastAsia="仿宋" w:cs="仿宋"/>
          <w:color w:val="auto"/>
          <w:sz w:val="32"/>
          <w:szCs w:val="32"/>
          <w:u w:val="none"/>
          <w:lang w:eastAsia="zh-CN"/>
        </w:rPr>
        <w:t>万元</w:t>
      </w:r>
    </w:p>
    <w:p w14:paraId="75CCB2B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全面完成兴国县高兴镇2025年其它资金。</w:t>
      </w:r>
    </w:p>
    <w:p w14:paraId="5FBC2C7C">
      <w:pPr>
        <w:keepNext w:val="0"/>
        <w:keepLines w:val="0"/>
        <w:pageBreakBefore w:val="0"/>
        <w:widowControl w:val="0"/>
        <w:kinsoku/>
        <w:wordWrap/>
        <w:overflowPunct/>
        <w:topLinePunct w:val="0"/>
        <w:autoSpaceDE/>
        <w:autoSpaceDN/>
        <w:bidi w:val="0"/>
        <w:adjustRightInd/>
        <w:snapToGrid/>
        <w:spacing w:line="600" w:lineRule="exact"/>
        <w:ind w:left="621" w:leftChars="284" w:hanging="25" w:hangingChars="12"/>
        <w:textAlignment w:val="auto"/>
        <w:rPr>
          <w:color w:val="auto"/>
          <w:u w:val="none"/>
        </w:rPr>
      </w:pPr>
    </w:p>
    <w:p w14:paraId="36A131B5">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val="en-US" w:eastAsia="zh-CN"/>
        </w:rPr>
        <w:t>2025年</w:t>
      </w:r>
      <w:r>
        <w:rPr>
          <w:rFonts w:hint="eastAsia" w:ascii="楷体" w:hAnsi="楷体" w:eastAsia="楷体" w:cs="楷体"/>
          <w:b/>
          <w:bCs/>
          <w:color w:val="auto"/>
          <w:sz w:val="32"/>
          <w:szCs w:val="32"/>
          <w:u w:val="none"/>
        </w:rPr>
        <w:t>“三公”经费预算情况说明</w:t>
      </w:r>
    </w:p>
    <w:p w14:paraId="25C78B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lang w:eastAsia="zh-CN"/>
        </w:rPr>
        <w:t>本</w:t>
      </w:r>
      <w:r>
        <w:rPr>
          <w:rFonts w:hint="eastAsia" w:ascii="仿宋" w:hAnsi="仿宋" w:eastAsia="仿宋" w:cs="仿宋"/>
          <w:color w:val="auto"/>
          <w:sz w:val="32"/>
          <w:szCs w:val="32"/>
          <w:u w:val="none"/>
        </w:rPr>
        <w:t>部门“三公”经费一般公共预算安排</w:t>
      </w:r>
      <w:r>
        <w:rPr>
          <w:rFonts w:hint="eastAsia" w:ascii="仿宋" w:hAnsi="仿宋" w:eastAsia="仿宋" w:cs="仿宋"/>
          <w:color w:val="auto"/>
          <w:sz w:val="32"/>
          <w:szCs w:val="32"/>
          <w:u w:val="none"/>
          <w:lang w:val="en-US" w:eastAsia="zh-CN"/>
        </w:rPr>
        <w:t>45.7</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。其中：</w:t>
      </w:r>
    </w:p>
    <w:p w14:paraId="5DD947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因公出国（境）费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与上年安排保持一致，没有预算安排</w:t>
      </w:r>
      <w:r>
        <w:rPr>
          <w:rFonts w:hint="eastAsia" w:ascii="仿宋" w:hAnsi="仿宋" w:eastAsia="仿宋" w:cs="仿宋"/>
          <w:color w:val="auto"/>
          <w:sz w:val="32"/>
          <w:szCs w:val="32"/>
          <w:u w:val="none"/>
        </w:rPr>
        <w:t>。</w:t>
      </w:r>
    </w:p>
    <w:p w14:paraId="0FBF6B5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公务接待费</w:t>
      </w:r>
      <w:r>
        <w:rPr>
          <w:rFonts w:hint="eastAsia" w:ascii="仿宋" w:hAnsi="仿宋" w:eastAsia="仿宋" w:cs="仿宋"/>
          <w:color w:val="auto"/>
          <w:sz w:val="32"/>
          <w:szCs w:val="32"/>
          <w:u w:val="none"/>
          <w:lang w:val="en-US" w:eastAsia="zh-CN"/>
        </w:rPr>
        <w:t>39.6</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，比上年减</w:t>
      </w:r>
      <w:r>
        <w:rPr>
          <w:rFonts w:hint="eastAsia" w:ascii="仿宋" w:hAnsi="仿宋" w:eastAsia="仿宋" w:cs="仿宋"/>
          <w:color w:val="auto"/>
          <w:sz w:val="32"/>
          <w:szCs w:val="32"/>
          <w:u w:val="none"/>
          <w:lang w:val="en-US" w:eastAsia="zh-CN"/>
        </w:rPr>
        <w:t>0.4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严格按照上级要求缩减开支</w:t>
      </w:r>
      <w:r>
        <w:rPr>
          <w:rFonts w:hint="eastAsia" w:ascii="仿宋" w:hAnsi="仿宋" w:eastAsia="仿宋" w:cs="仿宋"/>
          <w:color w:val="auto"/>
          <w:sz w:val="32"/>
          <w:szCs w:val="32"/>
          <w:u w:val="none"/>
        </w:rPr>
        <w:t>。</w:t>
      </w:r>
    </w:p>
    <w:p w14:paraId="29472C2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公务用车运行维护费</w:t>
      </w:r>
      <w:r>
        <w:rPr>
          <w:rFonts w:hint="eastAsia" w:ascii="仿宋" w:hAnsi="仿宋" w:eastAsia="仿宋" w:cs="仿宋"/>
          <w:color w:val="auto"/>
          <w:sz w:val="32"/>
          <w:szCs w:val="32"/>
          <w:u w:val="none"/>
          <w:lang w:val="en-US" w:eastAsia="zh-CN"/>
        </w:rPr>
        <w:t>6.1</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，比上年减</w:t>
      </w:r>
      <w:r>
        <w:rPr>
          <w:rFonts w:hint="eastAsia" w:ascii="仿宋" w:hAnsi="仿宋" w:eastAsia="仿宋" w:cs="仿宋"/>
          <w:color w:val="auto"/>
          <w:sz w:val="32"/>
          <w:szCs w:val="32"/>
          <w:u w:val="none"/>
          <w:lang w:val="en-US" w:eastAsia="zh-CN"/>
        </w:rPr>
        <w:t>0.1</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外出工作量减少。</w:t>
      </w:r>
    </w:p>
    <w:p w14:paraId="652C0E3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公务用车购置费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与上年安排保持一致</w:t>
      </w:r>
      <w:r>
        <w:rPr>
          <w:rFonts w:hint="eastAsia" w:ascii="仿宋" w:hAnsi="仿宋" w:eastAsia="仿宋" w:cs="仿宋"/>
          <w:color w:val="auto"/>
          <w:sz w:val="32"/>
          <w:szCs w:val="32"/>
          <w:u w:val="none"/>
        </w:rPr>
        <w:t>。</w:t>
      </w:r>
    </w:p>
    <w:p w14:paraId="1C7C2357">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val="0"/>
          <w:color w:val="auto"/>
          <w:sz w:val="32"/>
          <w:szCs w:val="32"/>
          <w:u w:val="none"/>
        </w:rPr>
      </w:pPr>
      <w:r>
        <w:rPr>
          <w:rFonts w:hint="eastAsia" w:ascii="仿宋" w:hAnsi="仿宋" w:eastAsia="仿宋" w:cs="仿宋"/>
          <w:color w:val="auto"/>
          <w:sz w:val="24"/>
          <w:szCs w:val="24"/>
          <w:u w:val="none"/>
          <w:lang w:eastAsia="zh-CN"/>
        </w:rPr>
        <w:t>（要求：一定要有金额、增减金额、变化原因。不能删除！！！如较上年无增减变化，则主要原因写：与上年安排保持一致。无预算安排的经费，金额及增减金额都填</w:t>
      </w:r>
      <w:r>
        <w:rPr>
          <w:rFonts w:hint="eastAsia" w:ascii="仿宋" w:hAnsi="仿宋" w:eastAsia="仿宋" w:cs="仿宋"/>
          <w:color w:val="auto"/>
          <w:sz w:val="24"/>
          <w:szCs w:val="24"/>
          <w:u w:val="none"/>
          <w:lang w:val="en-US" w:eastAsia="zh-CN"/>
        </w:rPr>
        <w:t>0万元，主要原因：无相关业务，不安排相关资金。</w:t>
      </w:r>
      <w:r>
        <w:rPr>
          <w:rFonts w:hint="eastAsia" w:ascii="仿宋" w:hAnsi="仿宋" w:eastAsia="仿宋" w:cs="仿宋"/>
          <w:color w:val="auto"/>
          <w:sz w:val="24"/>
          <w:szCs w:val="24"/>
          <w:u w:val="none"/>
          <w:lang w:eastAsia="zh-CN"/>
        </w:rPr>
        <w:t>）</w:t>
      </w:r>
    </w:p>
    <w:p w14:paraId="6825AAE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p>
    <w:p w14:paraId="5023BA5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p>
    <w:p w14:paraId="30279FE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eastAsia="zh-CN"/>
        </w:rPr>
        <w:t>三</w:t>
      </w:r>
      <w:r>
        <w:rPr>
          <w:rFonts w:hint="eastAsia" w:ascii="黑体" w:hAnsi="黑体" w:eastAsia="黑体" w:cs="黑体"/>
          <w:b w:val="0"/>
          <w:bCs w:val="0"/>
          <w:color w:val="auto"/>
          <w:sz w:val="32"/>
          <w:szCs w:val="32"/>
          <w:u w:val="none"/>
        </w:rPr>
        <w:t>部分</w:t>
      </w:r>
      <w:r>
        <w:rPr>
          <w:rFonts w:hint="eastAsia" w:ascii="黑体" w:hAnsi="黑体" w:eastAsia="黑体" w:cs="黑体"/>
          <w:b w:val="0"/>
          <w:bCs w:val="0"/>
          <w:color w:val="auto"/>
          <w:sz w:val="32"/>
          <w:szCs w:val="32"/>
          <w:u w:val="none"/>
          <w:lang w:val="en-US" w:eastAsia="zh-CN"/>
        </w:rPr>
        <w:t>2025年</w:t>
      </w:r>
      <w:r>
        <w:rPr>
          <w:rFonts w:hint="eastAsia" w:ascii="黑体" w:hAnsi="黑体" w:eastAsia="黑体" w:cs="黑体"/>
          <w:b w:val="0"/>
          <w:bCs w:val="0"/>
          <w:color w:val="auto"/>
          <w:sz w:val="32"/>
          <w:szCs w:val="32"/>
          <w:u w:val="none"/>
        </w:rPr>
        <w:t>部门</w:t>
      </w:r>
      <w:r>
        <w:rPr>
          <w:rFonts w:hint="eastAsia" w:ascii="黑体" w:hAnsi="黑体" w:eastAsia="黑体" w:cs="黑体"/>
          <w:b w:val="0"/>
          <w:bCs w:val="0"/>
          <w:color w:val="auto"/>
          <w:sz w:val="32"/>
          <w:szCs w:val="32"/>
          <w:u w:val="none"/>
          <w:lang w:eastAsia="zh-CN"/>
        </w:rPr>
        <w:t>（单位）</w:t>
      </w:r>
      <w:r>
        <w:rPr>
          <w:rFonts w:hint="eastAsia" w:ascii="黑体" w:hAnsi="黑体" w:eastAsia="黑体" w:cs="黑体"/>
          <w:b w:val="0"/>
          <w:bCs w:val="0"/>
          <w:color w:val="auto"/>
          <w:sz w:val="32"/>
          <w:szCs w:val="32"/>
          <w:u w:val="none"/>
        </w:rPr>
        <w:t>预算表</w:t>
      </w:r>
    </w:p>
    <w:p w14:paraId="2D206A46">
      <w:pPr>
        <w:pStyle w:val="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eastAsia="仿宋"/>
          <w:color w:val="auto"/>
          <w:u w:val="none"/>
          <w:lang w:eastAsia="zh-CN"/>
        </w:rPr>
        <w:t>（详见附表）</w:t>
      </w:r>
    </w:p>
    <w:p w14:paraId="53C6F8BE">
      <w:pPr>
        <w:keepNext w:val="0"/>
        <w:keepLines w:val="0"/>
        <w:pageBreakBefore w:val="0"/>
        <w:widowControl w:val="0"/>
        <w:kinsoku/>
        <w:wordWrap/>
        <w:overflowPunct/>
        <w:topLinePunct w:val="0"/>
        <w:autoSpaceDE/>
        <w:autoSpaceDN/>
        <w:bidi w:val="0"/>
        <w:adjustRightInd/>
        <w:snapToGrid/>
        <w:spacing w:line="600" w:lineRule="exact"/>
        <w:ind w:firstLine="2880" w:firstLineChars="900"/>
        <w:jc w:val="both"/>
        <w:textAlignment w:val="auto"/>
        <w:rPr>
          <w:rFonts w:hint="eastAsia" w:ascii="黑体" w:hAnsi="黑体" w:eastAsia="黑体" w:cs="黑体"/>
          <w:b w:val="0"/>
          <w:bCs w:val="0"/>
          <w:color w:val="auto"/>
          <w:sz w:val="32"/>
          <w:szCs w:val="32"/>
          <w:u w:val="none"/>
        </w:rPr>
      </w:pPr>
    </w:p>
    <w:p w14:paraId="462DA4D4">
      <w:pPr>
        <w:keepNext w:val="0"/>
        <w:keepLines w:val="0"/>
        <w:pageBreakBefore w:val="0"/>
        <w:widowControl w:val="0"/>
        <w:kinsoku/>
        <w:wordWrap/>
        <w:overflowPunct/>
        <w:topLinePunct w:val="0"/>
        <w:autoSpaceDE/>
        <w:autoSpaceDN/>
        <w:bidi w:val="0"/>
        <w:adjustRightInd/>
        <w:snapToGrid/>
        <w:spacing w:line="600" w:lineRule="exact"/>
        <w:ind w:firstLine="2880" w:firstLineChars="900"/>
        <w:jc w:val="both"/>
        <w:textAlignment w:val="auto"/>
        <w:rPr>
          <w:rFonts w:hint="eastAsia" w:ascii="黑体" w:hAnsi="黑体" w:eastAsia="黑体" w:cs="黑体"/>
          <w:b w:val="0"/>
          <w:bCs w:val="0"/>
          <w:color w:val="auto"/>
          <w:sz w:val="32"/>
          <w:szCs w:val="32"/>
          <w:u w:val="none"/>
        </w:rPr>
      </w:pPr>
    </w:p>
    <w:p w14:paraId="6085C703">
      <w:pPr>
        <w:keepNext w:val="0"/>
        <w:keepLines w:val="0"/>
        <w:pageBreakBefore w:val="0"/>
        <w:widowControl w:val="0"/>
        <w:kinsoku/>
        <w:wordWrap/>
        <w:overflowPunct/>
        <w:topLinePunct w:val="0"/>
        <w:autoSpaceDE/>
        <w:autoSpaceDN/>
        <w:bidi w:val="0"/>
        <w:adjustRightInd/>
        <w:snapToGrid/>
        <w:spacing w:line="600" w:lineRule="exact"/>
        <w:ind w:firstLine="2880" w:firstLineChars="900"/>
        <w:jc w:val="both"/>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第四部分名词解释</w:t>
      </w:r>
    </w:p>
    <w:p w14:paraId="02FB5D4D">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color w:val="auto"/>
          <w:sz w:val="32"/>
          <w:szCs w:val="32"/>
          <w:u w:val="none"/>
        </w:rPr>
      </w:pPr>
    </w:p>
    <w:p w14:paraId="2F05137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一、收入科目</w:t>
      </w:r>
    </w:p>
    <w:p w14:paraId="160CA69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各部门结合实际进行解释。</w:t>
      </w:r>
    </w:p>
    <w:p w14:paraId="32E9EFD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（一）财政拨款：指县本级财政当年拨付的资金。</w:t>
      </w:r>
    </w:p>
    <w:p w14:paraId="437D0EA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（二）事业收入：指事业单位开展专业业务活动及辅助活动取得的收入。</w:t>
      </w:r>
    </w:p>
    <w:p w14:paraId="3CFDF6B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（三）事业单位经营收入：指事业单位在专业业务活动及辅助活动之外开展非独立核算经营活动取得的收入。</w:t>
      </w:r>
    </w:p>
    <w:p w14:paraId="725B10B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（四）其他收入：指除财政拨款、事业收入、事业单位经营收入等以外的各项收入。</w:t>
      </w:r>
    </w:p>
    <w:p w14:paraId="746545B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（五）附属单位上缴收入：反映事业单位附属的独立核算单位按规定标准或比例缴纳的各项收入。包括附属的事业单位上缴的收入和附属的企业上缴的利润等。</w:t>
      </w:r>
    </w:p>
    <w:p w14:paraId="0522E22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（六）上级补助收入：反映事业单位从主管部门和上级单位取得的非财政补助收入。</w:t>
      </w:r>
    </w:p>
    <w:p w14:paraId="4A4F33E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（七）使用非财政拨款结余：填列历年滚存的非限定用途的非统计财政拨款结余弥补</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rPr>
        <w:t>收支差额的数额。</w:t>
      </w:r>
    </w:p>
    <w:p w14:paraId="056698D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（八）上年结转和结余：填列</w:t>
      </w: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年全部结转和结余的资金数，包括当年结转结余资金和历年滚存结转结余资金。</w:t>
      </w:r>
    </w:p>
    <w:p w14:paraId="4EA221DD">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二、支出科目</w:t>
      </w:r>
    </w:p>
    <w:p w14:paraId="314F2DD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对部门或单位预算中涉及的支出功能分类科目（明细到项级），结合部门实际，参照《</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rPr>
        <w:t>政府收支分类科目》的规范说明行解释。</w:t>
      </w:r>
    </w:p>
    <w:p w14:paraId="787CDCD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（一）行政运行：反映行政单位（事业单位）的基本支出。</w:t>
      </w:r>
    </w:p>
    <w:p w14:paraId="20587E0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（二）一般行政管理事务：反映行政单位（包括事业单位）未单独设置项级科目的其他项目支出。</w:t>
      </w:r>
    </w:p>
    <w:p w14:paraId="061ED92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（三）机关事业单位基本养老保险缴费支出：反映机关事业单位实施养老保险制度由单位缴纳的基本养老保险费的支出。</w:t>
      </w:r>
    </w:p>
    <w:p w14:paraId="2003CB5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（四）行政单位医疗：反映行政事业单位基本医疗保险缴费经费。</w:t>
      </w:r>
    </w:p>
    <w:p w14:paraId="44A8ADF8">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（五）事业单位医疗：反映财政部门集中安排的事业单位基本医疗保险缴费经费。</w:t>
      </w:r>
    </w:p>
    <w:p w14:paraId="06DB6EF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auto"/>
          <w:sz w:val="32"/>
          <w:szCs w:val="32"/>
          <w:u w:val="none"/>
        </w:rPr>
      </w:pPr>
      <w:r>
        <w:rPr>
          <w:rFonts w:hint="eastAsia" w:ascii="仿宋" w:hAnsi="仿宋" w:eastAsia="仿宋" w:cs="仿宋"/>
          <w:color w:val="auto"/>
          <w:sz w:val="32"/>
          <w:szCs w:val="32"/>
          <w:u w:val="none"/>
        </w:rPr>
        <w:t>（六）死亡抚恤：反映单位遗属人员生活补助。</w:t>
      </w:r>
    </w:p>
    <w:p w14:paraId="362E9E80">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lang w:eastAsia="zh-CN"/>
        </w:rPr>
      </w:pPr>
      <w:r>
        <w:rPr>
          <w:rFonts w:hint="eastAsia" w:ascii="楷体" w:hAnsi="楷体" w:eastAsia="楷体" w:cs="楷体"/>
          <w:b/>
          <w:bCs/>
          <w:color w:val="auto"/>
          <w:sz w:val="32"/>
          <w:szCs w:val="32"/>
          <w:u w:val="none"/>
          <w:lang w:eastAsia="zh-CN"/>
        </w:rPr>
        <w:t>三</w:t>
      </w:r>
      <w:r>
        <w:rPr>
          <w:rFonts w:hint="eastAsia" w:ascii="楷体" w:hAnsi="楷体" w:eastAsia="楷体" w:cs="楷体"/>
          <w:b/>
          <w:bCs/>
          <w:color w:val="auto"/>
          <w:sz w:val="32"/>
          <w:szCs w:val="32"/>
          <w:u w:val="none"/>
        </w:rPr>
        <w:t>、</w:t>
      </w:r>
      <w:r>
        <w:rPr>
          <w:rFonts w:hint="eastAsia" w:ascii="楷体" w:hAnsi="楷体" w:eastAsia="楷体" w:cs="楷体"/>
          <w:b/>
          <w:bCs/>
          <w:color w:val="auto"/>
          <w:sz w:val="32"/>
          <w:szCs w:val="32"/>
          <w:u w:val="none"/>
          <w:lang w:eastAsia="zh-CN"/>
        </w:rPr>
        <w:t>相关专业名词</w:t>
      </w:r>
    </w:p>
    <w:p w14:paraId="68615B9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各部门结合实际进行解释。</w:t>
      </w:r>
    </w:p>
    <w:p w14:paraId="672B2E0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79BC9E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B4F25CE-1305-4584-AA47-5E2090CD568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59E1A6E6-5412-46F3-817A-D84CB0133037}"/>
  </w:font>
  <w:font w:name="微软雅黑">
    <w:panose1 w:val="020B0503020204020204"/>
    <w:charset w:val="86"/>
    <w:family w:val="auto"/>
    <w:pitch w:val="default"/>
    <w:sig w:usb0="80000287" w:usb1="280F3C52" w:usb2="00000016" w:usb3="00000000" w:csb0="0004001F" w:csb1="00000000"/>
    <w:embedRegular r:id="rId3" w:fontKey="{4A70B896-4758-44A1-AEBE-7FD6EF09BB4F}"/>
  </w:font>
  <w:font w:name="仿宋">
    <w:panose1 w:val="02010609060101010101"/>
    <w:charset w:val="86"/>
    <w:family w:val="auto"/>
    <w:pitch w:val="default"/>
    <w:sig w:usb0="800002BF" w:usb1="38CF7CFA" w:usb2="00000016" w:usb3="00000000" w:csb0="00040001" w:csb1="00000000"/>
    <w:embedRegular r:id="rId4" w:fontKey="{4B6E596C-7620-4265-BCE1-938383DF4448}"/>
  </w:font>
  <w:font w:name="楷体">
    <w:panose1 w:val="02010609060101010101"/>
    <w:charset w:val="86"/>
    <w:family w:val="auto"/>
    <w:pitch w:val="default"/>
    <w:sig w:usb0="800002BF" w:usb1="38CF7CFA" w:usb2="00000016" w:usb3="00000000" w:csb0="00040001" w:csb1="00000000"/>
    <w:embedRegular r:id="rId5" w:fontKey="{0258D6DD-229C-4DEC-9DDF-F17C40FC148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C5B0A4">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45FECC1">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645FECC1">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7579787D">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7579787D">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0022354"/>
    <w:rsid w:val="029C1412"/>
    <w:rsid w:val="04EE7A30"/>
    <w:rsid w:val="05FD6618"/>
    <w:rsid w:val="06A76233"/>
    <w:rsid w:val="08142F09"/>
    <w:rsid w:val="0EB458EB"/>
    <w:rsid w:val="0F2B00AD"/>
    <w:rsid w:val="133E2072"/>
    <w:rsid w:val="150775E9"/>
    <w:rsid w:val="16020D6C"/>
    <w:rsid w:val="19BA759A"/>
    <w:rsid w:val="19CF11C0"/>
    <w:rsid w:val="1B9B0E94"/>
    <w:rsid w:val="1BAB06D5"/>
    <w:rsid w:val="1C215462"/>
    <w:rsid w:val="1C2E1720"/>
    <w:rsid w:val="1C33298F"/>
    <w:rsid w:val="1DE32862"/>
    <w:rsid w:val="1EA8395A"/>
    <w:rsid w:val="1F226863"/>
    <w:rsid w:val="208C1E7D"/>
    <w:rsid w:val="20B841DB"/>
    <w:rsid w:val="21E85FCA"/>
    <w:rsid w:val="223644F7"/>
    <w:rsid w:val="242F1ADF"/>
    <w:rsid w:val="249F7525"/>
    <w:rsid w:val="26AA48C2"/>
    <w:rsid w:val="2C8E5424"/>
    <w:rsid w:val="2C95120B"/>
    <w:rsid w:val="2CC65CA9"/>
    <w:rsid w:val="2F7C0FE2"/>
    <w:rsid w:val="30EF5591"/>
    <w:rsid w:val="31024210"/>
    <w:rsid w:val="326D79FF"/>
    <w:rsid w:val="326F585D"/>
    <w:rsid w:val="32990C1B"/>
    <w:rsid w:val="349D271D"/>
    <w:rsid w:val="352A6ADB"/>
    <w:rsid w:val="35440FE0"/>
    <w:rsid w:val="38AE3672"/>
    <w:rsid w:val="3A4013F4"/>
    <w:rsid w:val="3B5A4987"/>
    <w:rsid w:val="3B6A1A55"/>
    <w:rsid w:val="3B87704A"/>
    <w:rsid w:val="3C215F09"/>
    <w:rsid w:val="3C7324DC"/>
    <w:rsid w:val="3D2B59E9"/>
    <w:rsid w:val="3D893956"/>
    <w:rsid w:val="3F5F2902"/>
    <w:rsid w:val="3FFE2FA6"/>
    <w:rsid w:val="445E02C8"/>
    <w:rsid w:val="499B0912"/>
    <w:rsid w:val="511E441C"/>
    <w:rsid w:val="52072792"/>
    <w:rsid w:val="53EA0E7E"/>
    <w:rsid w:val="54370568"/>
    <w:rsid w:val="563A4077"/>
    <w:rsid w:val="573319E5"/>
    <w:rsid w:val="57947A7F"/>
    <w:rsid w:val="580605F3"/>
    <w:rsid w:val="598633F7"/>
    <w:rsid w:val="59BB0F17"/>
    <w:rsid w:val="5A296BA4"/>
    <w:rsid w:val="62740BD9"/>
    <w:rsid w:val="64C00BC8"/>
    <w:rsid w:val="68D42143"/>
    <w:rsid w:val="695047F4"/>
    <w:rsid w:val="6A5462D1"/>
    <w:rsid w:val="6DD32C57"/>
    <w:rsid w:val="6DF75CCF"/>
    <w:rsid w:val="6ECD03A1"/>
    <w:rsid w:val="70DE4FD1"/>
    <w:rsid w:val="71724DA6"/>
    <w:rsid w:val="73467A28"/>
    <w:rsid w:val="73484C58"/>
    <w:rsid w:val="747C62B5"/>
    <w:rsid w:val="76051E1C"/>
    <w:rsid w:val="772705B7"/>
    <w:rsid w:val="772D6496"/>
    <w:rsid w:val="79874FE5"/>
    <w:rsid w:val="7A160388"/>
    <w:rsid w:val="7B0405FD"/>
    <w:rsid w:val="7BA17B73"/>
    <w:rsid w:val="7DA50C86"/>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footer"/>
    <w:basedOn w:val="1"/>
    <w:unhideWhenUsed/>
    <w:qFormat/>
    <w:uiPriority w:val="0"/>
    <w:pPr>
      <w:tabs>
        <w:tab w:val="center" w:pos="4153"/>
        <w:tab w:val="right" w:pos="8306"/>
      </w:tabs>
      <w:snapToGrid w:val="0"/>
      <w:jc w:val="left"/>
    </w:pPr>
    <w:rPr>
      <w:sz w:val="18"/>
      <w:szCs w:val="18"/>
    </w:rPr>
  </w:style>
  <w:style w:type="character" w:customStyle="1" w:styleId="7">
    <w:name w:val="font51"/>
    <w:basedOn w:val="6"/>
    <w:qFormat/>
    <w:uiPriority w:val="0"/>
    <w:rPr>
      <w:rFonts w:hint="default" w:ascii="Calibri" w:hAnsi="Calibri" w:cs="Calibri"/>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3593</Words>
  <Characters>4098</Characters>
  <Lines>0</Lines>
  <Paragraphs>0</Paragraphs>
  <TotalTime>44</TotalTime>
  <ScaleCrop>false</ScaleCrop>
  <LinksUpToDate>false</LinksUpToDate>
  <CharactersWithSpaces>4598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2025-02-26T02:12:35Z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B53AB813A54E458B8B4AAA39716BDDF6_13</vt:lpwstr>
  </property>
  <property fmtid="{D5CDD505-2E9C-101B-9397-08002B2CF9AE}" pid="4" name="KSOTemplateDocerSaveRecord">
    <vt:lpwstr>eyJoZGlkIjoiMmUxM2RmNGFhYmMzMGE2NTQ3MWFlYjQzZmZlMTkyZjkiLCJ1c2VySWQiOiIxNDU1NzAxMjc3In0=</vt:lpwstr>
  </property>
</Properties>
</file>