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val="en-US" w:eastAsia="zh-CN"/>
        </w:rPr>
        <w:t>兴国县梅窖镇人民政府2023年</w:t>
      </w:r>
      <w:r>
        <w:rPr>
          <w:rFonts w:hint="eastAsia" w:ascii="方正小标宋简体" w:hAnsi="方正小标宋简体" w:eastAsia="方正小标宋简体" w:cs="方正小标宋简体"/>
          <w:b w:val="0"/>
          <w:bCs/>
          <w:color w:val="auto"/>
          <w:sz w:val="44"/>
          <w:szCs w:val="44"/>
        </w:rPr>
        <w:t>部门预算草案</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梅窖镇人民政府</w:t>
      </w:r>
      <w:r>
        <w:rPr>
          <w:rFonts w:hint="eastAsia" w:ascii="仿宋" w:hAnsi="仿宋" w:eastAsia="仿宋" w:cs="仿宋"/>
          <w:b/>
          <w:bCs/>
          <w:color w:val="auto"/>
          <w:sz w:val="32"/>
          <w:szCs w:val="32"/>
        </w:rPr>
        <w:t>部门概况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一、部门主要职责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梅窖镇人民政府</w:t>
      </w:r>
      <w:r>
        <w:rPr>
          <w:rFonts w:hint="eastAsia" w:ascii="仿宋" w:hAnsi="仿宋" w:eastAsia="仿宋" w:cs="仿宋"/>
          <w:b/>
          <w:bCs/>
          <w:color w:val="auto"/>
          <w:sz w:val="32"/>
          <w:szCs w:val="32"/>
        </w:rPr>
        <w:t>部门预算情况说明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梅窖镇人民政府</w:t>
      </w:r>
      <w:r>
        <w:rPr>
          <w:rFonts w:hint="eastAsia" w:ascii="仿宋" w:hAnsi="仿宋" w:eastAsia="仿宋" w:cs="仿宋"/>
          <w:b/>
          <w:bCs/>
          <w:color w:val="auto"/>
          <w:sz w:val="32"/>
          <w:szCs w:val="32"/>
        </w:rPr>
        <w:t>部门预算表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九、《部门整体支出绩效目标表》</w:t>
      </w:r>
    </w:p>
    <w:p>
      <w:pPr>
        <w:spacing w:line="560" w:lineRule="exact"/>
        <w:ind w:left="10" w:leftChars="5" w:firstLine="620" w:firstLineChars="194"/>
        <w:rPr>
          <w:rFonts w:hint="eastAsia" w:ascii="仿宋" w:hAnsi="仿宋" w:eastAsia="仿宋" w:cs="仿宋"/>
          <w:b/>
          <w:bCs/>
          <w:color w:val="auto"/>
          <w:sz w:val="32"/>
          <w:szCs w:val="32"/>
        </w:rPr>
      </w:pPr>
      <w:r>
        <w:rPr>
          <w:rFonts w:hint="eastAsia" w:ascii="仿宋" w:hAnsi="仿宋" w:eastAsia="仿宋" w:cs="仿宋"/>
          <w:color w:val="auto"/>
          <w:sz w:val="32"/>
          <w:szCs w:val="32"/>
        </w:rPr>
        <w:t>十、《项目支出绩效目标表》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仿宋" w:hAnsi="仿宋" w:eastAsia="仿宋" w:cs="仿宋"/>
          <w:b/>
          <w:bCs/>
          <w:color w:val="auto"/>
          <w:sz w:val="32"/>
          <w:szCs w:val="32"/>
          <w:lang w:val="en-US" w:eastAsia="zh-CN"/>
        </w:rPr>
        <w:t>梅窖镇人民政府</w:t>
      </w:r>
      <w:r>
        <w:rPr>
          <w:rFonts w:hint="eastAsia" w:ascii="黑体" w:hAnsi="黑体" w:eastAsia="黑体" w:cs="黑体"/>
          <w:b w:val="0"/>
          <w:bCs w:val="0"/>
          <w:color w:val="auto"/>
          <w:sz w:val="32"/>
          <w:szCs w:val="32"/>
        </w:rPr>
        <w:t>部门概况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一、部门主要职责</w:t>
      </w:r>
    </w:p>
    <w:p>
      <w:pPr>
        <w:spacing w:line="560" w:lineRule="exact"/>
        <w:ind w:left="10" w:leftChars="5" w:firstLine="480" w:firstLineChars="200"/>
        <w:rPr>
          <w:rFonts w:hint="eastAsia" w:ascii="微软雅黑" w:hAnsi="微软雅黑" w:eastAsia="微软雅黑"/>
          <w:color w:val="auto"/>
          <w:sz w:val="24"/>
          <w:szCs w:val="24"/>
          <w:u w:val="none"/>
          <w:shd w:val="clear" w:color="auto" w:fill="auto"/>
          <w:lang w:eastAsia="zh-CN"/>
        </w:rPr>
      </w:pPr>
      <w:r>
        <w:rPr>
          <w:rFonts w:hint="eastAsia" w:ascii="微软雅黑" w:hAnsi="微软雅黑" w:eastAsia="微软雅黑"/>
          <w:color w:val="auto"/>
          <w:sz w:val="24"/>
          <w:szCs w:val="24"/>
          <w:shd w:val="clear" w:color="auto" w:fill="FFFFFF"/>
        </w:rPr>
        <w:t>1、</w:t>
      </w:r>
      <w:r>
        <w:rPr>
          <w:rFonts w:hint="eastAsia" w:ascii="微软雅黑" w:hAnsi="微软雅黑" w:eastAsia="微软雅黑"/>
          <w:color w:val="auto"/>
          <w:sz w:val="24"/>
          <w:szCs w:val="24"/>
          <w:shd w:val="clear" w:color="auto" w:fill="auto"/>
        </w:rPr>
        <w:t>制定和</w:t>
      </w:r>
      <w:r>
        <w:rPr>
          <w:color w:val="auto"/>
          <w:u w:val="none"/>
          <w:shd w:val="clear" w:color="auto" w:fill="auto"/>
        </w:rPr>
        <w:fldChar w:fldCharType="begin"/>
      </w:r>
      <w:r>
        <w:rPr>
          <w:color w:val="auto"/>
          <w:u w:val="none"/>
          <w:shd w:val="clear" w:color="auto" w:fill="auto"/>
        </w:rPr>
        <w:instrText xml:space="preserve"> HYPERLINK "http://www.so.com/s?q=%E7%BB%84%E7%BB%87&amp;ie=utf-8&amp;src=internal_wenda_recommend_textn"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组织</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实施经济、科技和</w:t>
      </w:r>
      <w:r>
        <w:rPr>
          <w:color w:val="auto"/>
          <w:u w:val="none"/>
          <w:shd w:val="clear" w:color="auto" w:fill="auto"/>
        </w:rPr>
        <w:fldChar w:fldCharType="begin"/>
      </w:r>
      <w:r>
        <w:rPr>
          <w:color w:val="auto"/>
          <w:u w:val="none"/>
          <w:shd w:val="clear" w:color="auto" w:fill="auto"/>
        </w:rPr>
        <w:instrText xml:space="preserve"> HYPERLINK "http://www.so.com/s?q=%E7%A4%BE%E4%BC%9A%E5%8F%91%E5%B1%95&amp;ie=utf-8&amp;src=internal_wenda_recommend_textn"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社会发展</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计划，制定</w:t>
      </w:r>
      <w:r>
        <w:rPr>
          <w:color w:val="auto"/>
          <w:u w:val="none"/>
          <w:shd w:val="clear" w:color="auto" w:fill="auto"/>
        </w:rPr>
        <w:fldChar w:fldCharType="begin"/>
      </w:r>
      <w:r>
        <w:rPr>
          <w:color w:val="auto"/>
          <w:u w:val="none"/>
          <w:shd w:val="clear" w:color="auto" w:fill="auto"/>
        </w:rPr>
        <w:instrText xml:space="preserve"> HYPERLINK "http://www.so.com/s?q=%E8%B5%84%E6%BA%90%E5%BC%80%E5%8F%91&amp;ie=utf-8&amp;src=internal_wenda_recommend_textn"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资源开发</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技术改造和</w:t>
      </w:r>
      <w:r>
        <w:rPr>
          <w:color w:val="auto"/>
          <w:u w:val="none"/>
          <w:shd w:val="clear" w:color="auto" w:fill="auto"/>
        </w:rPr>
        <w:fldChar w:fldCharType="begin"/>
      </w:r>
      <w:r>
        <w:rPr>
          <w:color w:val="auto"/>
          <w:u w:val="none"/>
          <w:shd w:val="clear" w:color="auto" w:fill="auto"/>
        </w:rPr>
        <w:instrText xml:space="preserve"> HYPERLINK "http://www.so.com/s?q=%E4%BA%A7%E4%B8%9A%E7%BB%93%E6%9E%84&amp;ie=utf-8&amp;src=internal_wenda_recommend_textn"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产业结构</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调整方案，组织指导好各业生产，搞好商品流通，协调好本</w:t>
      </w:r>
      <w:r>
        <w:rPr>
          <w:rFonts w:hint="eastAsia" w:ascii="微软雅黑" w:hAnsi="微软雅黑" w:eastAsia="微软雅黑"/>
          <w:color w:val="auto"/>
          <w:sz w:val="24"/>
          <w:szCs w:val="24"/>
          <w:u w:val="none"/>
          <w:shd w:val="clear" w:color="auto" w:fill="auto"/>
          <w:lang w:val="en-US" w:eastAsia="zh-CN"/>
        </w:rPr>
        <w:t>镇</w:t>
      </w:r>
      <w:r>
        <w:rPr>
          <w:rFonts w:hint="eastAsia" w:ascii="微软雅黑" w:hAnsi="微软雅黑" w:eastAsia="微软雅黑"/>
          <w:color w:val="auto"/>
          <w:sz w:val="24"/>
          <w:szCs w:val="24"/>
          <w:u w:val="none"/>
          <w:shd w:val="clear" w:color="auto" w:fill="auto"/>
        </w:rPr>
        <w:t>与外地区的经济交流与合作，抓好招商引资，</w:t>
      </w:r>
      <w:r>
        <w:rPr>
          <w:color w:val="auto"/>
          <w:u w:val="none"/>
          <w:shd w:val="clear" w:color="auto" w:fill="auto"/>
        </w:rPr>
        <w:fldChar w:fldCharType="begin"/>
      </w:r>
      <w:r>
        <w:rPr>
          <w:color w:val="auto"/>
          <w:u w:val="none"/>
          <w:shd w:val="clear" w:color="auto" w:fill="auto"/>
        </w:rPr>
        <w:instrText xml:space="preserve"> HYPERLINK "http://www.so.com/s?q=%E4%BA%BA%E6%89%8D&amp;ie=utf-8&amp;src=internal_wenda_recommend_textn"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人才</w:t>
      </w:r>
      <w:r>
        <w:rPr>
          <w:color w:val="auto"/>
          <w:u w:val="none"/>
          <w:shd w:val="clear" w:color="auto" w:fill="auto"/>
        </w:rPr>
        <w:fldChar w:fldCharType="end"/>
      </w:r>
      <w:r>
        <w:rPr>
          <w:color w:val="auto"/>
          <w:u w:val="none"/>
          <w:shd w:val="clear" w:color="auto" w:fill="auto"/>
        </w:rPr>
        <w:fldChar w:fldCharType="begin"/>
      </w:r>
      <w:r>
        <w:rPr>
          <w:color w:val="auto"/>
          <w:u w:val="none"/>
          <w:shd w:val="clear" w:color="auto" w:fill="auto"/>
        </w:rPr>
        <w:instrText xml:space="preserve"> HYPERLINK "http://www.so.com/s?q=%E5%BC%95%E8%BF%9B%E9%A1%B9%E7%9B%AE&amp;ie=utf-8&amp;src=internal_wenda_recommend_textn"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引进项目</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开发，不断培育</w:t>
      </w:r>
      <w:r>
        <w:rPr>
          <w:color w:val="auto"/>
          <w:u w:val="none"/>
          <w:shd w:val="clear" w:color="auto" w:fill="auto"/>
        </w:rPr>
        <w:fldChar w:fldCharType="begin"/>
      </w:r>
      <w:r>
        <w:rPr>
          <w:color w:val="auto"/>
          <w:u w:val="none"/>
          <w:shd w:val="clear" w:color="auto" w:fill="auto"/>
        </w:rPr>
        <w:instrText xml:space="preserve"> HYPERLINK "http://www.so.com/s?q=%E5%B8%82%E5%9C%BA%E4%BD%93%E7%B3%BB&amp;ie=utf-8&amp;src=internal_wenda_recommend_textn"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市场体系</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，组织经济运行，促进</w:t>
      </w:r>
      <w:r>
        <w:rPr>
          <w:color w:val="auto"/>
          <w:u w:val="none"/>
          <w:shd w:val="clear" w:color="auto" w:fill="auto"/>
        </w:rPr>
        <w:fldChar w:fldCharType="begin"/>
      </w:r>
      <w:r>
        <w:rPr>
          <w:color w:val="auto"/>
          <w:u w:val="none"/>
          <w:shd w:val="clear" w:color="auto" w:fill="auto"/>
        </w:rPr>
        <w:instrText xml:space="preserve"> HYPERLINK "http://www.so.com/s?q=%E7%BB%8F%E6%B5%8E%E5%8F%91%E5%B1%95&amp;ie=utf-8&amp;src=internal_wenda_recommend_textn"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经济发展</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w:t>
      </w:r>
    </w:p>
    <w:p>
      <w:pPr>
        <w:spacing w:line="560" w:lineRule="exact"/>
        <w:ind w:left="10" w:leftChars="5" w:firstLine="480" w:firstLineChars="200"/>
        <w:rPr>
          <w:rFonts w:hint="eastAsia" w:ascii="微软雅黑" w:hAnsi="微软雅黑" w:eastAsia="微软雅黑"/>
          <w:color w:val="auto"/>
          <w:sz w:val="24"/>
          <w:szCs w:val="24"/>
          <w:u w:val="none"/>
          <w:shd w:val="clear" w:color="auto" w:fill="auto"/>
          <w:lang w:eastAsia="zh-CN"/>
        </w:rPr>
      </w:pPr>
      <w:r>
        <w:rPr>
          <w:rFonts w:hint="eastAsia" w:ascii="微软雅黑" w:hAnsi="微软雅黑" w:eastAsia="微软雅黑"/>
          <w:color w:val="auto"/>
          <w:sz w:val="24"/>
          <w:szCs w:val="24"/>
          <w:u w:val="none"/>
          <w:shd w:val="clear" w:color="auto" w:fill="auto"/>
        </w:rPr>
        <w:t xml:space="preserve">    2、制定并组织实施乡村建设</w:t>
      </w:r>
      <w:r>
        <w:rPr>
          <w:color w:val="auto"/>
          <w:u w:val="none"/>
          <w:shd w:val="clear" w:color="auto" w:fill="auto"/>
        </w:rPr>
        <w:fldChar w:fldCharType="begin"/>
      </w:r>
      <w:r>
        <w:rPr>
          <w:color w:val="auto"/>
          <w:u w:val="none"/>
          <w:shd w:val="clear" w:color="auto" w:fill="auto"/>
        </w:rPr>
        <w:instrText xml:space="preserve"> HYPERLINK "http://www.so.com/s?q=%E8%A7%84%E5%88%92&amp;ie=utf-8&amp;src=internal_wenda_recommend_textn"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规划</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，部署重点工程建设，地方道路建设及公共设施，</w:t>
      </w:r>
      <w:r>
        <w:rPr>
          <w:color w:val="auto"/>
          <w:u w:val="none"/>
          <w:shd w:val="clear" w:color="auto" w:fill="auto"/>
        </w:rPr>
        <w:fldChar w:fldCharType="begin"/>
      </w:r>
      <w:r>
        <w:rPr>
          <w:color w:val="auto"/>
          <w:u w:val="none"/>
          <w:shd w:val="clear" w:color="auto" w:fill="auto"/>
        </w:rPr>
        <w:instrText xml:space="preserve"> HYPERLINK "http://www.so.com/s?q=%E6%B0%B4%E5%88%A9%E8%AE%BE%E6%96%BD&amp;ie=utf-8&amp;src=internal_wenda_recommend_textn"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水利设施</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的管理，负责</w:t>
      </w:r>
      <w:r>
        <w:rPr>
          <w:color w:val="auto"/>
          <w:u w:val="none"/>
          <w:shd w:val="clear" w:color="auto" w:fill="auto"/>
        </w:rPr>
        <w:fldChar w:fldCharType="begin"/>
      </w:r>
      <w:r>
        <w:rPr>
          <w:color w:val="auto"/>
          <w:u w:val="none"/>
          <w:shd w:val="clear" w:color="auto" w:fill="auto"/>
        </w:rPr>
        <w:instrText xml:space="preserve"> HYPERLINK "http://www.so.com/s?q=%E5%9C%9F%E5%9C%B0&amp;ie=utf-8&amp;src=internal_wenda_recommend_textn"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土地</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w:t>
      </w:r>
      <w:r>
        <w:rPr>
          <w:color w:val="auto"/>
          <w:u w:val="none"/>
          <w:shd w:val="clear" w:color="auto" w:fill="auto"/>
        </w:rPr>
        <w:fldChar w:fldCharType="begin"/>
      </w:r>
      <w:r>
        <w:rPr>
          <w:color w:val="auto"/>
          <w:u w:val="none"/>
          <w:shd w:val="clear" w:color="auto" w:fill="auto"/>
        </w:rPr>
        <w:instrText xml:space="preserve"> HYPERLINK "http://www.so.com/s?q=%E6%9E%97%E6%9C%A8&amp;ie=utf-8&amp;src=internal_wenda_recommend_textn"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林木</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、水等自然资源和</w:t>
      </w:r>
      <w:r>
        <w:rPr>
          <w:color w:val="auto"/>
          <w:u w:val="none"/>
          <w:shd w:val="clear" w:color="auto" w:fill="auto"/>
        </w:rPr>
        <w:fldChar w:fldCharType="begin"/>
      </w:r>
      <w:r>
        <w:rPr>
          <w:color w:val="auto"/>
          <w:u w:val="none"/>
          <w:shd w:val="clear" w:color="auto" w:fill="auto"/>
        </w:rPr>
        <w:instrText xml:space="preserve"> HYPERLINK "http://www.so.com/s?q=%E7%94%9F%E6%80%81%E7%8E%AF%E5%A2%83&amp;ie=utf-8&amp;src=internal_wenda_recommend_textn"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生态环境</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的保护，做好护林防火工作。</w:t>
      </w:r>
    </w:p>
    <w:p>
      <w:pPr>
        <w:spacing w:line="560" w:lineRule="exact"/>
        <w:ind w:left="10" w:leftChars="5" w:firstLine="480" w:firstLineChars="200"/>
        <w:rPr>
          <w:rFonts w:hint="eastAsia" w:ascii="微软雅黑" w:hAnsi="微软雅黑" w:eastAsia="微软雅黑"/>
          <w:color w:val="auto"/>
          <w:sz w:val="24"/>
          <w:szCs w:val="24"/>
          <w:u w:val="none"/>
          <w:shd w:val="clear" w:color="auto" w:fill="auto"/>
          <w:lang w:eastAsia="zh-CN"/>
        </w:rPr>
      </w:pPr>
      <w:r>
        <w:rPr>
          <w:rFonts w:hint="eastAsia" w:ascii="微软雅黑" w:hAnsi="微软雅黑" w:eastAsia="微软雅黑"/>
          <w:color w:val="auto"/>
          <w:sz w:val="24"/>
          <w:szCs w:val="24"/>
          <w:u w:val="none"/>
          <w:shd w:val="clear" w:color="auto" w:fill="auto"/>
        </w:rPr>
        <w:t xml:space="preserve">   3、负责本行政区域内的</w:t>
      </w:r>
      <w:r>
        <w:rPr>
          <w:color w:val="auto"/>
          <w:u w:val="none"/>
          <w:shd w:val="clear" w:color="auto" w:fill="auto"/>
        </w:rPr>
        <w:fldChar w:fldCharType="begin"/>
      </w:r>
      <w:r>
        <w:rPr>
          <w:color w:val="auto"/>
          <w:u w:val="none"/>
          <w:shd w:val="clear" w:color="auto" w:fill="auto"/>
        </w:rPr>
        <w:instrText xml:space="preserve"> HYPERLINK "http://www.so.com/s?q=%E6%B0%91%E6%94%BF&amp;ie=utf-8&amp;src=internal_wenda_recommend_textn"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民政</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w:t>
      </w:r>
      <w:r>
        <w:rPr>
          <w:color w:val="auto"/>
          <w:u w:val="none"/>
          <w:shd w:val="clear" w:color="auto" w:fill="auto"/>
        </w:rPr>
        <w:fldChar w:fldCharType="begin"/>
      </w:r>
      <w:r>
        <w:rPr>
          <w:color w:val="auto"/>
          <w:u w:val="none"/>
          <w:shd w:val="clear" w:color="auto" w:fill="auto"/>
        </w:rPr>
        <w:instrText xml:space="preserve"> HYPERLINK "http://www.so.com/s?q=%E8%AE%A1%E5%88%92%E7%94%9F%E8%82%B2&amp;ie=utf-8&amp;src=internal_wenda_recommend_textn"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计划生育</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、文化教育、卫生、体育等</w:t>
      </w:r>
      <w:r>
        <w:rPr>
          <w:color w:val="auto"/>
          <w:u w:val="none"/>
          <w:shd w:val="clear" w:color="auto" w:fill="auto"/>
        </w:rPr>
        <w:fldChar w:fldCharType="begin"/>
      </w:r>
      <w:r>
        <w:rPr>
          <w:color w:val="auto"/>
          <w:u w:val="none"/>
          <w:shd w:val="clear" w:color="auto" w:fill="auto"/>
        </w:rPr>
        <w:instrText xml:space="preserve"> HYPERLINK "http://www.so.com/s?q=%E7%A4%BE%E4%BC%9A&amp;ie=utf-8&amp;src=internal_wenda_recommend_textn"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社会</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公益事业的综合性工作，维护一切经济单位和个人的正当经济</w:t>
      </w:r>
      <w:r>
        <w:rPr>
          <w:color w:val="auto"/>
          <w:u w:val="none"/>
          <w:shd w:val="clear" w:color="auto" w:fill="auto"/>
        </w:rPr>
        <w:fldChar w:fldCharType="begin"/>
      </w:r>
      <w:r>
        <w:rPr>
          <w:color w:val="auto"/>
          <w:u w:val="none"/>
          <w:shd w:val="clear" w:color="auto" w:fill="auto"/>
        </w:rPr>
        <w:instrText xml:space="preserve"> HYPERLINK "http://www.so.com/s?q=%E6%9D%83%E7%9B%8A&amp;ie=utf-8&amp;src=internal_wenda_recommend_textn"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权益</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，取缔非法</w:t>
      </w:r>
      <w:r>
        <w:rPr>
          <w:color w:val="auto"/>
          <w:u w:val="none"/>
          <w:shd w:val="clear" w:color="auto" w:fill="auto"/>
        </w:rPr>
        <w:fldChar w:fldCharType="begin"/>
      </w:r>
      <w:r>
        <w:rPr>
          <w:color w:val="auto"/>
          <w:u w:val="none"/>
          <w:shd w:val="clear" w:color="auto" w:fill="auto"/>
        </w:rPr>
        <w:instrText xml:space="preserve"> HYPERLINK "http://www.so.com/s?q=%E7%BB%8F%E6%B5%8E%E6%B4%BB%E5%8A%A8&amp;ie=utf-8&amp;src=internal_wenda_recommend_textn"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经济活动</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，调解和处理</w:t>
      </w:r>
      <w:r>
        <w:rPr>
          <w:color w:val="auto"/>
          <w:u w:val="none"/>
          <w:shd w:val="clear" w:color="auto" w:fill="auto"/>
        </w:rPr>
        <w:fldChar w:fldCharType="begin"/>
      </w:r>
      <w:r>
        <w:rPr>
          <w:color w:val="auto"/>
          <w:u w:val="none"/>
          <w:shd w:val="clear" w:color="auto" w:fill="auto"/>
        </w:rPr>
        <w:instrText xml:space="preserve"> HYPERLINK "http://www.so.com/s?q=%E6%B0%91%E4%BA%8B%E7%BA%A0%E7%BA%B7&amp;ie=utf-8&amp;src=internal_wenda_recommend_textn"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民事纠纷</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，打击刑事犯罪维护社会稳定。</w:t>
      </w:r>
    </w:p>
    <w:p>
      <w:pPr>
        <w:spacing w:line="560" w:lineRule="exact"/>
        <w:ind w:left="10" w:leftChars="5" w:firstLine="480" w:firstLineChars="200"/>
        <w:rPr>
          <w:rFonts w:hint="eastAsia" w:ascii="微软雅黑" w:hAnsi="微软雅黑" w:eastAsia="微软雅黑"/>
          <w:color w:val="auto"/>
          <w:sz w:val="24"/>
          <w:szCs w:val="24"/>
          <w:shd w:val="clear" w:color="auto" w:fill="auto"/>
          <w:lang w:eastAsia="zh-CN"/>
        </w:rPr>
      </w:pPr>
      <w:r>
        <w:rPr>
          <w:rFonts w:hint="eastAsia" w:ascii="微软雅黑" w:hAnsi="微软雅黑" w:eastAsia="微软雅黑"/>
          <w:color w:val="auto"/>
          <w:sz w:val="24"/>
          <w:szCs w:val="24"/>
          <w:u w:val="none"/>
          <w:shd w:val="clear" w:color="auto" w:fill="auto"/>
        </w:rPr>
        <w:t xml:space="preserve">   4、按计划组织</w:t>
      </w:r>
      <w:r>
        <w:rPr>
          <w:color w:val="auto"/>
          <w:u w:val="none"/>
          <w:shd w:val="clear" w:color="auto" w:fill="auto"/>
        </w:rPr>
        <w:fldChar w:fldCharType="begin"/>
      </w:r>
      <w:r>
        <w:rPr>
          <w:color w:val="auto"/>
          <w:u w:val="none"/>
          <w:shd w:val="clear" w:color="auto" w:fill="auto"/>
        </w:rPr>
        <w:instrText xml:space="preserve"> HYPERLINK "http://www.so.com/s?q=%E6%9C%AC%E7%BA%A7%E8%B4%A2%E6%94%BF%E6%94%B6%E5%85%A5&amp;ie=utf-8&amp;src=internal_wenda_recommend_textn"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本级财政收入</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和地方税的征收，完成</w:t>
      </w:r>
      <w:r>
        <w:rPr>
          <w:color w:val="auto"/>
          <w:u w:val="none"/>
          <w:shd w:val="clear" w:color="auto" w:fill="auto"/>
        </w:rPr>
        <w:fldChar w:fldCharType="begin"/>
      </w:r>
      <w:r>
        <w:rPr>
          <w:color w:val="auto"/>
          <w:u w:val="none"/>
          <w:shd w:val="clear" w:color="auto" w:fill="auto"/>
        </w:rPr>
        <w:instrText xml:space="preserve"> HYPERLINK "http://www.so.com/s?q=%E5%9B%BD%E5%AE%B6%E8%B4%A2%E6%94%BF&amp;ie=utf-8&amp;src=internal_wenda_recommend_textn"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国家财政</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计划，不断培植</w:t>
      </w:r>
      <w:r>
        <w:rPr>
          <w:color w:val="auto"/>
          <w:u w:val="none"/>
          <w:shd w:val="clear" w:color="auto" w:fill="auto"/>
        </w:rPr>
        <w:fldChar w:fldCharType="begin"/>
      </w:r>
      <w:r>
        <w:rPr>
          <w:color w:val="auto"/>
          <w:u w:val="none"/>
          <w:shd w:val="clear" w:color="auto" w:fill="auto"/>
        </w:rPr>
        <w:instrText xml:space="preserve"> HYPERLINK "http://www.so.com/s?q=%E7%A8%8E%E6%BA%90&amp;ie=utf-8&amp;src=internal_wenda_recommend_textn"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税源</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，管好</w:t>
      </w:r>
      <w:r>
        <w:rPr>
          <w:color w:val="auto"/>
          <w:u w:val="none"/>
          <w:shd w:val="clear" w:color="auto" w:fill="auto"/>
        </w:rPr>
        <w:fldChar w:fldCharType="begin"/>
      </w:r>
      <w:r>
        <w:rPr>
          <w:color w:val="auto"/>
          <w:u w:val="none"/>
          <w:shd w:val="clear" w:color="auto" w:fill="auto"/>
        </w:rPr>
        <w:instrText xml:space="preserve"> HYPERLINK "http://www.so.com/s?q=%E8%B4%A2%E6%94%BF%E8%B5%84%E9%87%91&amp;ie=utf-8&amp;src=internal_wenda_recommend_textn"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财政资金</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，增强财政实</w:t>
      </w:r>
      <w:r>
        <w:rPr>
          <w:rFonts w:hint="eastAsia" w:ascii="微软雅黑" w:hAnsi="微软雅黑" w:eastAsia="微软雅黑"/>
          <w:color w:val="auto"/>
          <w:sz w:val="24"/>
          <w:szCs w:val="24"/>
          <w:shd w:val="clear" w:color="auto" w:fill="auto"/>
        </w:rPr>
        <w:t>力。</w:t>
      </w:r>
    </w:p>
    <w:p>
      <w:pPr>
        <w:spacing w:line="560" w:lineRule="exact"/>
        <w:ind w:left="10" w:leftChars="5" w:firstLine="480" w:firstLineChars="200"/>
        <w:rPr>
          <w:rFonts w:hint="eastAsia" w:ascii="微软雅黑" w:hAnsi="微软雅黑" w:eastAsia="微软雅黑"/>
          <w:color w:val="auto"/>
          <w:sz w:val="24"/>
          <w:szCs w:val="24"/>
          <w:shd w:val="clear" w:color="auto" w:fill="auto"/>
          <w:lang w:eastAsia="zh-CN"/>
        </w:rPr>
      </w:pPr>
      <w:r>
        <w:rPr>
          <w:rFonts w:hint="eastAsia" w:ascii="微软雅黑" w:hAnsi="微软雅黑" w:eastAsia="微软雅黑"/>
          <w:color w:val="auto"/>
          <w:sz w:val="24"/>
          <w:szCs w:val="24"/>
          <w:shd w:val="clear" w:color="auto" w:fill="auto"/>
        </w:rPr>
        <w:t xml:space="preserve">   5、抓好</w:t>
      </w:r>
      <w:r>
        <w:rPr>
          <w:color w:val="auto"/>
          <w:u w:val="none"/>
          <w:shd w:val="clear" w:color="auto" w:fill="auto"/>
        </w:rPr>
        <w:fldChar w:fldCharType="begin"/>
      </w:r>
      <w:r>
        <w:rPr>
          <w:color w:val="auto"/>
          <w:u w:val="none"/>
          <w:shd w:val="clear" w:color="auto" w:fill="auto"/>
        </w:rPr>
        <w:instrText xml:space="preserve"> HYPERLINK "http://www.so.com/s?q=%E7%B2%BE%E7%A5%9E%E6%96%87%E6%98%8E%E5%BB%BA%E8%AE%BE&amp;ie=utf-8&amp;src=internal_wenda_recommend_textn"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精神文明建设</w:t>
      </w:r>
      <w:r>
        <w:rPr>
          <w:color w:val="auto"/>
          <w:u w:val="none"/>
          <w:shd w:val="clear" w:color="auto" w:fill="auto"/>
        </w:rPr>
        <w:fldChar w:fldCharType="end"/>
      </w:r>
      <w:r>
        <w:rPr>
          <w:rFonts w:hint="eastAsia" w:ascii="微软雅黑" w:hAnsi="微软雅黑" w:eastAsia="微软雅黑"/>
          <w:color w:val="auto"/>
          <w:sz w:val="24"/>
          <w:szCs w:val="24"/>
          <w:shd w:val="clear" w:color="auto" w:fill="auto"/>
        </w:rPr>
        <w:t>，丰富</w:t>
      </w:r>
      <w:r>
        <w:rPr>
          <w:color w:val="auto"/>
          <w:u w:val="none"/>
          <w:shd w:val="clear" w:color="auto" w:fill="auto"/>
        </w:rPr>
        <w:fldChar w:fldCharType="begin"/>
      </w:r>
      <w:r>
        <w:rPr>
          <w:color w:val="auto"/>
          <w:u w:val="none"/>
          <w:shd w:val="clear" w:color="auto" w:fill="auto"/>
        </w:rPr>
        <w:instrText xml:space="preserve"> HYPERLINK "http://www.so.com/s?q=%E7%BE%A4%E4%BC%97%E6%96%87%E5%8C%96&amp;ie=utf-8&amp;src=internal_wenda_recommend_textn"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群众文化</w:t>
      </w:r>
      <w:r>
        <w:rPr>
          <w:color w:val="auto"/>
          <w:u w:val="none"/>
          <w:shd w:val="clear" w:color="auto" w:fill="auto"/>
        </w:rPr>
        <w:fldChar w:fldCharType="end"/>
      </w:r>
      <w:r>
        <w:rPr>
          <w:rFonts w:hint="eastAsia" w:ascii="微软雅黑" w:hAnsi="微软雅黑" w:eastAsia="微软雅黑"/>
          <w:color w:val="auto"/>
          <w:sz w:val="24"/>
          <w:szCs w:val="24"/>
          <w:shd w:val="clear" w:color="auto" w:fill="auto"/>
        </w:rPr>
        <w:t>生活，提倡移风易俗，反对封建迷信，破除陈规陋习，树立</w:t>
      </w:r>
      <w:r>
        <w:rPr>
          <w:color w:val="auto"/>
          <w:u w:val="none"/>
          <w:shd w:val="clear" w:color="auto" w:fill="auto"/>
        </w:rPr>
        <w:fldChar w:fldCharType="begin"/>
      </w:r>
      <w:r>
        <w:rPr>
          <w:color w:val="auto"/>
          <w:u w:val="none"/>
          <w:shd w:val="clear" w:color="auto" w:fill="auto"/>
        </w:rPr>
        <w:instrText xml:space="preserve"> HYPERLINK "http://www.so.com/s?q=%E7%A4%BE%E4%BC%9A%E4%B8%BB%E4%B9%89&amp;ie=utf-8&amp;src=internal_wenda_recommend_textn"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社会主义</w:t>
      </w:r>
      <w:r>
        <w:rPr>
          <w:color w:val="auto"/>
          <w:u w:val="none"/>
          <w:shd w:val="clear" w:color="auto" w:fill="auto"/>
        </w:rPr>
        <w:fldChar w:fldCharType="end"/>
      </w:r>
      <w:r>
        <w:rPr>
          <w:color w:val="auto"/>
          <w:u w:val="none"/>
          <w:shd w:val="clear" w:color="auto" w:fill="auto"/>
        </w:rPr>
        <w:fldChar w:fldCharType="begin"/>
      </w:r>
      <w:r>
        <w:rPr>
          <w:color w:val="auto"/>
          <w:u w:val="none"/>
          <w:shd w:val="clear" w:color="auto" w:fill="auto"/>
        </w:rPr>
        <w:instrText xml:space="preserve"> HYPERLINK "http://www.so.com/s?q=%E6%96%B0%E9%A3%8E%E5%B0%9A&amp;ie=utf-8&amp;src=internal_wenda_recommend_textn"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新风尚</w:t>
      </w:r>
      <w:r>
        <w:rPr>
          <w:color w:val="auto"/>
          <w:u w:val="none"/>
          <w:shd w:val="clear" w:color="auto" w:fill="auto"/>
        </w:rPr>
        <w:fldChar w:fldCharType="end"/>
      </w:r>
      <w:r>
        <w:rPr>
          <w:rFonts w:hint="eastAsia" w:ascii="微软雅黑" w:hAnsi="微软雅黑" w:eastAsia="微软雅黑"/>
          <w:color w:val="auto"/>
          <w:sz w:val="24"/>
          <w:szCs w:val="24"/>
          <w:shd w:val="clear" w:color="auto" w:fill="auto"/>
        </w:rPr>
        <w:t>。</w:t>
      </w:r>
    </w:p>
    <w:p>
      <w:pPr>
        <w:spacing w:line="560" w:lineRule="exact"/>
        <w:ind w:left="10" w:leftChars="5" w:firstLine="480" w:firstLineChars="200"/>
        <w:rPr>
          <w:rFonts w:hint="eastAsia" w:ascii="微软雅黑" w:hAnsi="微软雅黑" w:eastAsia="微软雅黑"/>
          <w:color w:val="auto"/>
          <w:sz w:val="24"/>
          <w:szCs w:val="24"/>
          <w:u w:val="none"/>
          <w:shd w:val="clear" w:color="auto" w:fill="auto"/>
        </w:rPr>
      </w:pPr>
      <w:r>
        <w:rPr>
          <w:rFonts w:hint="eastAsia" w:ascii="微软雅黑" w:hAnsi="微软雅黑" w:eastAsia="微软雅黑"/>
          <w:color w:val="auto"/>
          <w:sz w:val="24"/>
          <w:szCs w:val="24"/>
          <w:shd w:val="clear" w:color="auto" w:fill="auto"/>
        </w:rPr>
        <w:t xml:space="preserve">   6、完成</w:t>
      </w:r>
      <w:r>
        <w:rPr>
          <w:color w:val="auto"/>
          <w:u w:val="none"/>
          <w:shd w:val="clear" w:color="auto" w:fill="auto"/>
        </w:rPr>
        <w:fldChar w:fldCharType="begin"/>
      </w:r>
      <w:r>
        <w:rPr>
          <w:color w:val="auto"/>
          <w:u w:val="none"/>
          <w:shd w:val="clear" w:color="auto" w:fill="auto"/>
        </w:rPr>
        <w:instrText xml:space="preserve"> HYPERLINK "http://www.so.com/s?q=%E4%B8%8A%E7%BA%A7&amp;ie=utf-8&amp;src=internal_wenda_recommend_textn"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上级</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政府交办的其它</w:t>
      </w:r>
      <w:r>
        <w:rPr>
          <w:color w:val="auto"/>
          <w:u w:val="none"/>
          <w:shd w:val="clear" w:color="auto" w:fill="auto"/>
        </w:rPr>
        <w:fldChar w:fldCharType="begin"/>
      </w:r>
      <w:r>
        <w:rPr>
          <w:color w:val="auto"/>
          <w:u w:val="none"/>
          <w:shd w:val="clear" w:color="auto" w:fill="auto"/>
        </w:rPr>
        <w:instrText xml:space="preserve"> HYPERLINK "http://www.so.com/s?q=%E4%BA%8B%E9%A1%B9&amp;ie=utf-8&amp;src=internal_wenda_recommend_textn" </w:instrText>
      </w:r>
      <w:r>
        <w:rPr>
          <w:color w:val="auto"/>
          <w:u w:val="none"/>
          <w:shd w:val="clear" w:color="auto" w:fill="auto"/>
        </w:rPr>
        <w:fldChar w:fldCharType="separate"/>
      </w:r>
      <w:r>
        <w:rPr>
          <w:rStyle w:val="6"/>
          <w:rFonts w:hint="eastAsia" w:ascii="微软雅黑" w:hAnsi="微软雅黑" w:eastAsia="微软雅黑"/>
          <w:color w:val="auto"/>
          <w:sz w:val="24"/>
          <w:szCs w:val="24"/>
          <w:u w:val="none"/>
          <w:shd w:val="clear" w:color="auto" w:fill="auto"/>
        </w:rPr>
        <w:t>事项</w:t>
      </w:r>
      <w:r>
        <w:rPr>
          <w:color w:val="auto"/>
          <w:u w:val="none"/>
          <w:shd w:val="clear" w:color="auto" w:fill="auto"/>
        </w:rPr>
        <w:fldChar w:fldCharType="end"/>
      </w:r>
      <w:r>
        <w:rPr>
          <w:rFonts w:hint="eastAsia" w:ascii="微软雅黑" w:hAnsi="微软雅黑" w:eastAsia="微软雅黑"/>
          <w:color w:val="auto"/>
          <w:sz w:val="24"/>
          <w:szCs w:val="24"/>
          <w:u w:val="none"/>
          <w:shd w:val="clear" w:color="auto" w:fill="auto"/>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二、部门基本情况</w:t>
      </w:r>
    </w:p>
    <w:p>
      <w:pPr>
        <w:ind w:firstLine="640" w:firstLineChars="200"/>
        <w:rPr>
          <w:rFonts w:ascii="仿宋" w:hAnsi="仿宋" w:eastAsia="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b w:val="0"/>
          <w:bCs w:val="0"/>
          <w:color w:val="auto"/>
          <w:sz w:val="32"/>
          <w:szCs w:val="32"/>
          <w:lang w:val="en-US" w:eastAsia="zh-CN"/>
        </w:rPr>
        <w:t>梅窖镇人民政府</w:t>
      </w:r>
      <w:r>
        <w:rPr>
          <w:rFonts w:hint="eastAsia" w:ascii="仿宋" w:hAnsi="仿宋" w:eastAsia="仿宋"/>
          <w:color w:val="auto"/>
          <w:sz w:val="32"/>
          <w:szCs w:val="32"/>
        </w:rPr>
        <w:t>部门共有预算单位</w:t>
      </w:r>
      <w:r>
        <w:rPr>
          <w:rFonts w:hint="eastAsia" w:ascii="仿宋" w:hAnsi="仿宋" w:eastAsia="仿宋" w:cs="Times New Roman"/>
          <w:color w:val="auto"/>
          <w:kern w:val="0"/>
          <w:sz w:val="32"/>
          <w:szCs w:val="32"/>
          <w:lang w:val="en-US" w:eastAsia="zh-CN"/>
        </w:rPr>
        <w:t>1</w:t>
      </w:r>
      <w:r>
        <w:rPr>
          <w:rFonts w:ascii="仿宋" w:hAnsi="仿宋" w:eastAsia="仿宋"/>
          <w:color w:val="auto"/>
          <w:sz w:val="32"/>
          <w:szCs w:val="32"/>
        </w:rPr>
        <w:t>个</w:t>
      </w:r>
      <w:r>
        <w:rPr>
          <w:rFonts w:hint="eastAsia" w:ascii="仿宋" w:hAnsi="仿宋" w:eastAsia="仿宋"/>
          <w:color w:val="auto"/>
          <w:sz w:val="32"/>
          <w:szCs w:val="32"/>
        </w:rPr>
        <w:t>。</w:t>
      </w:r>
    </w:p>
    <w:p>
      <w:pPr>
        <w:ind w:firstLine="640" w:firstLineChars="200"/>
        <w:rPr>
          <w:rFonts w:hint="eastAsia" w:ascii="仿宋" w:hAnsi="仿宋" w:eastAsia="仿宋" w:cs="仿宋"/>
          <w:color w:val="auto"/>
          <w:sz w:val="24"/>
          <w:szCs w:val="24"/>
          <w:lang w:eastAsia="zh-CN"/>
        </w:rPr>
      </w:pP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s="Times New Roman"/>
          <w:color w:val="auto"/>
          <w:kern w:val="0"/>
          <w:sz w:val="32"/>
          <w:szCs w:val="32"/>
          <w:lang w:val="en-US" w:eastAsia="zh-CN"/>
        </w:rPr>
        <w:t>53</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lang w:val="en-US" w:eastAsia="zh-CN"/>
        </w:rPr>
        <w:t>24</w:t>
      </w:r>
      <w:r>
        <w:rPr>
          <w:rFonts w:ascii="仿宋" w:hAnsi="仿宋" w:eastAsia="仿宋"/>
          <w:color w:val="auto"/>
          <w:sz w:val="32"/>
          <w:szCs w:val="32"/>
        </w:rPr>
        <w:t>人,参照公务员管理的事业编制人数</w:t>
      </w:r>
      <w:r>
        <w:rPr>
          <w:rFonts w:hint="eastAsia" w:ascii="仿宋" w:hAnsi="仿宋" w:eastAsia="仿宋" w:cs="Times New Roman"/>
          <w:color w:val="auto"/>
          <w:kern w:val="0"/>
          <w:sz w:val="32"/>
          <w:szCs w:val="32"/>
          <w:lang w:val="en-US" w:eastAsia="zh-CN"/>
        </w:rPr>
        <w:t>29</w:t>
      </w:r>
      <w:r>
        <w:rPr>
          <w:rFonts w:ascii="仿宋" w:hAnsi="仿宋" w:eastAsia="仿宋"/>
          <w:color w:val="auto"/>
          <w:sz w:val="32"/>
          <w:szCs w:val="32"/>
        </w:rPr>
        <w:t>人,全部补助事业编制人数</w:t>
      </w:r>
      <w:r>
        <w:rPr>
          <w:rFonts w:ascii="仿宋" w:hAnsi="仿宋" w:eastAsia="仿宋" w:cs="Times New Roman"/>
          <w:color w:val="auto"/>
          <w:kern w:val="0"/>
          <w:sz w:val="32"/>
          <w:szCs w:val="32"/>
        </w:rPr>
        <w:t>____</w:t>
      </w:r>
      <w:r>
        <w:rPr>
          <w:rFonts w:ascii="仿宋" w:hAnsi="仿宋" w:eastAsia="仿宋"/>
          <w:color w:val="auto"/>
          <w:sz w:val="32"/>
          <w:szCs w:val="32"/>
        </w:rPr>
        <w:t>人,自收自支编制人数</w:t>
      </w:r>
      <w:r>
        <w:rPr>
          <w:rFonts w:ascii="仿宋" w:hAnsi="仿宋" w:eastAsia="仿宋" w:cs="Times New Roman"/>
          <w:color w:val="auto"/>
          <w:kern w:val="0"/>
          <w:sz w:val="32"/>
          <w:szCs w:val="32"/>
        </w:rPr>
        <w:t>____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s="Times New Roman"/>
          <w:color w:val="auto"/>
          <w:kern w:val="0"/>
          <w:sz w:val="32"/>
          <w:szCs w:val="32"/>
          <w:lang w:val="en-US" w:eastAsia="zh-CN"/>
        </w:rPr>
        <w:t>45</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45</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22</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23</w:t>
      </w:r>
      <w:r>
        <w:rPr>
          <w:rFonts w:ascii="仿宋" w:hAnsi="仿宋" w:eastAsia="仿宋"/>
          <w:color w:val="auto"/>
          <w:sz w:val="32"/>
          <w:szCs w:val="32"/>
        </w:rPr>
        <w:t>人,全部补助事业在职人数</w:t>
      </w:r>
      <w:r>
        <w:rPr>
          <w:rFonts w:ascii="仿宋" w:hAnsi="仿宋" w:eastAsia="仿宋" w:cs="Times New Roman"/>
          <w:color w:val="auto"/>
          <w:kern w:val="0"/>
          <w:sz w:val="32"/>
          <w:szCs w:val="32"/>
        </w:rPr>
        <w:t>____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ascii="仿宋" w:hAnsi="仿宋" w:eastAsia="仿宋" w:cs="Times New Roman"/>
          <w:color w:val="auto"/>
          <w:kern w:val="0"/>
          <w:sz w:val="32"/>
          <w:szCs w:val="32"/>
        </w:rPr>
        <w:t>____</w:t>
      </w:r>
      <w:r>
        <w:rPr>
          <w:rFonts w:ascii="仿宋" w:hAnsi="仿宋" w:eastAsia="仿宋"/>
          <w:color w:val="auto"/>
          <w:sz w:val="32"/>
          <w:szCs w:val="32"/>
        </w:rPr>
        <w:t>人,退休人数小计</w:t>
      </w:r>
      <w:r>
        <w:rPr>
          <w:rFonts w:hint="eastAsia" w:ascii="仿宋" w:hAnsi="仿宋" w:eastAsia="仿宋" w:cs="Times New Roman"/>
          <w:color w:val="auto"/>
          <w:kern w:val="0"/>
          <w:sz w:val="32"/>
          <w:szCs w:val="32"/>
          <w:lang w:val="en-US" w:eastAsia="zh-CN"/>
        </w:rPr>
        <w:t>10</w:t>
      </w:r>
      <w:r>
        <w:rPr>
          <w:rFonts w:ascii="仿宋" w:hAnsi="仿宋" w:eastAsia="仿宋"/>
          <w:color w:val="auto"/>
          <w:sz w:val="32"/>
          <w:szCs w:val="32"/>
        </w:rPr>
        <w:t>人,退职人员</w:t>
      </w:r>
      <w:r>
        <w:rPr>
          <w:rFonts w:ascii="仿宋" w:hAnsi="仿宋" w:eastAsia="仿宋" w:cs="Times New Roman"/>
          <w:color w:val="auto"/>
          <w:kern w:val="0"/>
          <w:sz w:val="32"/>
          <w:szCs w:val="32"/>
        </w:rPr>
        <w:t>____</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4</w:t>
      </w:r>
      <w:r>
        <w:rPr>
          <w:rFonts w:ascii="仿宋" w:hAnsi="仿宋" w:eastAsia="仿宋"/>
          <w:color w:val="auto"/>
          <w:sz w:val="32"/>
          <w:szCs w:val="32"/>
        </w:rPr>
        <w:t>人。</w:t>
      </w:r>
      <w:r>
        <w:rPr>
          <w:color w:val="auto"/>
        </w:rPr>
        <w:fldChar w:fldCharType="end"/>
      </w:r>
    </w:p>
    <w:p>
      <w:pPr>
        <w:spacing w:line="560" w:lineRule="exact"/>
        <w:rPr>
          <w:rFonts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 xml:space="preserve">第二部分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梅窖镇人民政府</w:t>
      </w:r>
      <w:r>
        <w:rPr>
          <w:rFonts w:hint="eastAsia" w:ascii="黑体" w:hAnsi="黑体" w:eastAsia="黑体" w:cs="黑体"/>
          <w:b w:val="0"/>
          <w:bCs w:val="0"/>
          <w:color w:val="auto"/>
          <w:sz w:val="32"/>
          <w:szCs w:val="32"/>
        </w:rPr>
        <w:t>部门预算情况说明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年部门预算收支情况说明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1865.31</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1682.13</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val="en-US" w:eastAsia="zh-CN"/>
        </w:rPr>
        <w:t>47.42%</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增减变化主要原因是：按要求压减商品和服务支出。</w:t>
      </w:r>
    </w:p>
    <w:p>
      <w:pPr>
        <w:spacing w:line="560" w:lineRule="exact"/>
        <w:ind w:firstLine="600" w:firstLineChars="200"/>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rPr>
        <w:t>具体为：</w:t>
      </w:r>
      <w:r>
        <w:rPr>
          <w:rFonts w:hint="default" w:ascii="华文仿宋" w:hAnsi="华文仿宋" w:eastAsia="华文仿宋" w:cs="华文仿宋"/>
          <w:i w:val="0"/>
          <w:iCs w:val="0"/>
          <w:caps w:val="0"/>
          <w:color w:val="auto"/>
          <w:spacing w:val="0"/>
          <w:kern w:val="0"/>
          <w:sz w:val="30"/>
          <w:szCs w:val="30"/>
          <w:shd w:val="clear" w:fill="FFFFFF"/>
          <w:lang w:val="en-US" w:eastAsia="zh-CN" w:bidi="ar"/>
        </w:rPr>
        <w:t>202</w:t>
      </w:r>
      <w:r>
        <w:rPr>
          <w:rFonts w:hint="eastAsia" w:ascii="华文仿宋" w:hAnsi="华文仿宋" w:eastAsia="华文仿宋" w:cs="华文仿宋"/>
          <w:i w:val="0"/>
          <w:iCs w:val="0"/>
          <w:caps w:val="0"/>
          <w:color w:val="auto"/>
          <w:spacing w:val="0"/>
          <w:kern w:val="0"/>
          <w:sz w:val="30"/>
          <w:szCs w:val="30"/>
          <w:shd w:val="clear" w:fill="FFFFFF"/>
          <w:lang w:val="en-US" w:eastAsia="zh-CN" w:bidi="ar"/>
        </w:rPr>
        <w:t>3</w:t>
      </w:r>
      <w:r>
        <w:rPr>
          <w:rFonts w:hint="eastAsia" w:ascii="宋体" w:hAnsi="宋体" w:eastAsia="宋体" w:cs="宋体"/>
          <w:i w:val="0"/>
          <w:iCs w:val="0"/>
          <w:caps w:val="0"/>
          <w:color w:val="auto"/>
          <w:spacing w:val="0"/>
          <w:kern w:val="0"/>
          <w:sz w:val="30"/>
          <w:szCs w:val="30"/>
          <w:shd w:val="clear" w:fill="FFFFFF"/>
          <w:lang w:val="en-US" w:eastAsia="zh-CN" w:bidi="ar"/>
        </w:rPr>
        <w:t>年一般公共预算财政拨款收入</w:t>
      </w:r>
      <w:r>
        <w:rPr>
          <w:rFonts w:hint="eastAsia" w:ascii="宋体" w:hAnsi="宋体" w:cs="宋体"/>
          <w:i w:val="0"/>
          <w:iCs w:val="0"/>
          <w:caps w:val="0"/>
          <w:color w:val="auto"/>
          <w:spacing w:val="0"/>
          <w:kern w:val="0"/>
          <w:sz w:val="30"/>
          <w:szCs w:val="30"/>
          <w:shd w:val="clear" w:fill="FFFFFF"/>
          <w:lang w:val="en-US" w:eastAsia="zh-CN" w:bidi="ar"/>
        </w:rPr>
        <w:t>665.31万元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199.13</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减23%，</w:t>
      </w:r>
      <w:r>
        <w:rPr>
          <w:rFonts w:hint="eastAsia" w:ascii="仿宋" w:hAnsi="仿宋" w:eastAsia="仿宋" w:cs="仿宋"/>
          <w:color w:val="auto"/>
          <w:sz w:val="32"/>
          <w:szCs w:val="32"/>
          <w:lang w:eastAsia="zh-CN"/>
        </w:rPr>
        <w:t>减少了上年结转收入和非税收入预算，按要求压减商品和服务支出。</w:t>
      </w:r>
    </w:p>
    <w:p>
      <w:pPr>
        <w:spacing w:line="560" w:lineRule="exact"/>
        <w:ind w:firstLine="600" w:firstLineChars="200"/>
        <w:rPr>
          <w:rFonts w:hint="eastAsia" w:ascii="仿宋" w:hAnsi="仿宋" w:eastAsia="仿宋" w:cs="仿宋"/>
          <w:color w:val="auto"/>
          <w:sz w:val="30"/>
          <w:szCs w:val="30"/>
          <w:lang w:eastAsia="zh-CN"/>
        </w:rPr>
      </w:pPr>
      <w:r>
        <w:rPr>
          <w:rFonts w:hint="eastAsia" w:ascii="宋体" w:hAnsi="宋体" w:eastAsia="宋体" w:cs="宋体"/>
          <w:i w:val="0"/>
          <w:iCs w:val="0"/>
          <w:caps w:val="0"/>
          <w:color w:val="auto"/>
          <w:spacing w:val="0"/>
          <w:kern w:val="0"/>
          <w:sz w:val="30"/>
          <w:szCs w:val="30"/>
          <w:shd w:val="clear" w:fill="FFFFFF"/>
          <w:lang w:val="en-US" w:eastAsia="zh-CN" w:bidi="ar"/>
        </w:rPr>
        <w:t>其他收入</w:t>
      </w:r>
      <w:r>
        <w:rPr>
          <w:rFonts w:hint="eastAsia" w:ascii="华文仿宋" w:hAnsi="华文仿宋" w:eastAsia="华文仿宋" w:cs="华文仿宋"/>
          <w:i w:val="0"/>
          <w:iCs w:val="0"/>
          <w:caps w:val="0"/>
          <w:color w:val="auto"/>
          <w:spacing w:val="0"/>
          <w:kern w:val="0"/>
          <w:sz w:val="30"/>
          <w:szCs w:val="30"/>
          <w:shd w:val="clear" w:fill="FFFFFF"/>
          <w:lang w:val="en-US" w:eastAsia="zh-CN" w:bidi="ar"/>
        </w:rPr>
        <w:t>1200</w:t>
      </w:r>
      <w:r>
        <w:rPr>
          <w:rFonts w:hint="eastAsia" w:ascii="宋体" w:hAnsi="宋体" w:eastAsia="宋体" w:cs="宋体"/>
          <w:i w:val="0"/>
          <w:iCs w:val="0"/>
          <w:caps w:val="0"/>
          <w:color w:val="auto"/>
          <w:spacing w:val="0"/>
          <w:kern w:val="0"/>
          <w:sz w:val="30"/>
          <w:szCs w:val="30"/>
          <w:shd w:val="clear" w:fill="FFFFFF"/>
          <w:lang w:val="en-US" w:eastAsia="zh-CN" w:bidi="ar"/>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16.19</w:t>
      </w:r>
      <w:r>
        <w:rPr>
          <w:rFonts w:hint="eastAsia" w:ascii="仿宋" w:hAnsi="仿宋" w:eastAsia="仿宋" w:cs="仿宋"/>
          <w:color w:val="auto"/>
          <w:sz w:val="32"/>
          <w:szCs w:val="32"/>
          <w:lang w:eastAsia="zh-CN"/>
        </w:rPr>
        <w:t>万元。占财政预算总额的</w:t>
      </w:r>
      <w:r>
        <w:rPr>
          <w:rFonts w:hint="eastAsia" w:ascii="仿宋" w:hAnsi="仿宋" w:eastAsia="仿宋" w:cs="仿宋"/>
          <w:color w:val="auto"/>
          <w:sz w:val="32"/>
          <w:szCs w:val="32"/>
          <w:lang w:val="en-US" w:eastAsia="zh-CN"/>
        </w:rPr>
        <w:t>64.33%；</w:t>
      </w:r>
      <w:r>
        <w:rPr>
          <w:rFonts w:hint="eastAsia" w:ascii="仿宋" w:hAnsi="仿宋" w:eastAsia="仿宋" w:cs="仿宋"/>
          <w:color w:val="auto"/>
          <w:sz w:val="32"/>
          <w:szCs w:val="32"/>
          <w:lang w:eastAsia="zh-CN"/>
        </w:rPr>
        <w:t>增减变化主要原因是根据上年实际支出数核定本年预算。</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lang w:val="en-US" w:eastAsia="zh-CN"/>
        </w:rPr>
        <w:t>支出</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1865.31</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1682.13</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val="en-US" w:eastAsia="zh-CN"/>
        </w:rPr>
        <w:t>47.42%</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增减变化主要原因是：按要求压减商品和服务支出。</w:t>
      </w:r>
    </w:p>
    <w:p>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具体为：</w:t>
      </w:r>
    </w:p>
    <w:p>
      <w:pPr>
        <w:spacing w:line="560" w:lineRule="exact"/>
        <w:ind w:firstLine="60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2"/>
          <w:szCs w:val="32"/>
          <w:lang w:val="en-US" w:eastAsia="zh-CN"/>
        </w:rPr>
        <w:t>665.31</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245.06</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484.6万元，</w:t>
      </w:r>
      <w:r>
        <w:rPr>
          <w:rFonts w:hint="eastAsia" w:ascii="仿宋" w:hAnsi="仿宋" w:eastAsia="仿宋" w:cs="仿宋"/>
          <w:color w:val="auto"/>
          <w:sz w:val="32"/>
          <w:szCs w:val="32"/>
          <w:lang w:eastAsia="zh-CN"/>
        </w:rPr>
        <w:t>占财政预算总额的</w:t>
      </w:r>
      <w:r>
        <w:rPr>
          <w:rFonts w:hint="eastAsia" w:ascii="仿宋" w:hAnsi="仿宋" w:eastAsia="仿宋" w:cs="仿宋"/>
          <w:color w:val="auto"/>
          <w:sz w:val="32"/>
          <w:szCs w:val="32"/>
          <w:lang w:val="en-US" w:eastAsia="zh-CN"/>
        </w:rPr>
        <w:t>26%；</w:t>
      </w:r>
      <w:r>
        <w:rPr>
          <w:rFonts w:hint="eastAsia" w:ascii="仿宋" w:hAnsi="仿宋" w:eastAsia="仿宋" w:cs="仿宋"/>
          <w:color w:val="auto"/>
          <w:sz w:val="30"/>
          <w:szCs w:val="30"/>
          <w:lang w:val="en-US" w:eastAsia="zh-CN"/>
        </w:rPr>
        <w:t>对个人和家庭补助支出3.12万元</w:t>
      </w:r>
      <w:r>
        <w:rPr>
          <w:rFonts w:hint="eastAsia" w:ascii="仿宋" w:hAnsi="仿宋" w:eastAsia="仿宋" w:cs="仿宋"/>
          <w:color w:val="auto"/>
          <w:sz w:val="32"/>
          <w:szCs w:val="32"/>
          <w:lang w:eastAsia="zh-CN"/>
        </w:rPr>
        <w:t>占财政预算总额的</w:t>
      </w:r>
      <w:r>
        <w:rPr>
          <w:rFonts w:hint="eastAsia" w:ascii="仿宋" w:hAnsi="仿宋" w:eastAsia="仿宋" w:cs="仿宋"/>
          <w:color w:val="auto"/>
          <w:sz w:val="32"/>
          <w:szCs w:val="32"/>
          <w:lang w:val="en-US" w:eastAsia="zh-CN"/>
        </w:rPr>
        <w:t>0.17%；</w:t>
      </w:r>
      <w:r>
        <w:rPr>
          <w:rFonts w:hint="eastAsia" w:ascii="仿宋" w:hAnsi="仿宋" w:eastAsia="仿宋" w:cs="仿宋"/>
          <w:color w:val="auto"/>
          <w:sz w:val="30"/>
          <w:szCs w:val="30"/>
          <w:lang w:val="en-US" w:eastAsia="zh-CN"/>
        </w:rPr>
        <w:t>；商品和服务性支出162.59万元</w:t>
      </w:r>
      <w:r>
        <w:rPr>
          <w:rFonts w:hint="eastAsia" w:ascii="仿宋" w:hAnsi="仿宋" w:eastAsia="仿宋" w:cs="仿宋"/>
          <w:color w:val="auto"/>
          <w:sz w:val="32"/>
          <w:szCs w:val="32"/>
          <w:lang w:eastAsia="zh-CN"/>
        </w:rPr>
        <w:t>占财政预算总额的</w:t>
      </w:r>
      <w:r>
        <w:rPr>
          <w:rFonts w:hint="eastAsia" w:ascii="仿宋" w:hAnsi="仿宋" w:eastAsia="仿宋" w:cs="仿宋"/>
          <w:color w:val="auto"/>
          <w:sz w:val="32"/>
          <w:szCs w:val="32"/>
          <w:lang w:val="en-US" w:eastAsia="zh-CN"/>
        </w:rPr>
        <w:t>8.72%；</w:t>
      </w:r>
      <w:r>
        <w:rPr>
          <w:rFonts w:hint="eastAsia" w:ascii="仿宋" w:hAnsi="仿宋" w:eastAsia="仿宋" w:cs="仿宋"/>
          <w:color w:val="auto"/>
          <w:sz w:val="30"/>
          <w:szCs w:val="30"/>
          <w:lang w:val="en-US" w:eastAsia="zh-CN"/>
        </w:rPr>
        <w:t>；资本性支出15万元。</w:t>
      </w:r>
      <w:r>
        <w:rPr>
          <w:rFonts w:hint="eastAsia" w:ascii="仿宋" w:hAnsi="仿宋" w:eastAsia="仿宋" w:cs="仿宋"/>
          <w:color w:val="auto"/>
          <w:sz w:val="32"/>
          <w:szCs w:val="32"/>
          <w:lang w:eastAsia="zh-CN"/>
        </w:rPr>
        <w:t>占财政预算总额的</w:t>
      </w:r>
      <w:r>
        <w:rPr>
          <w:rFonts w:hint="eastAsia" w:ascii="仿宋" w:hAnsi="仿宋" w:eastAsia="仿宋" w:cs="仿宋"/>
          <w:color w:val="auto"/>
          <w:sz w:val="32"/>
          <w:szCs w:val="32"/>
          <w:lang w:val="en-US" w:eastAsia="zh-CN"/>
        </w:rPr>
        <w:t>0.8%；</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1200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1437.39</w:t>
      </w:r>
      <w:r>
        <w:rPr>
          <w:rFonts w:hint="eastAsia" w:ascii="仿宋" w:hAnsi="仿宋" w:eastAsia="仿宋" w:cs="仿宋"/>
          <w:color w:val="auto"/>
          <w:sz w:val="32"/>
          <w:szCs w:val="32"/>
          <w:lang w:eastAsia="zh-CN"/>
        </w:rPr>
        <w:t>万元，占财政预算总额的</w:t>
      </w:r>
      <w:r>
        <w:rPr>
          <w:rFonts w:hint="eastAsia" w:ascii="仿宋" w:hAnsi="仿宋" w:eastAsia="仿宋" w:cs="仿宋"/>
          <w:color w:val="auto"/>
          <w:sz w:val="32"/>
          <w:szCs w:val="32"/>
          <w:lang w:val="en-US" w:eastAsia="zh-CN"/>
        </w:rPr>
        <w:t>64.33%；</w:t>
      </w:r>
    </w:p>
    <w:p>
      <w:pPr>
        <w:spacing w:line="560" w:lineRule="exact"/>
        <w:ind w:firstLine="60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0"/>
          <w:szCs w:val="30"/>
          <w:lang w:eastAsia="zh-CN"/>
        </w:rPr>
        <w:t>按支出功能分类科目划分：一般公共服务支出</w:t>
      </w:r>
      <w:r>
        <w:rPr>
          <w:rFonts w:hint="default" w:ascii="仿宋" w:hAnsi="仿宋" w:eastAsia="仿宋" w:cs="仿宋"/>
          <w:color w:val="auto"/>
          <w:sz w:val="32"/>
          <w:szCs w:val="32"/>
          <w:lang w:val="en-US" w:eastAsia="zh-CN"/>
        </w:rPr>
        <w:t>496.26</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default" w:ascii="仿宋" w:hAnsi="仿宋" w:eastAsia="仿宋" w:cs="仿宋"/>
          <w:color w:val="auto"/>
          <w:sz w:val="32"/>
          <w:szCs w:val="32"/>
          <w:lang w:val="en-US" w:eastAsia="zh-CN"/>
        </w:rPr>
        <w:t>356.43</w:t>
      </w:r>
      <w:r>
        <w:rPr>
          <w:rFonts w:hint="eastAsia" w:ascii="仿宋" w:hAnsi="仿宋" w:eastAsia="仿宋" w:cs="仿宋"/>
          <w:color w:val="auto"/>
          <w:sz w:val="32"/>
          <w:szCs w:val="32"/>
          <w:lang w:eastAsia="zh-CN"/>
        </w:rPr>
        <w:t>万元，占财政预算总额的</w:t>
      </w:r>
      <w:r>
        <w:rPr>
          <w:rFonts w:hint="default" w:ascii="仿宋" w:hAnsi="仿宋" w:eastAsia="仿宋" w:cs="仿宋"/>
          <w:color w:val="auto"/>
          <w:sz w:val="32"/>
          <w:szCs w:val="32"/>
          <w:lang w:val="en-US" w:eastAsia="zh-CN"/>
        </w:rPr>
        <w:t>26.6</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社会保障和就业支出</w:t>
      </w:r>
      <w:r>
        <w:rPr>
          <w:rFonts w:hint="default" w:ascii="仿宋" w:hAnsi="仿宋" w:eastAsia="仿宋" w:cs="仿宋"/>
          <w:color w:val="auto"/>
          <w:sz w:val="32"/>
          <w:szCs w:val="32"/>
          <w:lang w:val="en-US" w:eastAsia="zh-CN"/>
        </w:rPr>
        <w:t>68.02</w:t>
      </w:r>
      <w:r>
        <w:rPr>
          <w:rFonts w:hint="eastAsia" w:ascii="仿宋" w:hAnsi="仿宋" w:eastAsia="仿宋" w:cs="仿宋"/>
          <w:color w:val="auto"/>
          <w:sz w:val="32"/>
          <w:szCs w:val="32"/>
          <w:lang w:val="en-US" w:eastAsia="zh-CN"/>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default" w:ascii="仿宋" w:hAnsi="仿宋" w:eastAsia="仿宋" w:cs="仿宋"/>
          <w:color w:val="auto"/>
          <w:sz w:val="32"/>
          <w:szCs w:val="32"/>
          <w:lang w:val="en-US" w:eastAsia="zh-CN"/>
        </w:rPr>
        <w:t>19.35</w:t>
      </w:r>
      <w:r>
        <w:rPr>
          <w:rFonts w:hint="eastAsia" w:ascii="仿宋" w:hAnsi="仿宋" w:eastAsia="仿宋" w:cs="仿宋"/>
          <w:color w:val="auto"/>
          <w:sz w:val="32"/>
          <w:szCs w:val="32"/>
          <w:lang w:eastAsia="zh-CN"/>
        </w:rPr>
        <w:t>万元，占财政预算总额的</w:t>
      </w:r>
      <w:r>
        <w:rPr>
          <w:rFonts w:hint="default" w:ascii="仿宋" w:hAnsi="仿宋" w:eastAsia="仿宋" w:cs="仿宋"/>
          <w:color w:val="auto"/>
          <w:sz w:val="32"/>
          <w:szCs w:val="32"/>
          <w:lang w:val="en-US" w:eastAsia="zh-CN"/>
        </w:rPr>
        <w:t>3.65</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卫生健康支出</w:t>
      </w:r>
      <w:r>
        <w:rPr>
          <w:rFonts w:hint="default" w:ascii="仿宋" w:hAnsi="仿宋" w:eastAsia="仿宋" w:cs="仿宋"/>
          <w:color w:val="auto"/>
          <w:sz w:val="32"/>
          <w:szCs w:val="32"/>
          <w:lang w:val="en-US" w:eastAsia="zh-CN"/>
        </w:rPr>
        <w:t>45.54</w:t>
      </w:r>
      <w:r>
        <w:rPr>
          <w:rFonts w:hint="eastAsia" w:ascii="仿宋" w:hAnsi="仿宋" w:eastAsia="仿宋" w:cs="仿宋"/>
          <w:color w:val="auto"/>
          <w:sz w:val="32"/>
          <w:szCs w:val="32"/>
          <w:lang w:val="en-US" w:eastAsia="zh-CN"/>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default" w:ascii="仿宋" w:hAnsi="仿宋" w:eastAsia="仿宋" w:cs="仿宋"/>
          <w:color w:val="auto"/>
          <w:sz w:val="32"/>
          <w:szCs w:val="32"/>
          <w:lang w:val="en-US" w:eastAsia="zh-CN"/>
        </w:rPr>
        <w:t>13.05</w:t>
      </w:r>
      <w:r>
        <w:rPr>
          <w:rFonts w:hint="eastAsia" w:ascii="仿宋" w:hAnsi="仿宋" w:eastAsia="仿宋" w:cs="仿宋"/>
          <w:color w:val="auto"/>
          <w:sz w:val="32"/>
          <w:szCs w:val="32"/>
          <w:lang w:eastAsia="zh-CN"/>
        </w:rPr>
        <w:t>万元，占财政预算总额的</w:t>
      </w:r>
      <w:r>
        <w:rPr>
          <w:rFonts w:hint="default" w:ascii="仿宋" w:hAnsi="仿宋" w:eastAsia="仿宋" w:cs="仿宋"/>
          <w:color w:val="auto"/>
          <w:sz w:val="32"/>
          <w:szCs w:val="32"/>
          <w:lang w:val="en-US" w:eastAsia="zh-CN"/>
        </w:rPr>
        <w:t>2.44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住房保障支出</w:t>
      </w:r>
      <w:r>
        <w:rPr>
          <w:rFonts w:hint="default" w:ascii="仿宋" w:hAnsi="仿宋" w:eastAsia="仿宋" w:cs="仿宋"/>
          <w:color w:val="auto"/>
          <w:sz w:val="32"/>
          <w:szCs w:val="32"/>
          <w:lang w:val="en-US" w:eastAsia="zh-CN"/>
        </w:rPr>
        <w:t>55.5</w:t>
      </w:r>
      <w:r>
        <w:rPr>
          <w:rFonts w:hint="eastAsia" w:ascii="仿宋" w:hAnsi="仿宋" w:eastAsia="仿宋" w:cs="仿宋"/>
          <w:color w:val="auto"/>
          <w:sz w:val="32"/>
          <w:szCs w:val="32"/>
          <w:lang w:val="en-US" w:eastAsia="zh-CN"/>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default" w:ascii="仿宋" w:hAnsi="仿宋" w:eastAsia="仿宋" w:cs="仿宋"/>
          <w:color w:val="auto"/>
          <w:sz w:val="32"/>
          <w:szCs w:val="32"/>
          <w:lang w:val="en-US" w:eastAsia="zh-CN"/>
        </w:rPr>
        <w:t>16.19</w:t>
      </w:r>
      <w:r>
        <w:rPr>
          <w:rFonts w:hint="eastAsia" w:ascii="仿宋" w:hAnsi="仿宋" w:eastAsia="仿宋" w:cs="仿宋"/>
          <w:color w:val="auto"/>
          <w:sz w:val="32"/>
          <w:szCs w:val="32"/>
          <w:lang w:eastAsia="zh-CN"/>
        </w:rPr>
        <w:t>万元，占财政预算总额的</w:t>
      </w:r>
      <w:r>
        <w:rPr>
          <w:rFonts w:hint="default" w:ascii="仿宋" w:hAnsi="仿宋" w:eastAsia="仿宋" w:cs="仿宋"/>
          <w:color w:val="auto"/>
          <w:sz w:val="32"/>
          <w:szCs w:val="32"/>
          <w:lang w:val="en-US" w:eastAsia="zh-CN"/>
        </w:rPr>
        <w:t>29.76</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其他支出</w:t>
      </w:r>
      <w:r>
        <w:rPr>
          <w:rFonts w:hint="default" w:ascii="仿宋" w:hAnsi="仿宋" w:eastAsia="仿宋" w:cs="仿宋"/>
          <w:color w:val="auto"/>
          <w:sz w:val="32"/>
          <w:szCs w:val="32"/>
          <w:lang w:val="en-US" w:eastAsia="zh-CN"/>
        </w:rPr>
        <w:t>1200</w:t>
      </w:r>
      <w:r>
        <w:rPr>
          <w:rFonts w:hint="eastAsia" w:ascii="仿宋" w:hAnsi="仿宋" w:eastAsia="仿宋" w:cs="仿宋"/>
          <w:color w:val="auto"/>
          <w:sz w:val="32"/>
          <w:szCs w:val="32"/>
          <w:lang w:val="en-US" w:eastAsia="zh-CN"/>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w:t>
      </w:r>
      <w:r>
        <w:rPr>
          <w:rFonts w:hint="default" w:ascii="仿宋" w:hAnsi="仿宋" w:eastAsia="仿宋" w:cs="仿宋"/>
          <w:color w:val="auto"/>
          <w:sz w:val="32"/>
          <w:szCs w:val="32"/>
          <w:lang w:val="en-US" w:eastAsia="zh-CN"/>
        </w:rPr>
        <w:t>25.64</w:t>
      </w:r>
      <w:r>
        <w:rPr>
          <w:rFonts w:hint="eastAsia" w:ascii="仿宋" w:hAnsi="仿宋" w:eastAsia="仿宋" w:cs="仿宋"/>
          <w:color w:val="auto"/>
          <w:sz w:val="32"/>
          <w:szCs w:val="32"/>
          <w:lang w:eastAsia="zh-CN"/>
        </w:rPr>
        <w:t>万元。占财政预算总额的</w:t>
      </w:r>
      <w:r>
        <w:rPr>
          <w:rFonts w:hint="default" w:ascii="仿宋" w:hAnsi="仿宋" w:eastAsia="仿宋" w:cs="仿宋"/>
          <w:color w:val="auto"/>
          <w:sz w:val="32"/>
          <w:szCs w:val="32"/>
          <w:lang w:val="en-US" w:eastAsia="zh-CN"/>
        </w:rPr>
        <w:t>64.33</w:t>
      </w:r>
      <w:r>
        <w:rPr>
          <w:rFonts w:hint="eastAsia" w:ascii="仿宋" w:hAnsi="仿宋" w:eastAsia="仿宋" w:cs="仿宋"/>
          <w:color w:val="auto"/>
          <w:sz w:val="32"/>
          <w:szCs w:val="32"/>
          <w:lang w:val="en-US" w:eastAsia="zh-CN"/>
        </w:rPr>
        <w:t>%；</w:t>
      </w:r>
    </w:p>
    <w:p>
      <w:pPr>
        <w:spacing w:line="560" w:lineRule="exact"/>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（要求：根据《收支预算总表》按右侧项目分类说明金额及占预算总额比重）</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pStyle w:val="2"/>
        <w:ind w:firstLine="640" w:firstLineChars="200"/>
        <w:rPr>
          <w:rFonts w:hint="default"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财政拨款（补助）支出预算</w:t>
      </w:r>
      <w:r>
        <w:rPr>
          <w:rFonts w:hint="eastAsia" w:ascii="宋体" w:hAnsi="宋体" w:cs="宋体"/>
          <w:i w:val="0"/>
          <w:iCs w:val="0"/>
          <w:caps w:val="0"/>
          <w:color w:val="auto"/>
          <w:spacing w:val="0"/>
          <w:kern w:val="0"/>
          <w:sz w:val="30"/>
          <w:szCs w:val="30"/>
          <w:shd w:val="clear" w:fill="FFFFFF"/>
          <w:lang w:val="en-US" w:eastAsia="zh-CN" w:bidi="ar"/>
        </w:rPr>
        <w:t>665.31</w:t>
      </w:r>
      <w:r>
        <w:rPr>
          <w:rFonts w:hint="eastAsia" w:ascii="仿宋" w:hAnsi="仿宋" w:eastAsia="仿宋" w:cs="仿宋"/>
          <w:color w:val="auto"/>
          <w:sz w:val="30"/>
          <w:szCs w:val="30"/>
        </w:rPr>
        <w:t>万元，占</w:t>
      </w:r>
      <w:r>
        <w:rPr>
          <w:rFonts w:hint="eastAsia" w:ascii="仿宋" w:hAnsi="仿宋" w:eastAsia="仿宋" w:cs="仿宋"/>
          <w:color w:val="auto"/>
          <w:sz w:val="30"/>
          <w:szCs w:val="30"/>
          <w:lang w:eastAsia="zh-CN"/>
        </w:rPr>
        <w:t>本年</w:t>
      </w:r>
      <w:r>
        <w:rPr>
          <w:rFonts w:hint="eastAsia" w:ascii="仿宋" w:hAnsi="仿宋" w:eastAsia="仿宋" w:cs="仿宋"/>
          <w:color w:val="auto"/>
          <w:sz w:val="30"/>
          <w:szCs w:val="30"/>
        </w:rPr>
        <w:t>支出预算额的</w:t>
      </w:r>
      <w:r>
        <w:rPr>
          <w:rFonts w:hint="eastAsia" w:ascii="仿宋" w:hAnsi="仿宋" w:eastAsia="仿宋" w:cs="仿宋"/>
          <w:color w:val="auto"/>
          <w:sz w:val="32"/>
          <w:szCs w:val="32"/>
          <w:lang w:val="en-US" w:eastAsia="zh-CN"/>
        </w:rPr>
        <w:t>35.67</w:t>
      </w:r>
      <w:r>
        <w:rPr>
          <w:rFonts w:hint="eastAsia" w:ascii="仿宋" w:hAnsi="仿宋" w:eastAsia="仿宋" w:cs="仿宋"/>
          <w:color w:val="auto"/>
          <w:sz w:val="30"/>
          <w:szCs w:val="30"/>
        </w:rPr>
        <w:t>%，</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少245.06</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val="en-US" w:eastAsia="zh-CN"/>
        </w:rPr>
        <w:t>26.9%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增减变化主要原因是：减少了上年结转收入和非税收入预算，按要求压减商品和服务支出。</w:t>
      </w:r>
      <w:r>
        <w:rPr>
          <w:rFonts w:hint="eastAsia" w:ascii="仿宋" w:hAnsi="仿宋" w:eastAsia="仿宋" w:cs="仿宋"/>
          <w:color w:val="auto"/>
          <w:sz w:val="30"/>
          <w:szCs w:val="30"/>
        </w:rPr>
        <w:t>具体为：</w:t>
      </w:r>
      <w:r>
        <w:rPr>
          <w:rFonts w:hint="eastAsia" w:ascii="仿宋" w:hAnsi="仿宋" w:eastAsia="仿宋" w:cs="仿宋"/>
          <w:color w:val="auto"/>
          <w:sz w:val="30"/>
          <w:szCs w:val="30"/>
          <w:lang w:eastAsia="zh-CN"/>
        </w:rPr>
        <w:t>压减三公经费支出做到只减不增。公用经费比上年预算压减</w:t>
      </w:r>
      <w:r>
        <w:rPr>
          <w:rFonts w:hint="eastAsia" w:ascii="仿宋" w:hAnsi="仿宋" w:eastAsia="仿宋" w:cs="仿宋"/>
          <w:color w:val="auto"/>
          <w:sz w:val="30"/>
          <w:szCs w:val="30"/>
          <w:lang w:val="en-US" w:eastAsia="zh-CN"/>
        </w:rPr>
        <w:t>5%。</w:t>
      </w:r>
    </w:p>
    <w:p>
      <w:pPr>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按支出经济分类科目划分：基本支出</w:t>
      </w:r>
      <w:r>
        <w:rPr>
          <w:rFonts w:hint="eastAsia" w:ascii="宋体" w:hAnsi="宋体" w:cs="宋体"/>
          <w:i w:val="0"/>
          <w:iCs w:val="0"/>
          <w:caps w:val="0"/>
          <w:color w:val="auto"/>
          <w:spacing w:val="0"/>
          <w:kern w:val="0"/>
          <w:sz w:val="30"/>
          <w:szCs w:val="30"/>
          <w:shd w:val="clear" w:fill="FFFFFF"/>
          <w:lang w:val="en-US" w:eastAsia="zh-CN" w:bidi="ar"/>
        </w:rPr>
        <w:t>665.31</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245.06</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484.6</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lang w:eastAsia="zh-CN"/>
        </w:rPr>
        <w:t>占财政拨款总额的</w:t>
      </w:r>
      <w:r>
        <w:rPr>
          <w:rFonts w:hint="eastAsia" w:ascii="仿宋" w:hAnsi="仿宋" w:eastAsia="仿宋" w:cs="仿宋"/>
          <w:color w:val="auto"/>
          <w:sz w:val="32"/>
          <w:szCs w:val="32"/>
          <w:lang w:val="en-US" w:eastAsia="zh-CN"/>
        </w:rPr>
        <w:t>72.84%；</w:t>
      </w:r>
      <w:r>
        <w:rPr>
          <w:rFonts w:hint="eastAsia" w:ascii="仿宋" w:hAnsi="仿宋" w:eastAsia="仿宋" w:cs="仿宋"/>
          <w:color w:val="auto"/>
          <w:sz w:val="30"/>
          <w:szCs w:val="30"/>
          <w:lang w:eastAsia="zh-CN"/>
        </w:rPr>
        <w:t>对个人和家庭的补助支出</w:t>
      </w:r>
      <w:r>
        <w:rPr>
          <w:rFonts w:hint="eastAsia" w:ascii="仿宋" w:hAnsi="仿宋" w:eastAsia="仿宋" w:cs="仿宋"/>
          <w:color w:val="auto"/>
          <w:sz w:val="30"/>
          <w:szCs w:val="30"/>
          <w:lang w:val="en-US" w:eastAsia="zh-CN"/>
        </w:rPr>
        <w:t>3.12万元；</w:t>
      </w:r>
      <w:r>
        <w:rPr>
          <w:rFonts w:hint="eastAsia" w:ascii="仿宋" w:hAnsi="仿宋" w:eastAsia="仿宋" w:cs="仿宋"/>
          <w:color w:val="auto"/>
          <w:sz w:val="32"/>
          <w:szCs w:val="32"/>
          <w:lang w:eastAsia="zh-CN"/>
        </w:rPr>
        <w:t>占财政拨款总额的</w:t>
      </w:r>
      <w:r>
        <w:rPr>
          <w:rFonts w:hint="eastAsia" w:ascii="仿宋" w:hAnsi="仿宋" w:eastAsia="仿宋" w:cs="仿宋"/>
          <w:color w:val="auto"/>
          <w:sz w:val="32"/>
          <w:szCs w:val="32"/>
          <w:lang w:val="en-US" w:eastAsia="zh-CN"/>
        </w:rPr>
        <w:t>0.47%；</w:t>
      </w:r>
      <w:r>
        <w:rPr>
          <w:rFonts w:hint="eastAsia" w:ascii="仿宋" w:hAnsi="仿宋" w:eastAsia="仿宋" w:cs="仿宋"/>
          <w:color w:val="auto"/>
          <w:sz w:val="30"/>
          <w:szCs w:val="30"/>
          <w:lang w:val="en-US" w:eastAsia="zh-CN"/>
        </w:rPr>
        <w:t>商品和服务支出162.59万元；</w:t>
      </w:r>
      <w:r>
        <w:rPr>
          <w:rFonts w:hint="eastAsia" w:ascii="仿宋" w:hAnsi="仿宋" w:eastAsia="仿宋" w:cs="仿宋"/>
          <w:color w:val="auto"/>
          <w:sz w:val="32"/>
          <w:szCs w:val="32"/>
          <w:lang w:eastAsia="zh-CN"/>
        </w:rPr>
        <w:t>占财政拨款总额的</w:t>
      </w:r>
      <w:r>
        <w:rPr>
          <w:rFonts w:hint="eastAsia" w:ascii="仿宋" w:hAnsi="仿宋" w:eastAsia="仿宋" w:cs="仿宋"/>
          <w:color w:val="auto"/>
          <w:sz w:val="32"/>
          <w:szCs w:val="32"/>
          <w:lang w:val="en-US" w:eastAsia="zh-CN"/>
        </w:rPr>
        <w:t>24.44%；</w:t>
      </w:r>
      <w:r>
        <w:rPr>
          <w:rFonts w:hint="eastAsia" w:ascii="仿宋" w:hAnsi="仿宋" w:eastAsia="仿宋" w:cs="仿宋"/>
          <w:color w:val="auto"/>
          <w:sz w:val="30"/>
          <w:szCs w:val="30"/>
          <w:lang w:val="en-US" w:eastAsia="zh-CN"/>
        </w:rPr>
        <w:t>资本性支出15万元。</w:t>
      </w:r>
      <w:r>
        <w:rPr>
          <w:rFonts w:hint="eastAsia" w:ascii="仿宋" w:hAnsi="仿宋" w:eastAsia="仿宋" w:cs="仿宋"/>
          <w:color w:val="auto"/>
          <w:sz w:val="32"/>
          <w:szCs w:val="32"/>
          <w:lang w:eastAsia="zh-CN"/>
        </w:rPr>
        <w:t>占财政预算总额的</w:t>
      </w:r>
      <w:r>
        <w:rPr>
          <w:rFonts w:hint="eastAsia" w:ascii="仿宋" w:hAnsi="仿宋" w:eastAsia="仿宋" w:cs="仿宋"/>
          <w:color w:val="auto"/>
          <w:sz w:val="32"/>
          <w:szCs w:val="32"/>
          <w:lang w:val="en-US" w:eastAsia="zh-CN"/>
        </w:rPr>
        <w:t>2.25%；</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w:t>
      </w:r>
    </w:p>
    <w:p>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（要求：根据</w:t>
      </w:r>
      <w:r>
        <w:rPr>
          <w:rFonts w:hint="eastAsia" w:ascii="仿宋" w:hAnsi="仿宋" w:eastAsia="仿宋" w:cs="仿宋"/>
          <w:color w:val="auto"/>
          <w:sz w:val="24"/>
          <w:szCs w:val="24"/>
        </w:rPr>
        <w:t>《</w:t>
      </w:r>
      <w:r>
        <w:rPr>
          <w:rFonts w:hint="eastAsia" w:ascii="仿宋" w:hAnsi="仿宋" w:eastAsia="仿宋" w:cs="仿宋"/>
          <w:b w:val="0"/>
          <w:bCs w:val="0"/>
          <w:color w:val="auto"/>
          <w:sz w:val="24"/>
          <w:szCs w:val="24"/>
        </w:rPr>
        <w:t>财政拨款支出预算分科目明细表</w:t>
      </w:r>
      <w:r>
        <w:rPr>
          <w:rFonts w:hint="eastAsia" w:ascii="仿宋" w:hAnsi="仿宋" w:eastAsia="仿宋" w:cs="仿宋"/>
          <w:color w:val="auto"/>
          <w:sz w:val="24"/>
          <w:szCs w:val="24"/>
        </w:rPr>
        <w:t>》</w:t>
      </w:r>
      <w:r>
        <w:rPr>
          <w:rFonts w:hint="eastAsia" w:ascii="仿宋" w:hAnsi="仿宋" w:eastAsia="仿宋" w:cs="仿宋"/>
          <w:color w:val="auto"/>
          <w:sz w:val="24"/>
          <w:szCs w:val="24"/>
          <w:lang w:eastAsia="zh-CN"/>
        </w:rPr>
        <w:t>按项目经济分类科目说明</w:t>
      </w:r>
      <w:r>
        <w:rPr>
          <w:rFonts w:hint="eastAsia" w:ascii="仿宋" w:hAnsi="仿宋" w:eastAsia="仿宋" w:cs="仿宋"/>
          <w:color w:val="auto"/>
          <w:sz w:val="24"/>
          <w:szCs w:val="24"/>
        </w:rPr>
        <w:t>金额</w:t>
      </w:r>
      <w:r>
        <w:rPr>
          <w:rFonts w:hint="eastAsia" w:ascii="仿宋" w:hAnsi="仿宋" w:eastAsia="仿宋" w:cs="仿宋"/>
          <w:color w:val="auto"/>
          <w:sz w:val="24"/>
          <w:szCs w:val="24"/>
          <w:lang w:eastAsia="zh-CN"/>
        </w:rPr>
        <w:t>及占</w:t>
      </w:r>
      <w:r>
        <w:rPr>
          <w:rFonts w:hint="eastAsia" w:ascii="仿宋" w:hAnsi="仿宋" w:eastAsia="仿宋" w:cs="仿宋"/>
          <w:color w:val="auto"/>
          <w:sz w:val="24"/>
          <w:szCs w:val="24"/>
        </w:rPr>
        <w:t>财政拨款总额</w:t>
      </w:r>
      <w:r>
        <w:rPr>
          <w:rFonts w:hint="eastAsia" w:ascii="仿宋" w:hAnsi="仿宋" w:eastAsia="仿宋" w:cs="仿宋"/>
          <w:color w:val="auto"/>
          <w:sz w:val="24"/>
          <w:szCs w:val="24"/>
          <w:lang w:eastAsia="zh-CN"/>
        </w:rPr>
        <w:t>比重）</w:t>
      </w:r>
    </w:p>
    <w:p>
      <w:pPr>
        <w:spacing w:line="560" w:lineRule="exact"/>
        <w:ind w:firstLine="60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color w:val="auto"/>
          <w:sz w:val="32"/>
          <w:szCs w:val="32"/>
          <w:lang w:eastAsia="zh-CN"/>
        </w:rPr>
        <w:t>一般公共服务</w:t>
      </w:r>
      <w:r>
        <w:rPr>
          <w:rFonts w:hint="eastAsia" w:ascii="仿宋" w:hAnsi="仿宋" w:eastAsia="仿宋" w:cs="仿宋"/>
          <w:color w:val="auto"/>
          <w:sz w:val="30"/>
          <w:szCs w:val="30"/>
          <w:lang w:eastAsia="zh-CN"/>
        </w:rPr>
        <w:t>支出</w:t>
      </w:r>
      <w:r>
        <w:rPr>
          <w:rFonts w:hint="default" w:ascii="仿宋" w:hAnsi="仿宋" w:eastAsia="仿宋" w:cs="仿宋"/>
          <w:color w:val="auto"/>
          <w:sz w:val="32"/>
          <w:szCs w:val="32"/>
          <w:lang w:val="en-US" w:eastAsia="zh-CN"/>
        </w:rPr>
        <w:t>496.26</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default" w:ascii="仿宋" w:hAnsi="仿宋" w:eastAsia="仿宋" w:cs="仿宋"/>
          <w:color w:val="auto"/>
          <w:sz w:val="32"/>
          <w:szCs w:val="32"/>
          <w:lang w:val="en-US" w:eastAsia="zh-CN"/>
        </w:rPr>
        <w:t>356.43</w:t>
      </w:r>
      <w:r>
        <w:rPr>
          <w:rFonts w:hint="eastAsia" w:ascii="仿宋" w:hAnsi="仿宋" w:eastAsia="仿宋" w:cs="仿宋"/>
          <w:color w:val="auto"/>
          <w:sz w:val="32"/>
          <w:szCs w:val="32"/>
          <w:lang w:eastAsia="zh-CN"/>
        </w:rPr>
        <w:t>万元，占财政拨款总额的</w:t>
      </w:r>
      <w:r>
        <w:rPr>
          <w:rFonts w:hint="eastAsia" w:ascii="仿宋" w:hAnsi="仿宋" w:eastAsia="仿宋" w:cs="仿宋"/>
          <w:color w:val="auto"/>
          <w:sz w:val="32"/>
          <w:szCs w:val="32"/>
          <w:lang w:val="en-US" w:eastAsia="zh-CN"/>
        </w:rPr>
        <w:t>74.6%；</w:t>
      </w:r>
      <w:r>
        <w:rPr>
          <w:rFonts w:hint="eastAsia" w:ascii="仿宋" w:hAnsi="仿宋" w:eastAsia="仿宋" w:cs="仿宋"/>
          <w:color w:val="auto"/>
          <w:sz w:val="32"/>
          <w:szCs w:val="32"/>
          <w:lang w:eastAsia="zh-CN"/>
        </w:rPr>
        <w:t>社会保障和就业支出</w:t>
      </w:r>
      <w:r>
        <w:rPr>
          <w:rFonts w:hint="default" w:ascii="仿宋" w:hAnsi="仿宋" w:eastAsia="仿宋" w:cs="仿宋"/>
          <w:color w:val="auto"/>
          <w:sz w:val="32"/>
          <w:szCs w:val="32"/>
          <w:lang w:val="en-US" w:eastAsia="zh-CN"/>
        </w:rPr>
        <w:t>68.02</w:t>
      </w:r>
      <w:r>
        <w:rPr>
          <w:rFonts w:hint="eastAsia" w:ascii="仿宋" w:hAnsi="仿宋" w:eastAsia="仿宋" w:cs="仿宋"/>
          <w:color w:val="auto"/>
          <w:sz w:val="32"/>
          <w:szCs w:val="32"/>
          <w:lang w:val="en-US" w:eastAsia="zh-CN"/>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default" w:ascii="仿宋" w:hAnsi="仿宋" w:eastAsia="仿宋" w:cs="仿宋"/>
          <w:color w:val="auto"/>
          <w:sz w:val="32"/>
          <w:szCs w:val="32"/>
          <w:lang w:val="en-US" w:eastAsia="zh-CN"/>
        </w:rPr>
        <w:t>19.35</w:t>
      </w:r>
      <w:r>
        <w:rPr>
          <w:rFonts w:hint="eastAsia" w:ascii="仿宋" w:hAnsi="仿宋" w:eastAsia="仿宋" w:cs="仿宋"/>
          <w:color w:val="auto"/>
          <w:sz w:val="32"/>
          <w:szCs w:val="32"/>
          <w:lang w:eastAsia="zh-CN"/>
        </w:rPr>
        <w:t>万元，占财政拨款总额的</w:t>
      </w:r>
      <w:r>
        <w:rPr>
          <w:rFonts w:hint="eastAsia" w:ascii="仿宋" w:hAnsi="仿宋" w:eastAsia="仿宋" w:cs="仿宋"/>
          <w:color w:val="auto"/>
          <w:sz w:val="32"/>
          <w:szCs w:val="32"/>
          <w:lang w:val="en-US" w:eastAsia="zh-CN"/>
        </w:rPr>
        <w:t>10.22%；</w:t>
      </w:r>
      <w:r>
        <w:rPr>
          <w:rFonts w:hint="eastAsia" w:ascii="仿宋" w:hAnsi="仿宋" w:eastAsia="仿宋" w:cs="仿宋"/>
          <w:color w:val="auto"/>
          <w:sz w:val="32"/>
          <w:szCs w:val="32"/>
          <w:lang w:eastAsia="zh-CN"/>
        </w:rPr>
        <w:t>卫生健康支出</w:t>
      </w:r>
      <w:r>
        <w:rPr>
          <w:rFonts w:hint="default" w:ascii="仿宋" w:hAnsi="仿宋" w:eastAsia="仿宋" w:cs="仿宋"/>
          <w:color w:val="auto"/>
          <w:sz w:val="32"/>
          <w:szCs w:val="32"/>
          <w:lang w:val="en-US" w:eastAsia="zh-CN"/>
        </w:rPr>
        <w:t>45.54</w:t>
      </w:r>
      <w:r>
        <w:rPr>
          <w:rFonts w:hint="eastAsia" w:ascii="仿宋" w:hAnsi="仿宋" w:eastAsia="仿宋" w:cs="仿宋"/>
          <w:color w:val="auto"/>
          <w:sz w:val="32"/>
          <w:szCs w:val="32"/>
          <w:lang w:val="en-US" w:eastAsia="zh-CN"/>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default" w:ascii="仿宋" w:hAnsi="仿宋" w:eastAsia="仿宋" w:cs="仿宋"/>
          <w:color w:val="auto"/>
          <w:sz w:val="32"/>
          <w:szCs w:val="32"/>
          <w:lang w:val="en-US" w:eastAsia="zh-CN"/>
        </w:rPr>
        <w:t>13.05</w:t>
      </w:r>
      <w:r>
        <w:rPr>
          <w:rFonts w:hint="eastAsia" w:ascii="仿宋" w:hAnsi="仿宋" w:eastAsia="仿宋" w:cs="仿宋"/>
          <w:color w:val="auto"/>
          <w:sz w:val="32"/>
          <w:szCs w:val="32"/>
          <w:lang w:eastAsia="zh-CN"/>
        </w:rPr>
        <w:t>万元，占财政拨款总额的</w:t>
      </w:r>
      <w:r>
        <w:rPr>
          <w:rFonts w:hint="eastAsia" w:ascii="仿宋" w:hAnsi="仿宋" w:eastAsia="仿宋" w:cs="仿宋"/>
          <w:color w:val="auto"/>
          <w:sz w:val="32"/>
          <w:szCs w:val="32"/>
          <w:lang w:val="en-US" w:eastAsia="zh-CN"/>
        </w:rPr>
        <w:t>6.84%；</w:t>
      </w:r>
      <w:r>
        <w:rPr>
          <w:rFonts w:hint="eastAsia" w:ascii="仿宋" w:hAnsi="仿宋" w:eastAsia="仿宋" w:cs="仿宋"/>
          <w:color w:val="auto"/>
          <w:sz w:val="32"/>
          <w:szCs w:val="32"/>
          <w:lang w:eastAsia="zh-CN"/>
        </w:rPr>
        <w:t>住房保障支出</w:t>
      </w:r>
      <w:r>
        <w:rPr>
          <w:rFonts w:hint="default" w:ascii="仿宋" w:hAnsi="仿宋" w:eastAsia="仿宋" w:cs="仿宋"/>
          <w:color w:val="auto"/>
          <w:sz w:val="32"/>
          <w:szCs w:val="32"/>
          <w:lang w:val="en-US" w:eastAsia="zh-CN"/>
        </w:rPr>
        <w:t>55.5</w:t>
      </w:r>
      <w:r>
        <w:rPr>
          <w:rFonts w:hint="eastAsia" w:ascii="仿宋" w:hAnsi="仿宋" w:eastAsia="仿宋" w:cs="仿宋"/>
          <w:color w:val="auto"/>
          <w:sz w:val="32"/>
          <w:szCs w:val="32"/>
          <w:lang w:val="en-US" w:eastAsia="zh-CN"/>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default" w:ascii="仿宋" w:hAnsi="仿宋" w:eastAsia="仿宋" w:cs="仿宋"/>
          <w:color w:val="auto"/>
          <w:sz w:val="32"/>
          <w:szCs w:val="32"/>
          <w:lang w:val="en-US" w:eastAsia="zh-CN"/>
        </w:rPr>
        <w:t>16.19</w:t>
      </w:r>
      <w:r>
        <w:rPr>
          <w:rFonts w:hint="eastAsia" w:ascii="仿宋" w:hAnsi="仿宋" w:eastAsia="仿宋" w:cs="仿宋"/>
          <w:color w:val="auto"/>
          <w:sz w:val="32"/>
          <w:szCs w:val="32"/>
          <w:lang w:eastAsia="zh-CN"/>
        </w:rPr>
        <w:t>万元，占财政拨款总额的</w:t>
      </w:r>
      <w:r>
        <w:rPr>
          <w:rFonts w:hint="eastAsia" w:ascii="仿宋" w:hAnsi="仿宋" w:eastAsia="仿宋" w:cs="仿宋"/>
          <w:color w:val="auto"/>
          <w:sz w:val="32"/>
          <w:szCs w:val="32"/>
          <w:lang w:val="en-US" w:eastAsia="zh-CN"/>
        </w:rPr>
        <w:t>8.34%；</w:t>
      </w:r>
    </w:p>
    <w:p>
      <w:pPr>
        <w:spacing w:line="560" w:lineRule="exact"/>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（要求：根据《财政拨款支出预算分科目明细表》按功能科目说明金额及占财政拨款总额比重）</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本年度无政府性基金预算拨款安排支出。</w:t>
      </w:r>
    </w:p>
    <w:p>
      <w:pPr>
        <w:spacing w:line="56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（要求：根据</w:t>
      </w:r>
      <w:r>
        <w:rPr>
          <w:rFonts w:hint="eastAsia" w:ascii="仿宋" w:hAnsi="仿宋" w:eastAsia="仿宋" w:cs="仿宋"/>
          <w:color w:val="auto"/>
          <w:sz w:val="24"/>
          <w:szCs w:val="24"/>
        </w:rPr>
        <w:t>《政府性基金预算支出表》</w:t>
      </w:r>
      <w:r>
        <w:rPr>
          <w:rFonts w:hint="eastAsia" w:ascii="仿宋" w:hAnsi="仿宋" w:eastAsia="仿宋" w:cs="仿宋"/>
          <w:color w:val="auto"/>
          <w:sz w:val="24"/>
          <w:szCs w:val="24"/>
          <w:lang w:eastAsia="zh-CN"/>
        </w:rPr>
        <w:t>按功能分类科目说明</w:t>
      </w:r>
      <w:r>
        <w:rPr>
          <w:rFonts w:hint="eastAsia" w:ascii="仿宋" w:hAnsi="仿宋" w:eastAsia="仿宋" w:cs="仿宋"/>
          <w:color w:val="auto"/>
          <w:sz w:val="24"/>
          <w:szCs w:val="24"/>
        </w:rPr>
        <w:t>金额</w:t>
      </w:r>
      <w:r>
        <w:rPr>
          <w:rFonts w:hint="eastAsia" w:ascii="仿宋" w:hAnsi="仿宋" w:eastAsia="仿宋" w:cs="仿宋"/>
          <w:color w:val="auto"/>
          <w:sz w:val="24"/>
          <w:szCs w:val="24"/>
          <w:lang w:eastAsia="zh-CN"/>
        </w:rPr>
        <w:t>及占</w:t>
      </w:r>
      <w:r>
        <w:rPr>
          <w:rFonts w:hint="eastAsia" w:ascii="仿宋" w:hAnsi="仿宋" w:eastAsia="仿宋" w:cs="仿宋"/>
          <w:color w:val="auto"/>
          <w:sz w:val="24"/>
          <w:szCs w:val="24"/>
        </w:rPr>
        <w:t>政府性基金支出总额</w:t>
      </w:r>
      <w:r>
        <w:rPr>
          <w:rFonts w:hint="eastAsia" w:ascii="仿宋" w:hAnsi="仿宋" w:eastAsia="仿宋" w:cs="仿宋"/>
          <w:color w:val="auto"/>
          <w:sz w:val="24"/>
          <w:szCs w:val="24"/>
          <w:lang w:eastAsia="zh-CN"/>
        </w:rPr>
        <w:t>比重；</w:t>
      </w:r>
      <w:r>
        <w:rPr>
          <w:rFonts w:hint="eastAsia" w:ascii="仿宋" w:hAnsi="仿宋" w:eastAsia="仿宋" w:cs="仿宋"/>
          <w:color w:val="auto"/>
          <w:sz w:val="24"/>
          <w:szCs w:val="24"/>
        </w:rPr>
        <w:t>如</w:t>
      </w:r>
      <w:r>
        <w:rPr>
          <w:rFonts w:hint="eastAsia" w:ascii="仿宋" w:hAnsi="仿宋" w:eastAsia="仿宋" w:cs="仿宋"/>
          <w:color w:val="auto"/>
          <w:sz w:val="24"/>
          <w:szCs w:val="24"/>
          <w:lang w:eastAsia="zh-CN"/>
        </w:rPr>
        <w:t>上年及本年都</w:t>
      </w:r>
      <w:r>
        <w:rPr>
          <w:rFonts w:hint="eastAsia" w:ascii="仿宋" w:hAnsi="仿宋" w:eastAsia="仿宋" w:cs="仿宋"/>
          <w:color w:val="auto"/>
          <w:sz w:val="24"/>
          <w:szCs w:val="24"/>
        </w:rPr>
        <w:t>无</w:t>
      </w:r>
      <w:r>
        <w:rPr>
          <w:rFonts w:hint="eastAsia" w:ascii="仿宋" w:hAnsi="仿宋" w:eastAsia="仿宋" w:cs="仿宋"/>
          <w:color w:val="auto"/>
          <w:sz w:val="24"/>
          <w:szCs w:val="24"/>
          <w:lang w:eastAsia="zh-CN"/>
        </w:rPr>
        <w:t>数据</w:t>
      </w:r>
      <w:r>
        <w:rPr>
          <w:rFonts w:hint="eastAsia" w:ascii="仿宋" w:hAnsi="仿宋" w:eastAsia="仿宋" w:cs="仿宋"/>
          <w:color w:val="auto"/>
          <w:sz w:val="24"/>
          <w:szCs w:val="24"/>
        </w:rPr>
        <w:t>，则</w:t>
      </w:r>
      <w:r>
        <w:rPr>
          <w:rFonts w:hint="eastAsia" w:ascii="仿宋" w:hAnsi="仿宋" w:eastAsia="仿宋" w:cs="仿宋"/>
          <w:color w:val="auto"/>
          <w:sz w:val="24"/>
          <w:szCs w:val="24"/>
          <w:lang w:eastAsia="zh-CN"/>
        </w:rPr>
        <w:t>将文字修改成：“</w:t>
      </w:r>
      <w:r>
        <w:rPr>
          <w:rFonts w:hint="eastAsia" w:ascii="仿宋" w:hAnsi="仿宋" w:eastAsia="仿宋" w:cs="仿宋"/>
          <w:color w:val="auto"/>
          <w:sz w:val="24"/>
          <w:szCs w:val="24"/>
        </w:rPr>
        <w:t>无政府性基金预算拨款安排的支出</w:t>
      </w:r>
      <w:r>
        <w:rPr>
          <w:rFonts w:hint="eastAsia" w:ascii="仿宋" w:hAnsi="仿宋" w:eastAsia="仿宋" w:cs="仿宋"/>
          <w:color w:val="auto"/>
          <w:sz w:val="24"/>
          <w:szCs w:val="24"/>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年部门机关运行费预算</w:t>
      </w:r>
      <w:r>
        <w:rPr>
          <w:rFonts w:hint="eastAsia" w:ascii="仿宋" w:hAnsi="仿宋" w:eastAsia="仿宋" w:cs="仿宋"/>
          <w:color w:val="auto"/>
          <w:sz w:val="32"/>
          <w:szCs w:val="32"/>
          <w:lang w:val="en-US" w:eastAsia="zh-CN"/>
        </w:rPr>
        <w:t>177.59</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年预算减少</w:t>
      </w:r>
      <w:r>
        <w:rPr>
          <w:rFonts w:hint="eastAsia" w:ascii="仿宋" w:hAnsi="仿宋" w:eastAsia="仿宋" w:cs="仿宋"/>
          <w:color w:val="auto"/>
          <w:sz w:val="32"/>
          <w:szCs w:val="32"/>
          <w:lang w:val="en-US" w:eastAsia="zh-CN"/>
        </w:rPr>
        <w:t>305.77</w:t>
      </w:r>
      <w:r>
        <w:rPr>
          <w:rFonts w:hint="eastAsia" w:ascii="仿宋" w:hAnsi="仿宋" w:eastAsia="仿宋" w:cs="仿宋"/>
          <w:color w:val="auto"/>
          <w:sz w:val="32"/>
          <w:szCs w:val="32"/>
        </w:rPr>
        <w:t>万元，下降</w:t>
      </w:r>
      <w:r>
        <w:rPr>
          <w:rFonts w:hint="eastAsia" w:ascii="仿宋" w:hAnsi="仿宋" w:eastAsia="仿宋" w:cs="仿宋"/>
          <w:color w:val="auto"/>
          <w:sz w:val="32"/>
          <w:szCs w:val="32"/>
          <w:lang w:val="en-US" w:eastAsia="zh-CN"/>
        </w:rPr>
        <w:t>63.26</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年部门所属各单位政府采购总额</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2022年</w:t>
      </w:r>
      <w:r>
        <w:rPr>
          <w:rFonts w:hint="eastAsia" w:ascii="仿宋" w:hAnsi="仿宋" w:eastAsia="仿宋" w:cs="仿宋"/>
          <w:color w:val="auto"/>
          <w:sz w:val="32"/>
          <w:szCs w:val="32"/>
        </w:rPr>
        <w:t>12月31日部门共有车辆</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辆。</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2023年本</w:t>
      </w:r>
      <w:r>
        <w:rPr>
          <w:rFonts w:hint="eastAsia" w:ascii="仿宋" w:hAnsi="仿宋" w:eastAsia="仿宋" w:cs="仿宋"/>
          <w:color w:val="auto"/>
          <w:sz w:val="32"/>
          <w:szCs w:val="32"/>
        </w:rPr>
        <w:t>部门预算安排购置车辆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辆，安排购置单位价值200万元以上大型设备具体为：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spacing w:line="560" w:lineRule="exact"/>
        <w:ind w:left="634" w:leftChars="284" w:hanging="38" w:hangingChars="12"/>
        <w:rPr>
          <w:rFonts w:hint="eastAsia" w:ascii="仿宋" w:hAnsi="仿宋" w:eastAsia="仿宋" w:cs="仿宋"/>
          <w:color w:val="auto"/>
          <w:sz w:val="24"/>
          <w:szCs w:val="24"/>
          <w:highlight w:val="none"/>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1865.31</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24"/>
          <w:szCs w:val="24"/>
          <w:highlight w:val="none"/>
          <w:lang w:eastAsia="zh-CN"/>
        </w:rPr>
        <w:t>（要求：在二上查询中，点击项目绩效，有项目数量及金额）</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其中：</w:t>
      </w:r>
      <w:r>
        <w:rPr>
          <w:rFonts w:hint="eastAsia" w:ascii="仿宋" w:hAnsi="仿宋" w:eastAsia="仿宋" w:cs="仿宋"/>
          <w:color w:val="auto"/>
          <w:sz w:val="32"/>
          <w:szCs w:val="32"/>
        </w:rPr>
        <w:t>项目名称：</w:t>
      </w:r>
      <w:r>
        <w:rPr>
          <w:rFonts w:hint="eastAsia" w:ascii="仿宋" w:hAnsi="仿宋" w:eastAsia="仿宋" w:cs="仿宋"/>
          <w:color w:val="auto"/>
          <w:sz w:val="32"/>
          <w:szCs w:val="32"/>
          <w:lang w:val="en-US" w:eastAsia="zh-CN"/>
        </w:rPr>
        <w:t>2023年梅窖镇部门预算</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：预算法和上级相关文件</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：兴国县</w:t>
      </w:r>
      <w:r>
        <w:rPr>
          <w:rFonts w:hint="eastAsia" w:ascii="仿宋" w:hAnsi="仿宋" w:eastAsia="仿宋" w:cs="仿宋"/>
          <w:color w:val="auto"/>
          <w:sz w:val="32"/>
          <w:szCs w:val="32"/>
          <w:lang w:val="en-US" w:eastAsia="zh-CN"/>
        </w:rPr>
        <w:t>梅窖</w:t>
      </w:r>
      <w:r>
        <w:rPr>
          <w:rFonts w:hint="eastAsia" w:ascii="仿宋" w:hAnsi="仿宋" w:eastAsia="仿宋" w:cs="仿宋"/>
          <w:color w:val="auto"/>
          <w:sz w:val="32"/>
          <w:szCs w:val="32"/>
          <w:lang w:eastAsia="zh-CN"/>
        </w:rPr>
        <w:t>镇人民政府</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：一年</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eastAsia="zh-CN"/>
        </w:rPr>
        <w:t>：一般预算支出</w:t>
      </w:r>
      <w:r>
        <w:rPr>
          <w:rFonts w:hint="eastAsia" w:ascii="仿宋" w:hAnsi="仿宋" w:eastAsia="仿宋" w:cs="仿宋"/>
          <w:color w:val="auto"/>
          <w:sz w:val="32"/>
          <w:szCs w:val="32"/>
          <w:lang w:val="en-US" w:eastAsia="zh-CN"/>
        </w:rPr>
        <w:t>665.31万元其他资金支出1200万元</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：完成2023年一般预算支出</w:t>
      </w:r>
      <w:r>
        <w:rPr>
          <w:rFonts w:hint="eastAsia" w:ascii="仿宋" w:hAnsi="仿宋" w:eastAsia="仿宋" w:cs="仿宋"/>
          <w:color w:val="auto"/>
          <w:sz w:val="32"/>
          <w:szCs w:val="32"/>
          <w:lang w:val="en-US" w:eastAsia="zh-CN"/>
        </w:rPr>
        <w:t>665.31</w:t>
      </w:r>
      <w:r>
        <w:rPr>
          <w:rFonts w:hint="eastAsia" w:ascii="仿宋" w:hAnsi="仿宋" w:eastAsia="仿宋" w:cs="仿宋"/>
          <w:color w:val="auto"/>
          <w:sz w:val="32"/>
          <w:szCs w:val="32"/>
          <w:lang w:eastAsia="zh-CN"/>
        </w:rPr>
        <w:t>万元和完成单位其他资金拨付</w:t>
      </w:r>
      <w:r>
        <w:rPr>
          <w:rFonts w:hint="eastAsia" w:ascii="仿宋" w:hAnsi="仿宋" w:eastAsia="仿宋" w:cs="仿宋"/>
          <w:color w:val="auto"/>
          <w:sz w:val="32"/>
          <w:szCs w:val="32"/>
          <w:lang w:val="en-US" w:eastAsia="zh-CN"/>
        </w:rPr>
        <w:t>1200</w:t>
      </w:r>
      <w:r>
        <w:rPr>
          <w:rFonts w:hint="eastAsia" w:ascii="仿宋" w:hAnsi="仿宋" w:eastAsia="仿宋" w:cs="仿宋"/>
          <w:color w:val="auto"/>
          <w:sz w:val="32"/>
          <w:szCs w:val="32"/>
          <w:lang w:eastAsia="zh-CN"/>
        </w:rPr>
        <w:t>万元。</w:t>
      </w:r>
    </w:p>
    <w:p>
      <w:pPr>
        <w:spacing w:line="560" w:lineRule="exact"/>
        <w:ind w:left="634" w:leftChars="284" w:hanging="38" w:hangingChars="12"/>
        <w:rPr>
          <w:rFonts w:hint="eastAsia" w:ascii="仿宋" w:hAnsi="仿宋" w:eastAsia="仿宋" w:cs="仿宋"/>
          <w:color w:val="auto"/>
          <w:sz w:val="32"/>
          <w:szCs w:val="32"/>
          <w:lang w:eastAsia="zh-CN"/>
        </w:rPr>
      </w:pPr>
      <w:r>
        <w:rPr>
          <w:rFonts w:hint="eastAsia" w:ascii="仿宋" w:hAnsi="仿宋" w:eastAsia="仿宋" w:cs="仿宋"/>
          <w:color w:val="auto"/>
          <w:sz w:val="32"/>
          <w:szCs w:val="32"/>
        </w:rPr>
        <w:t>项目名称：</w:t>
      </w:r>
      <w:r>
        <w:rPr>
          <w:rFonts w:hint="eastAsia" w:ascii="仿宋" w:hAnsi="仿宋" w:eastAsia="仿宋" w:cs="仿宋"/>
          <w:color w:val="auto"/>
          <w:sz w:val="32"/>
          <w:szCs w:val="32"/>
          <w:lang w:val="en-US" w:eastAsia="zh-CN"/>
        </w:rPr>
        <w:t>梅窖</w:t>
      </w:r>
      <w:r>
        <w:rPr>
          <w:rFonts w:hint="eastAsia" w:ascii="仿宋" w:hAnsi="仿宋" w:eastAsia="仿宋" w:cs="仿宋"/>
          <w:color w:val="auto"/>
          <w:sz w:val="32"/>
          <w:szCs w:val="32"/>
        </w:rPr>
        <w:t>镇2023年其他资金</w:t>
      </w:r>
    </w:p>
    <w:p>
      <w:pPr>
        <w:spacing w:line="560" w:lineRule="exact"/>
        <w:ind w:left="634" w:leftChars="284" w:hanging="38" w:hangingChars="12"/>
        <w:rPr>
          <w:rFonts w:hint="eastAsia" w:ascii="仿宋" w:hAnsi="仿宋" w:eastAsia="仿宋" w:cs="仿宋"/>
          <w:color w:val="auto"/>
          <w:sz w:val="32"/>
          <w:szCs w:val="32"/>
          <w:lang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：完成</w:t>
      </w:r>
      <w:r>
        <w:rPr>
          <w:rFonts w:hint="eastAsia" w:ascii="仿宋" w:hAnsi="仿宋" w:eastAsia="仿宋" w:cs="仿宋"/>
          <w:color w:val="auto"/>
          <w:sz w:val="32"/>
          <w:szCs w:val="32"/>
          <w:lang w:val="en-US" w:eastAsia="zh-CN"/>
        </w:rPr>
        <w:t>梅窖</w:t>
      </w:r>
      <w:r>
        <w:rPr>
          <w:rFonts w:hint="eastAsia" w:ascii="仿宋" w:hAnsi="仿宋" w:eastAsia="仿宋" w:cs="仿宋"/>
          <w:color w:val="auto"/>
          <w:sz w:val="32"/>
          <w:szCs w:val="32"/>
          <w:lang w:eastAsia="zh-CN"/>
        </w:rPr>
        <w:t>镇其他资</w:t>
      </w:r>
      <w:r>
        <w:rPr>
          <w:rFonts w:hint="eastAsia" w:ascii="仿宋" w:hAnsi="仿宋" w:eastAsia="仿宋" w:cs="仿宋"/>
          <w:color w:val="auto"/>
          <w:sz w:val="32"/>
          <w:szCs w:val="32"/>
          <w:lang w:val="en-US" w:eastAsia="zh-CN"/>
        </w:rPr>
        <w:t>1200</w:t>
      </w:r>
      <w:r>
        <w:rPr>
          <w:rFonts w:hint="eastAsia" w:ascii="仿宋" w:hAnsi="仿宋" w:eastAsia="仿宋" w:cs="仿宋"/>
          <w:color w:val="auto"/>
          <w:sz w:val="32"/>
          <w:szCs w:val="32"/>
          <w:lang w:eastAsia="zh-CN"/>
        </w:rPr>
        <w:t>万元的收支和管理</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：上级相关文件</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：兴国县</w:t>
      </w:r>
      <w:r>
        <w:rPr>
          <w:rFonts w:hint="eastAsia" w:ascii="仿宋" w:hAnsi="仿宋" w:eastAsia="仿宋" w:cs="仿宋"/>
          <w:color w:val="auto"/>
          <w:sz w:val="32"/>
          <w:szCs w:val="32"/>
          <w:lang w:val="en-US" w:eastAsia="zh-CN"/>
        </w:rPr>
        <w:t>梅窖</w:t>
      </w:r>
      <w:r>
        <w:rPr>
          <w:rFonts w:hint="eastAsia" w:ascii="仿宋" w:hAnsi="仿宋" w:eastAsia="仿宋" w:cs="仿宋"/>
          <w:color w:val="auto"/>
          <w:sz w:val="32"/>
          <w:szCs w:val="32"/>
          <w:lang w:eastAsia="zh-CN"/>
        </w:rPr>
        <w:t>镇人民政府</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：一年</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1200万元</w:t>
      </w:r>
    </w:p>
    <w:p>
      <w:pPr>
        <w:spacing w:line="560" w:lineRule="exact"/>
        <w:ind w:left="634" w:leftChars="284" w:hanging="38" w:hangingChars="12"/>
        <w:rPr>
          <w:rFonts w:hint="eastAsia" w:ascii="仿宋" w:hAnsi="仿宋" w:eastAsia="仿宋" w:cs="仿宋"/>
          <w:color w:val="auto"/>
          <w:sz w:val="32"/>
          <w:szCs w:val="32"/>
          <w:lang w:eastAsia="zh-CN"/>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：完成</w:t>
      </w:r>
      <w:r>
        <w:rPr>
          <w:rFonts w:hint="eastAsia" w:ascii="仿宋" w:hAnsi="仿宋" w:eastAsia="仿宋" w:cs="仿宋"/>
          <w:color w:val="auto"/>
          <w:sz w:val="32"/>
          <w:szCs w:val="32"/>
          <w:lang w:val="en-US" w:eastAsia="zh-CN"/>
        </w:rPr>
        <w:t>梅窖</w:t>
      </w:r>
      <w:r>
        <w:rPr>
          <w:rFonts w:hint="eastAsia" w:ascii="仿宋" w:hAnsi="仿宋" w:eastAsia="仿宋" w:cs="仿宋"/>
          <w:color w:val="auto"/>
          <w:sz w:val="32"/>
          <w:szCs w:val="32"/>
          <w:lang w:eastAsia="zh-CN"/>
        </w:rPr>
        <w:t>镇其他资</w:t>
      </w:r>
      <w:r>
        <w:rPr>
          <w:rFonts w:hint="eastAsia" w:ascii="仿宋" w:hAnsi="仿宋" w:eastAsia="仿宋" w:cs="仿宋"/>
          <w:color w:val="auto"/>
          <w:sz w:val="32"/>
          <w:szCs w:val="32"/>
          <w:lang w:val="en-US" w:eastAsia="zh-CN"/>
        </w:rPr>
        <w:t>1200</w:t>
      </w:r>
      <w:r>
        <w:rPr>
          <w:rFonts w:hint="eastAsia" w:ascii="仿宋" w:hAnsi="仿宋" w:eastAsia="仿宋" w:cs="仿宋"/>
          <w:color w:val="auto"/>
          <w:sz w:val="32"/>
          <w:szCs w:val="32"/>
          <w:lang w:eastAsia="zh-CN"/>
        </w:rPr>
        <w:t>万元的收支和管理</w:t>
      </w:r>
    </w:p>
    <w:p>
      <w:pPr>
        <w:pStyle w:val="2"/>
        <w:rPr>
          <w:rFonts w:hint="eastAsia"/>
          <w:color w:val="auto"/>
          <w:lang w:eastAsia="zh-CN"/>
        </w:rPr>
      </w:pPr>
    </w:p>
    <w:p>
      <w:pPr>
        <w:spacing w:line="560" w:lineRule="exact"/>
        <w:ind w:left="624" w:leftChars="284" w:hanging="28" w:hangingChars="12"/>
        <w:rPr>
          <w:color w:val="auto"/>
        </w:rPr>
      </w:pPr>
      <w:r>
        <w:rPr>
          <w:rFonts w:hint="eastAsia" w:ascii="仿宋" w:hAnsi="仿宋" w:eastAsia="仿宋" w:cs="仿宋"/>
          <w:color w:val="auto"/>
          <w:sz w:val="24"/>
          <w:szCs w:val="24"/>
          <w:lang w:eastAsia="zh-CN"/>
        </w:rPr>
        <w:t>（要求：</w:t>
      </w:r>
      <w:r>
        <w:rPr>
          <w:rFonts w:hint="eastAsia" w:ascii="仿宋" w:hAnsi="仿宋" w:eastAsia="仿宋" w:cs="仿宋"/>
          <w:color w:val="auto"/>
          <w:sz w:val="24"/>
          <w:szCs w:val="24"/>
          <w:highlight w:val="none"/>
          <w:lang w:eastAsia="zh-CN"/>
        </w:rPr>
        <w:t>在二上查询中，点击项目绩效，选择项目，点导出</w:t>
      </w:r>
      <w:r>
        <w:rPr>
          <w:rFonts w:hint="eastAsia" w:ascii="仿宋" w:hAnsi="仿宋" w:eastAsia="仿宋" w:cs="仿宋"/>
          <w:color w:val="auto"/>
          <w:sz w:val="24"/>
          <w:szCs w:val="24"/>
          <w:lang w:eastAsia="zh-CN"/>
        </w:rPr>
        <w:t>，会生成</w:t>
      </w:r>
      <w:r>
        <w:rPr>
          <w:rFonts w:hint="eastAsia" w:ascii="仿宋" w:hAnsi="仿宋" w:eastAsia="仿宋" w:cs="仿宋"/>
          <w:color w:val="auto"/>
          <w:sz w:val="24"/>
          <w:szCs w:val="24"/>
        </w:rPr>
        <w:t>《项目支出绩效目标表》</w:t>
      </w:r>
      <w:r>
        <w:rPr>
          <w:rFonts w:hint="eastAsia" w:ascii="仿宋" w:hAnsi="仿宋" w:eastAsia="仿宋" w:cs="仿宋"/>
          <w:color w:val="auto"/>
          <w:sz w:val="24"/>
          <w:szCs w:val="24"/>
          <w:lang w:eastAsia="zh-CN"/>
        </w:rPr>
        <w:t>，根据表格完善项目名称及</w:t>
      </w:r>
      <w:r>
        <w:rPr>
          <w:rFonts w:hint="eastAsia" w:ascii="仿宋" w:hAnsi="仿宋" w:eastAsia="仿宋" w:cs="仿宋"/>
          <w:color w:val="auto"/>
          <w:sz w:val="24"/>
          <w:szCs w:val="24"/>
          <w:lang w:val="en-US" w:eastAsia="zh-CN"/>
        </w:rPr>
        <w:t>1-6项文字说明</w:t>
      </w:r>
      <w:r>
        <w:rPr>
          <w:rFonts w:hint="eastAsia" w:ascii="仿宋" w:hAnsi="仿宋" w:eastAsia="仿宋" w:cs="仿宋"/>
          <w:color w:val="auto"/>
          <w:sz w:val="24"/>
          <w:szCs w:val="24"/>
          <w:lang w:eastAsia="zh-CN"/>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年兴国县</w:t>
      </w:r>
      <w:r>
        <w:rPr>
          <w:rFonts w:hint="eastAsia" w:ascii="仿宋" w:hAnsi="仿宋" w:eastAsia="仿宋" w:cs="仿宋"/>
          <w:color w:val="auto"/>
          <w:sz w:val="32"/>
          <w:szCs w:val="32"/>
          <w:lang w:val="en-US" w:eastAsia="zh-CN"/>
        </w:rPr>
        <w:t>梅窖镇</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23.75</w:t>
      </w:r>
      <w:r>
        <w:rPr>
          <w:rFonts w:hint="eastAsia" w:ascii="仿宋" w:hAnsi="仿宋" w:eastAsia="仿宋" w:cs="仿宋"/>
          <w:color w:val="auto"/>
          <w:sz w:val="32"/>
          <w:szCs w:val="32"/>
        </w:rPr>
        <w:t>万元。其中因公出国（境）费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 xml:space="preserve">万元，主要原因是： </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35</w:t>
      </w:r>
      <w:r>
        <w:rPr>
          <w:rFonts w:hint="eastAsia" w:ascii="仿宋" w:hAnsi="仿宋" w:eastAsia="仿宋" w:cs="仿宋"/>
          <w:color w:val="auto"/>
          <w:sz w:val="32"/>
          <w:szCs w:val="32"/>
        </w:rPr>
        <w:t>万元，比上年减</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万元，主要原因</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是</w:t>
      </w:r>
      <w:r>
        <w:rPr>
          <w:rFonts w:hint="eastAsia" w:ascii="仿宋" w:hAnsi="仿宋" w:eastAsia="仿宋" w:cs="仿宋"/>
          <w:color w:val="auto"/>
          <w:sz w:val="32"/>
          <w:szCs w:val="32"/>
          <w:lang w:eastAsia="zh-CN"/>
        </w:rPr>
        <w:t>按照要求三公经费只减不增</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12</w:t>
      </w:r>
      <w:r>
        <w:rPr>
          <w:rFonts w:hint="eastAsia" w:ascii="仿宋" w:hAnsi="仿宋" w:eastAsia="仿宋" w:cs="仿宋"/>
          <w:color w:val="auto"/>
          <w:sz w:val="32"/>
          <w:szCs w:val="32"/>
        </w:rPr>
        <w:t>万元，比上年减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主要原因是：</w:t>
      </w:r>
      <w:r>
        <w:rPr>
          <w:rFonts w:hint="eastAsia" w:ascii="仿宋" w:hAnsi="仿宋" w:eastAsia="仿宋" w:cs="仿宋"/>
          <w:color w:val="auto"/>
          <w:sz w:val="32"/>
          <w:szCs w:val="32"/>
          <w:lang w:eastAsia="zh-CN"/>
        </w:rPr>
        <w:t>按照要求三公经费只减不增</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原因是：</w:t>
      </w:r>
      <w:r>
        <w:rPr>
          <w:rFonts w:hint="eastAsia" w:ascii="仿宋" w:hAnsi="仿宋" w:eastAsia="仿宋" w:cs="仿宋"/>
          <w:color w:val="auto"/>
          <w:sz w:val="32"/>
          <w:szCs w:val="32"/>
          <w:lang w:val="en-US" w:eastAsia="zh-CN"/>
        </w:rPr>
        <w:t>无需购买公车</w:t>
      </w:r>
      <w:r>
        <w:rPr>
          <w:rFonts w:hint="eastAsia" w:ascii="仿宋" w:hAnsi="仿宋" w:eastAsia="仿宋" w:cs="仿宋"/>
          <w:color w:val="auto"/>
          <w:sz w:val="32"/>
          <w:szCs w:val="32"/>
        </w:rPr>
        <w:t>。</w:t>
      </w:r>
    </w:p>
    <w:p>
      <w:pPr>
        <w:spacing w:line="560" w:lineRule="exact"/>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（要求：根据</w:t>
      </w:r>
      <w:r>
        <w:rPr>
          <w:rFonts w:hint="eastAsia" w:ascii="仿宋" w:hAnsi="仿宋" w:eastAsia="仿宋" w:cs="仿宋"/>
          <w:color w:val="auto"/>
          <w:sz w:val="24"/>
          <w:szCs w:val="24"/>
        </w:rPr>
        <w:t>《一般公共预算“三公”经费支出表》</w:t>
      </w:r>
      <w:r>
        <w:rPr>
          <w:rFonts w:hint="eastAsia" w:ascii="仿宋" w:hAnsi="仿宋" w:eastAsia="仿宋" w:cs="仿宋"/>
          <w:color w:val="auto"/>
          <w:sz w:val="24"/>
          <w:szCs w:val="24"/>
          <w:lang w:eastAsia="zh-CN"/>
        </w:rPr>
        <w:t>完善，如较上年无增减变化，则主要原因可以不写，删除主要原因文字说明。）</w:t>
      </w:r>
    </w:p>
    <w:p>
      <w:pPr>
        <w:spacing w:line="560" w:lineRule="exact"/>
        <w:ind w:firstLine="640" w:firstLineChars="200"/>
        <w:rPr>
          <w:rFonts w:ascii="仿宋" w:hAnsi="仿宋" w:eastAsia="仿宋" w:cs="仿宋"/>
          <w:color w:val="auto"/>
          <w:sz w:val="32"/>
          <w:szCs w:val="32"/>
        </w:r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 xml:space="preserve">第三部分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梅窖镇人民政府</w:t>
      </w:r>
      <w:r>
        <w:rPr>
          <w:rFonts w:hint="eastAsia" w:ascii="黑体" w:hAnsi="黑体" w:eastAsia="黑体" w:cs="黑体"/>
          <w:b w:val="0"/>
          <w:bCs w:val="0"/>
          <w:color w:val="auto"/>
          <w:sz w:val="32"/>
          <w:szCs w:val="32"/>
        </w:rPr>
        <w:t>部门预算表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4"/>
        <w:tblW w:w="82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453"/>
        <w:gridCol w:w="1443"/>
        <w:gridCol w:w="1486"/>
        <w:gridCol w:w="1014"/>
        <w:gridCol w:w="1999"/>
        <w:gridCol w:w="8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1453" w:type="dxa"/>
            <w:shd w:val="clear" w:color="auto" w:fill="auto"/>
            <w:vAlign w:val="bottom"/>
          </w:tcPr>
          <w:p>
            <w:pPr>
              <w:rPr>
                <w:rFonts w:hint="eastAsia" w:ascii="宋体" w:hAnsi="宋体" w:eastAsia="宋体" w:cs="宋体"/>
                <w:i w:val="0"/>
                <w:color w:val="auto"/>
                <w:sz w:val="16"/>
                <w:szCs w:val="16"/>
                <w:u w:val="none"/>
              </w:rPr>
            </w:pPr>
          </w:p>
        </w:tc>
        <w:tc>
          <w:tcPr>
            <w:tcW w:w="1443" w:type="dxa"/>
            <w:shd w:val="clear" w:color="auto" w:fill="auto"/>
            <w:vAlign w:val="bottom"/>
          </w:tcPr>
          <w:p>
            <w:pPr>
              <w:rPr>
                <w:rFonts w:hint="eastAsia" w:ascii="宋体" w:hAnsi="宋体" w:eastAsia="宋体" w:cs="宋体"/>
                <w:i w:val="0"/>
                <w:color w:val="auto"/>
                <w:sz w:val="16"/>
                <w:szCs w:val="16"/>
                <w:u w:val="none"/>
              </w:rPr>
            </w:pPr>
          </w:p>
        </w:tc>
        <w:tc>
          <w:tcPr>
            <w:tcW w:w="1486" w:type="dxa"/>
            <w:shd w:val="clear" w:color="auto" w:fill="auto"/>
            <w:vAlign w:val="bottom"/>
          </w:tcPr>
          <w:p>
            <w:pPr>
              <w:rPr>
                <w:rFonts w:hint="eastAsia" w:ascii="宋体" w:hAnsi="宋体" w:eastAsia="宋体" w:cs="宋体"/>
                <w:i w:val="0"/>
                <w:color w:val="auto"/>
                <w:sz w:val="16"/>
                <w:szCs w:val="16"/>
                <w:u w:val="none"/>
              </w:rPr>
            </w:pPr>
          </w:p>
        </w:tc>
        <w:tc>
          <w:tcPr>
            <w:tcW w:w="1014" w:type="dxa"/>
            <w:shd w:val="clear" w:color="auto" w:fill="auto"/>
            <w:vAlign w:val="bottom"/>
          </w:tcPr>
          <w:p>
            <w:pPr>
              <w:rPr>
                <w:rFonts w:hint="eastAsia" w:ascii="宋体" w:hAnsi="宋体" w:eastAsia="宋体" w:cs="宋体"/>
                <w:i w:val="0"/>
                <w:color w:val="auto"/>
                <w:sz w:val="16"/>
                <w:szCs w:val="16"/>
                <w:u w:val="none"/>
              </w:rPr>
            </w:pPr>
          </w:p>
        </w:tc>
        <w:tc>
          <w:tcPr>
            <w:tcW w:w="1999" w:type="dxa"/>
            <w:shd w:val="clear" w:color="auto" w:fill="auto"/>
            <w:vAlign w:val="bottom"/>
          </w:tcPr>
          <w:p>
            <w:pPr>
              <w:rPr>
                <w:rFonts w:hint="eastAsia" w:ascii="宋体" w:hAnsi="宋体" w:eastAsia="宋体" w:cs="宋体"/>
                <w:i w:val="0"/>
                <w:color w:val="auto"/>
                <w:sz w:val="16"/>
                <w:szCs w:val="16"/>
                <w:u w:val="none"/>
              </w:rPr>
            </w:pPr>
          </w:p>
        </w:tc>
        <w:tc>
          <w:tcPr>
            <w:tcW w:w="885"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预算01表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8280" w:type="dxa"/>
            <w:gridSpan w:val="6"/>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1453"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填报单位:[917]兴国县梅窖镇 , [917001]兴国县梅窖镇人民政府</w:t>
            </w:r>
          </w:p>
        </w:tc>
        <w:tc>
          <w:tcPr>
            <w:tcW w:w="1443" w:type="dxa"/>
            <w:shd w:val="clear" w:color="auto" w:fill="auto"/>
            <w:vAlign w:val="bottom"/>
          </w:tcPr>
          <w:p>
            <w:pPr>
              <w:rPr>
                <w:rFonts w:hint="eastAsia" w:ascii="Calibri" w:hAnsi="Calibri" w:cs="Calibri"/>
                <w:i w:val="0"/>
                <w:color w:val="auto"/>
                <w:sz w:val="16"/>
                <w:szCs w:val="16"/>
                <w:u w:val="none"/>
              </w:rPr>
            </w:pPr>
          </w:p>
        </w:tc>
        <w:tc>
          <w:tcPr>
            <w:tcW w:w="1486" w:type="dxa"/>
            <w:shd w:val="clear" w:color="auto" w:fill="auto"/>
            <w:vAlign w:val="bottom"/>
          </w:tcPr>
          <w:p>
            <w:pPr>
              <w:rPr>
                <w:rFonts w:hint="default" w:ascii="Calibri" w:hAnsi="Calibri" w:cs="Calibri"/>
                <w:i w:val="0"/>
                <w:color w:val="auto"/>
                <w:sz w:val="16"/>
                <w:szCs w:val="16"/>
                <w:u w:val="none"/>
              </w:rPr>
            </w:pPr>
          </w:p>
        </w:tc>
        <w:tc>
          <w:tcPr>
            <w:tcW w:w="1014" w:type="dxa"/>
            <w:shd w:val="clear" w:color="auto" w:fill="auto"/>
            <w:vAlign w:val="bottom"/>
          </w:tcPr>
          <w:p>
            <w:pPr>
              <w:rPr>
                <w:rFonts w:hint="default" w:ascii="Calibri" w:hAnsi="Calibri" w:cs="Calibri"/>
                <w:i w:val="0"/>
                <w:color w:val="auto"/>
                <w:sz w:val="16"/>
                <w:szCs w:val="16"/>
                <w:u w:val="none"/>
              </w:rPr>
            </w:pPr>
          </w:p>
        </w:tc>
        <w:tc>
          <w:tcPr>
            <w:tcW w:w="1999" w:type="dxa"/>
            <w:shd w:val="clear" w:color="auto" w:fill="auto"/>
            <w:vAlign w:val="bottom"/>
          </w:tcPr>
          <w:p>
            <w:pPr>
              <w:rPr>
                <w:rFonts w:hint="default" w:ascii="Calibri" w:hAnsi="Calibri" w:cs="Calibri"/>
                <w:i w:val="0"/>
                <w:color w:val="auto"/>
                <w:sz w:val="16"/>
                <w:szCs w:val="16"/>
                <w:u w:val="none"/>
              </w:rPr>
            </w:pPr>
          </w:p>
        </w:tc>
        <w:tc>
          <w:tcPr>
            <w:tcW w:w="885"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28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收      入</w:t>
            </w:r>
          </w:p>
        </w:tc>
        <w:tc>
          <w:tcPr>
            <w:tcW w:w="538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项目</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预算数</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按支出经济分类（款级）</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预算数</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按支出功能科目（项级）</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一、财政拨款收入</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665.31</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人员类</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487.72</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一般公共服务支出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496.26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（一）一般公共预算收入</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665.31</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工资福利支出</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484.60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政府办公厅（室）及相关机构事务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496.26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5"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（二）政府性基金预算收入</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基本工资</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182.62</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行政运行</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496.26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（三）国有资本经营预算收入</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津贴补贴</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117.71</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社会保障和就业支出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68.02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5"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二、教育收费资金收入</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奖金</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15.22</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行政事业单位养老支出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三、事业收入</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机关事业单位基本养老保险缴费</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66.86</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机关事业单位基本养老保险缴费支出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四、事业单位经营收入</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职工基本医疗保险缴费</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24.01</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其他社会保障和就业支出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五、附属单位上缴收入</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公务员医疗补助缴费</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21.53</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其他社会保障和就业支出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六、上级补助收入</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其他社会保障缴费</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1.16</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卫生健康支出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45.54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七、其他收入</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1200.00</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住房公积金</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55.50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行政事业单位医疗</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45.54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对个人和家庭的补助</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3.12</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行政单位医疗</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24.01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生活补助</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3.00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公务员医疗补助</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奖励金</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0.12</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住房保障支出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55.50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公用经费</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177.59</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住房改革支出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55.50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商品和服务支出</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162.59</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住房公积金</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55.50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办公费</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98.00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其他支出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1200.00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公务接待费</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35.00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其他支出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1200.00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福利费</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0.67</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其他支出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1200.00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公务用车运行维护费</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12.00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其他交通费用</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16.92</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资本性支出</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15.00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办公设备购置</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15.00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其他运转类</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1200.00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其他支出</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1200.00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其他支出</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1200.00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本年收入合计</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1865.31</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本年支出合计</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1865.31</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本年支出合计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1865.31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八、使用非财政拨款结余</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九、上年结转（结余）</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三、结转下年</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结转下年</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国库集中支付结转（结余）</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其他资金结转（结余）</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收入总计</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1865.31</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支出总计</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1865.31</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支出总计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1865.31</w:t>
            </w:r>
          </w:p>
        </w:tc>
      </w:tr>
    </w:tbl>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《部门收入总表》</w:t>
      </w:r>
    </w:p>
    <w:tbl>
      <w:tblPr>
        <w:tblStyle w:val="4"/>
        <w:tblW w:w="143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45"/>
        <w:gridCol w:w="549"/>
        <w:gridCol w:w="240"/>
        <w:gridCol w:w="240"/>
        <w:gridCol w:w="591"/>
        <w:gridCol w:w="465"/>
        <w:gridCol w:w="375"/>
        <w:gridCol w:w="300"/>
        <w:gridCol w:w="615"/>
        <w:gridCol w:w="240"/>
        <w:gridCol w:w="240"/>
        <w:gridCol w:w="720"/>
        <w:gridCol w:w="600"/>
        <w:gridCol w:w="555"/>
        <w:gridCol w:w="4735"/>
        <w:gridCol w:w="727"/>
        <w:gridCol w:w="145"/>
        <w:gridCol w:w="582"/>
        <w:gridCol w:w="727"/>
        <w:gridCol w:w="88"/>
        <w:gridCol w:w="816"/>
        <w:gridCol w:w="3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71" w:hRule="atLeast"/>
        </w:trPr>
        <w:tc>
          <w:tcPr>
            <w:tcW w:w="445" w:type="dxa"/>
            <w:shd w:val="clear" w:color="auto" w:fill="auto"/>
            <w:vAlign w:val="bottom"/>
          </w:tcPr>
          <w:p>
            <w:pPr>
              <w:rPr>
                <w:rFonts w:hint="eastAsia" w:ascii="Calibri" w:hAnsi="Calibri" w:cs="Calibri"/>
                <w:i w:val="0"/>
                <w:color w:val="auto"/>
                <w:sz w:val="16"/>
                <w:szCs w:val="16"/>
                <w:u w:val="none"/>
              </w:rPr>
            </w:pPr>
          </w:p>
        </w:tc>
        <w:tc>
          <w:tcPr>
            <w:tcW w:w="549" w:type="dxa"/>
            <w:shd w:val="clear" w:color="auto" w:fill="auto"/>
            <w:vAlign w:val="bottom"/>
          </w:tcPr>
          <w:p>
            <w:pPr>
              <w:rPr>
                <w:rFonts w:hint="default" w:ascii="Calibri" w:hAnsi="Calibri" w:cs="Calibri"/>
                <w:i w:val="0"/>
                <w:color w:val="auto"/>
                <w:sz w:val="16"/>
                <w:szCs w:val="16"/>
                <w:u w:val="none"/>
              </w:rPr>
            </w:pPr>
          </w:p>
        </w:tc>
        <w:tc>
          <w:tcPr>
            <w:tcW w:w="240" w:type="dxa"/>
            <w:shd w:val="clear" w:color="auto" w:fill="auto"/>
            <w:vAlign w:val="bottom"/>
          </w:tcPr>
          <w:p>
            <w:pPr>
              <w:rPr>
                <w:rFonts w:hint="default" w:ascii="Calibri" w:hAnsi="Calibri" w:cs="Calibri"/>
                <w:i w:val="0"/>
                <w:color w:val="auto"/>
                <w:sz w:val="16"/>
                <w:szCs w:val="16"/>
                <w:u w:val="none"/>
              </w:rPr>
            </w:pPr>
          </w:p>
        </w:tc>
        <w:tc>
          <w:tcPr>
            <w:tcW w:w="240" w:type="dxa"/>
            <w:shd w:val="clear" w:color="auto" w:fill="auto"/>
            <w:vAlign w:val="bottom"/>
          </w:tcPr>
          <w:p>
            <w:pPr>
              <w:rPr>
                <w:rFonts w:hint="default" w:ascii="Calibri" w:hAnsi="Calibri" w:cs="Calibri"/>
                <w:i w:val="0"/>
                <w:color w:val="auto"/>
                <w:sz w:val="16"/>
                <w:szCs w:val="16"/>
                <w:u w:val="none"/>
              </w:rPr>
            </w:pPr>
          </w:p>
        </w:tc>
        <w:tc>
          <w:tcPr>
            <w:tcW w:w="591" w:type="dxa"/>
            <w:shd w:val="clear" w:color="auto" w:fill="auto"/>
            <w:vAlign w:val="bottom"/>
          </w:tcPr>
          <w:p>
            <w:pPr>
              <w:rPr>
                <w:rFonts w:hint="default" w:ascii="Calibri" w:hAnsi="Calibri" w:cs="Calibri"/>
                <w:i w:val="0"/>
                <w:color w:val="auto"/>
                <w:sz w:val="16"/>
                <w:szCs w:val="16"/>
                <w:u w:val="none"/>
              </w:rPr>
            </w:pPr>
          </w:p>
        </w:tc>
        <w:tc>
          <w:tcPr>
            <w:tcW w:w="465" w:type="dxa"/>
            <w:shd w:val="clear" w:color="auto" w:fill="auto"/>
            <w:vAlign w:val="bottom"/>
          </w:tcPr>
          <w:p>
            <w:pPr>
              <w:rPr>
                <w:rFonts w:hint="default" w:ascii="Calibri" w:hAnsi="Calibri" w:cs="Calibri"/>
                <w:i w:val="0"/>
                <w:color w:val="auto"/>
                <w:sz w:val="16"/>
                <w:szCs w:val="16"/>
                <w:u w:val="none"/>
              </w:rPr>
            </w:pPr>
          </w:p>
        </w:tc>
        <w:tc>
          <w:tcPr>
            <w:tcW w:w="375" w:type="dxa"/>
            <w:shd w:val="clear" w:color="auto" w:fill="auto"/>
            <w:vAlign w:val="bottom"/>
          </w:tcPr>
          <w:p>
            <w:pPr>
              <w:rPr>
                <w:rFonts w:hint="default" w:ascii="Calibri" w:hAnsi="Calibri" w:cs="Calibri"/>
                <w:i w:val="0"/>
                <w:color w:val="auto"/>
                <w:sz w:val="16"/>
                <w:szCs w:val="16"/>
                <w:u w:val="none"/>
              </w:rPr>
            </w:pPr>
          </w:p>
        </w:tc>
        <w:tc>
          <w:tcPr>
            <w:tcW w:w="300" w:type="dxa"/>
            <w:shd w:val="clear" w:color="auto" w:fill="auto"/>
            <w:vAlign w:val="bottom"/>
          </w:tcPr>
          <w:p>
            <w:pPr>
              <w:rPr>
                <w:rFonts w:hint="default" w:ascii="Calibri" w:hAnsi="Calibri" w:cs="Calibri"/>
                <w:i w:val="0"/>
                <w:color w:val="auto"/>
                <w:sz w:val="16"/>
                <w:szCs w:val="16"/>
                <w:u w:val="none"/>
              </w:rPr>
            </w:pPr>
          </w:p>
        </w:tc>
        <w:tc>
          <w:tcPr>
            <w:tcW w:w="615" w:type="dxa"/>
            <w:shd w:val="clear" w:color="auto" w:fill="auto"/>
            <w:vAlign w:val="bottom"/>
          </w:tcPr>
          <w:p>
            <w:pPr>
              <w:rPr>
                <w:rFonts w:hint="default" w:ascii="Calibri" w:hAnsi="Calibri" w:cs="Calibri"/>
                <w:i w:val="0"/>
                <w:color w:val="auto"/>
                <w:sz w:val="16"/>
                <w:szCs w:val="16"/>
                <w:u w:val="none"/>
              </w:rPr>
            </w:pPr>
          </w:p>
        </w:tc>
        <w:tc>
          <w:tcPr>
            <w:tcW w:w="240" w:type="dxa"/>
            <w:shd w:val="clear" w:color="auto" w:fill="auto"/>
            <w:vAlign w:val="bottom"/>
          </w:tcPr>
          <w:p>
            <w:pPr>
              <w:rPr>
                <w:rFonts w:hint="default" w:ascii="Calibri" w:hAnsi="Calibri" w:cs="Calibri"/>
                <w:i w:val="0"/>
                <w:color w:val="auto"/>
                <w:sz w:val="16"/>
                <w:szCs w:val="16"/>
                <w:u w:val="none"/>
              </w:rPr>
            </w:pPr>
          </w:p>
        </w:tc>
        <w:tc>
          <w:tcPr>
            <w:tcW w:w="240" w:type="dxa"/>
            <w:shd w:val="clear" w:color="auto" w:fill="auto"/>
            <w:vAlign w:val="bottom"/>
          </w:tcPr>
          <w:p>
            <w:pPr>
              <w:rPr>
                <w:rFonts w:hint="default" w:ascii="Calibri" w:hAnsi="Calibri" w:cs="Calibri"/>
                <w:i w:val="0"/>
                <w:color w:val="auto"/>
                <w:sz w:val="16"/>
                <w:szCs w:val="16"/>
                <w:u w:val="none"/>
              </w:rPr>
            </w:pPr>
          </w:p>
        </w:tc>
        <w:tc>
          <w:tcPr>
            <w:tcW w:w="720" w:type="dxa"/>
            <w:shd w:val="clear" w:color="auto" w:fill="auto"/>
            <w:vAlign w:val="bottom"/>
          </w:tcPr>
          <w:p>
            <w:pPr>
              <w:rPr>
                <w:rFonts w:hint="default" w:ascii="Calibri" w:hAnsi="Calibri" w:cs="Calibri"/>
                <w:i w:val="0"/>
                <w:color w:val="auto"/>
                <w:sz w:val="16"/>
                <w:szCs w:val="16"/>
                <w:u w:val="none"/>
              </w:rPr>
            </w:pPr>
          </w:p>
        </w:tc>
        <w:tc>
          <w:tcPr>
            <w:tcW w:w="600" w:type="dxa"/>
            <w:shd w:val="clear" w:color="auto" w:fill="auto"/>
            <w:vAlign w:val="bottom"/>
          </w:tcPr>
          <w:p>
            <w:pPr>
              <w:rPr>
                <w:rFonts w:hint="default" w:ascii="Calibri" w:hAnsi="Calibri" w:cs="Calibri"/>
                <w:i w:val="0"/>
                <w:color w:val="auto"/>
                <w:sz w:val="16"/>
                <w:szCs w:val="16"/>
                <w:u w:val="none"/>
              </w:rPr>
            </w:pPr>
          </w:p>
        </w:tc>
        <w:tc>
          <w:tcPr>
            <w:tcW w:w="555" w:type="dxa"/>
            <w:shd w:val="clear" w:color="auto" w:fill="auto"/>
            <w:vAlign w:val="bottom"/>
          </w:tcPr>
          <w:p>
            <w:pPr>
              <w:rPr>
                <w:rFonts w:hint="default" w:ascii="Calibri" w:hAnsi="Calibri" w:cs="Calibri"/>
                <w:i w:val="0"/>
                <w:color w:val="auto"/>
                <w:sz w:val="16"/>
                <w:szCs w:val="16"/>
                <w:u w:val="none"/>
              </w:rPr>
            </w:pPr>
          </w:p>
        </w:tc>
        <w:tc>
          <w:tcPr>
            <w:tcW w:w="4735" w:type="dxa"/>
            <w:shd w:val="clear" w:color="auto" w:fill="auto"/>
            <w:vAlign w:val="bottom"/>
          </w:tcPr>
          <w:p>
            <w:pPr>
              <w:rPr>
                <w:rFonts w:hint="default" w:ascii="Calibri" w:hAnsi="Calibri" w:cs="Calibri"/>
                <w:i w:val="0"/>
                <w:color w:val="auto"/>
                <w:sz w:val="16"/>
                <w:szCs w:val="16"/>
                <w:u w:val="none"/>
              </w:rPr>
            </w:pPr>
          </w:p>
        </w:tc>
        <w:tc>
          <w:tcPr>
            <w:tcW w:w="872" w:type="dxa"/>
            <w:gridSpan w:val="2"/>
            <w:shd w:val="clear" w:color="auto" w:fill="auto"/>
            <w:vAlign w:val="bottom"/>
          </w:tcPr>
          <w:p>
            <w:pPr>
              <w:rPr>
                <w:rFonts w:hint="default" w:ascii="Calibri" w:hAnsi="Calibri" w:cs="Calibri"/>
                <w:i w:val="0"/>
                <w:color w:val="auto"/>
                <w:sz w:val="16"/>
                <w:szCs w:val="16"/>
                <w:u w:val="none"/>
              </w:rPr>
            </w:pPr>
          </w:p>
        </w:tc>
        <w:tc>
          <w:tcPr>
            <w:tcW w:w="582" w:type="dxa"/>
            <w:shd w:val="clear" w:color="auto" w:fill="auto"/>
            <w:vAlign w:val="bottom"/>
          </w:tcPr>
          <w:p>
            <w:pPr>
              <w:rPr>
                <w:rFonts w:hint="default" w:ascii="Calibri" w:hAnsi="Calibri" w:cs="Calibri"/>
                <w:i w:val="0"/>
                <w:color w:val="auto"/>
                <w:sz w:val="16"/>
                <w:szCs w:val="16"/>
                <w:u w:val="none"/>
              </w:rPr>
            </w:pPr>
          </w:p>
        </w:tc>
        <w:tc>
          <w:tcPr>
            <w:tcW w:w="1631" w:type="dxa"/>
            <w:gridSpan w:val="3"/>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预算02表</w:t>
            </w:r>
          </w:p>
        </w:tc>
        <w:tc>
          <w:tcPr>
            <w:tcW w:w="327"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16"/>
                <w:szCs w:val="16"/>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20" w:hRule="atLeast"/>
        </w:trPr>
        <w:tc>
          <w:tcPr>
            <w:tcW w:w="13091" w:type="dxa"/>
            <w:gridSpan w:val="19"/>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16"/>
                <w:szCs w:val="16"/>
                <w:u w:val="none"/>
              </w:rPr>
            </w:pPr>
            <w:bookmarkStart w:id="0" w:name="_GoBack"/>
            <w:bookmarkEnd w:id="0"/>
            <w:r>
              <w:rPr>
                <w:rFonts w:hint="eastAsia" w:ascii="宋体" w:hAnsi="宋体" w:eastAsia="宋体" w:cs="宋体"/>
                <w:b/>
                <w:i w:val="0"/>
                <w:color w:val="auto"/>
                <w:kern w:val="0"/>
                <w:sz w:val="16"/>
                <w:szCs w:val="16"/>
                <w:u w:val="none"/>
                <w:lang w:val="en-US" w:eastAsia="zh-CN" w:bidi="ar"/>
              </w:rPr>
              <w:t>收入预算总表</w:t>
            </w:r>
          </w:p>
        </w:tc>
        <w:tc>
          <w:tcPr>
            <w:tcW w:w="904" w:type="dxa"/>
            <w:gridSpan w:val="2"/>
            <w:shd w:val="clear" w:color="auto" w:fill="auto"/>
            <w:vAlign w:val="center"/>
          </w:tcPr>
          <w:p>
            <w:pPr>
              <w:keepNext w:val="0"/>
              <w:keepLines w:val="0"/>
              <w:widowControl/>
              <w:suppressLineNumbers w:val="0"/>
              <w:jc w:val="center"/>
              <w:textAlignment w:val="center"/>
              <w:rPr>
                <w:color w:val="auto"/>
              </w:rPr>
            </w:pPr>
            <w:r>
              <w:rPr>
                <w:rFonts w:hint="eastAsia" w:ascii="宋体" w:hAnsi="宋体" w:eastAsia="宋体" w:cs="宋体"/>
                <w:b/>
                <w:i w:val="0"/>
                <w:color w:val="auto"/>
                <w:kern w:val="0"/>
                <w:sz w:val="16"/>
                <w:szCs w:val="16"/>
                <w:u w:val="none"/>
                <w:lang w:val="en-US" w:eastAsia="zh-CN" w:bidi="ar"/>
              </w:rPr>
              <w:t>收入预算总表</w:t>
            </w:r>
          </w:p>
        </w:tc>
        <w:tc>
          <w:tcPr>
            <w:tcW w:w="327" w:type="dxa"/>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kern w:val="0"/>
                <w:sz w:val="16"/>
                <w:szCs w:val="16"/>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94" w:hRule="atLeast"/>
        </w:trPr>
        <w:tc>
          <w:tcPr>
            <w:tcW w:w="2530" w:type="dxa"/>
            <w:gridSpan w:val="6"/>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填报单位:[917]兴国县梅窖镇 , [917001]兴国县梅窖镇人民政府</w:t>
            </w:r>
          </w:p>
        </w:tc>
        <w:tc>
          <w:tcPr>
            <w:tcW w:w="375" w:type="dxa"/>
            <w:shd w:val="clear" w:color="auto" w:fill="auto"/>
            <w:vAlign w:val="bottom"/>
          </w:tcPr>
          <w:p>
            <w:pPr>
              <w:rPr>
                <w:rFonts w:hint="eastAsia" w:ascii="宋体" w:hAnsi="宋体" w:eastAsia="宋体" w:cs="宋体"/>
                <w:i w:val="0"/>
                <w:color w:val="auto"/>
                <w:sz w:val="16"/>
                <w:szCs w:val="16"/>
                <w:u w:val="none"/>
              </w:rPr>
            </w:pPr>
          </w:p>
        </w:tc>
        <w:tc>
          <w:tcPr>
            <w:tcW w:w="300" w:type="dxa"/>
            <w:shd w:val="clear" w:color="auto" w:fill="auto"/>
            <w:vAlign w:val="bottom"/>
          </w:tcPr>
          <w:p>
            <w:pPr>
              <w:rPr>
                <w:rFonts w:hint="default" w:ascii="Calibri" w:hAnsi="Calibri" w:cs="Calibri"/>
                <w:i w:val="0"/>
                <w:color w:val="auto"/>
                <w:sz w:val="16"/>
                <w:szCs w:val="16"/>
                <w:u w:val="none"/>
              </w:rPr>
            </w:pPr>
          </w:p>
        </w:tc>
        <w:tc>
          <w:tcPr>
            <w:tcW w:w="615" w:type="dxa"/>
            <w:shd w:val="clear" w:color="auto" w:fill="auto"/>
            <w:vAlign w:val="bottom"/>
          </w:tcPr>
          <w:p>
            <w:pPr>
              <w:rPr>
                <w:rFonts w:hint="default" w:ascii="Calibri" w:hAnsi="Calibri" w:cs="Calibri"/>
                <w:i w:val="0"/>
                <w:color w:val="auto"/>
                <w:sz w:val="16"/>
                <w:szCs w:val="16"/>
                <w:u w:val="none"/>
              </w:rPr>
            </w:pPr>
          </w:p>
        </w:tc>
        <w:tc>
          <w:tcPr>
            <w:tcW w:w="240" w:type="dxa"/>
            <w:shd w:val="clear" w:color="auto" w:fill="auto"/>
            <w:vAlign w:val="bottom"/>
          </w:tcPr>
          <w:p>
            <w:pPr>
              <w:rPr>
                <w:rFonts w:hint="default" w:ascii="Calibri" w:hAnsi="Calibri" w:cs="Calibri"/>
                <w:i w:val="0"/>
                <w:color w:val="auto"/>
                <w:sz w:val="16"/>
                <w:szCs w:val="16"/>
                <w:u w:val="none"/>
              </w:rPr>
            </w:pPr>
          </w:p>
        </w:tc>
        <w:tc>
          <w:tcPr>
            <w:tcW w:w="240" w:type="dxa"/>
            <w:shd w:val="clear" w:color="auto" w:fill="auto"/>
            <w:vAlign w:val="bottom"/>
          </w:tcPr>
          <w:p>
            <w:pPr>
              <w:rPr>
                <w:rFonts w:hint="default" w:ascii="Calibri" w:hAnsi="Calibri" w:cs="Calibri"/>
                <w:i w:val="0"/>
                <w:color w:val="auto"/>
                <w:sz w:val="16"/>
                <w:szCs w:val="16"/>
                <w:u w:val="none"/>
              </w:rPr>
            </w:pPr>
          </w:p>
        </w:tc>
        <w:tc>
          <w:tcPr>
            <w:tcW w:w="720" w:type="dxa"/>
            <w:shd w:val="clear" w:color="auto" w:fill="auto"/>
            <w:vAlign w:val="bottom"/>
          </w:tcPr>
          <w:p>
            <w:pPr>
              <w:rPr>
                <w:rFonts w:hint="default" w:ascii="Calibri" w:hAnsi="Calibri" w:cs="Calibri"/>
                <w:i w:val="0"/>
                <w:color w:val="auto"/>
                <w:sz w:val="16"/>
                <w:szCs w:val="16"/>
                <w:u w:val="none"/>
              </w:rPr>
            </w:pPr>
          </w:p>
        </w:tc>
        <w:tc>
          <w:tcPr>
            <w:tcW w:w="600" w:type="dxa"/>
            <w:shd w:val="clear" w:color="auto" w:fill="auto"/>
            <w:vAlign w:val="bottom"/>
          </w:tcPr>
          <w:p>
            <w:pPr>
              <w:rPr>
                <w:rFonts w:hint="default" w:ascii="Calibri" w:hAnsi="Calibri" w:cs="Calibri"/>
                <w:i w:val="0"/>
                <w:color w:val="auto"/>
                <w:sz w:val="16"/>
                <w:szCs w:val="16"/>
                <w:u w:val="none"/>
              </w:rPr>
            </w:pPr>
          </w:p>
        </w:tc>
        <w:tc>
          <w:tcPr>
            <w:tcW w:w="555" w:type="dxa"/>
            <w:shd w:val="clear" w:color="auto" w:fill="auto"/>
            <w:vAlign w:val="bottom"/>
          </w:tcPr>
          <w:p>
            <w:pPr>
              <w:rPr>
                <w:rFonts w:hint="default" w:ascii="Calibri" w:hAnsi="Calibri" w:cs="Calibri"/>
                <w:i w:val="0"/>
                <w:color w:val="auto"/>
                <w:sz w:val="16"/>
                <w:szCs w:val="16"/>
                <w:u w:val="none"/>
              </w:rPr>
            </w:pPr>
          </w:p>
        </w:tc>
        <w:tc>
          <w:tcPr>
            <w:tcW w:w="4735" w:type="dxa"/>
            <w:shd w:val="clear" w:color="auto" w:fill="auto"/>
            <w:vAlign w:val="bottom"/>
          </w:tcPr>
          <w:p>
            <w:pPr>
              <w:rPr>
                <w:rFonts w:hint="default" w:ascii="Calibri" w:hAnsi="Calibri" w:cs="Calibri"/>
                <w:i w:val="0"/>
                <w:color w:val="auto"/>
                <w:sz w:val="16"/>
                <w:szCs w:val="16"/>
                <w:u w:val="none"/>
              </w:rPr>
            </w:pPr>
          </w:p>
        </w:tc>
        <w:tc>
          <w:tcPr>
            <w:tcW w:w="872" w:type="dxa"/>
            <w:gridSpan w:val="2"/>
            <w:shd w:val="clear" w:color="auto" w:fill="auto"/>
            <w:vAlign w:val="bottom"/>
          </w:tcPr>
          <w:p>
            <w:pPr>
              <w:rPr>
                <w:rFonts w:hint="default" w:ascii="Calibri" w:hAnsi="Calibri" w:cs="Calibri"/>
                <w:i w:val="0"/>
                <w:color w:val="auto"/>
                <w:sz w:val="16"/>
                <w:szCs w:val="16"/>
                <w:u w:val="none"/>
              </w:rPr>
            </w:pPr>
          </w:p>
        </w:tc>
        <w:tc>
          <w:tcPr>
            <w:tcW w:w="582" w:type="dxa"/>
            <w:shd w:val="clear" w:color="auto" w:fill="auto"/>
            <w:vAlign w:val="bottom"/>
          </w:tcPr>
          <w:p>
            <w:pPr>
              <w:rPr>
                <w:rFonts w:hint="default" w:ascii="Calibri" w:hAnsi="Calibri" w:cs="Calibri"/>
                <w:i w:val="0"/>
                <w:color w:val="auto"/>
                <w:sz w:val="16"/>
                <w:szCs w:val="16"/>
                <w:u w:val="none"/>
              </w:rPr>
            </w:pPr>
          </w:p>
        </w:tc>
        <w:tc>
          <w:tcPr>
            <w:tcW w:w="1631" w:type="dxa"/>
            <w:gridSpan w:val="3"/>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单位：万元</w:t>
            </w:r>
          </w:p>
        </w:tc>
        <w:tc>
          <w:tcPr>
            <w:tcW w:w="327"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16"/>
                <w:szCs w:val="16"/>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单位编码</w:t>
            </w:r>
          </w:p>
        </w:tc>
        <w:tc>
          <w:tcPr>
            <w:tcW w:w="102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科目</w:t>
            </w:r>
          </w:p>
        </w:tc>
        <w:tc>
          <w:tcPr>
            <w:tcW w:w="5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单位名称(科目)</w:t>
            </w: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合计</w:t>
            </w:r>
          </w:p>
        </w:tc>
        <w:tc>
          <w:tcPr>
            <w:tcW w:w="910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本年收入</w:t>
            </w:r>
          </w:p>
        </w:tc>
        <w:tc>
          <w:tcPr>
            <w:tcW w:w="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使用非财政拨款结余</w:t>
            </w: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color w:val="auto"/>
              </w:rPr>
            </w:pPr>
          </w:p>
        </w:tc>
        <w:tc>
          <w:tcPr>
            <w:tcW w:w="16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上年结转（结余）</w:t>
            </w:r>
          </w:p>
        </w:tc>
        <w:tc>
          <w:tcPr>
            <w:tcW w:w="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16"/>
                <w:szCs w:val="16"/>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102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5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15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财政拨款</w:t>
            </w:r>
          </w:p>
        </w:tc>
        <w:tc>
          <w:tcPr>
            <w:tcW w:w="2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教育收费资金收入</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事业收入</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事业单位经营收入</w:t>
            </w:r>
          </w:p>
        </w:tc>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附属单位上缴收入</w:t>
            </w:r>
          </w:p>
        </w:tc>
        <w:tc>
          <w:tcPr>
            <w:tcW w:w="4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上级补助收入</w:t>
            </w:r>
          </w:p>
        </w:tc>
        <w:tc>
          <w:tcPr>
            <w:tcW w:w="8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其他收入</w:t>
            </w: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8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国库集中支付结转(结余)</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其他资金结转(结余)</w:t>
            </w:r>
          </w:p>
        </w:tc>
        <w:tc>
          <w:tcPr>
            <w:tcW w:w="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16"/>
                <w:szCs w:val="16"/>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60" w:hRule="atLeast"/>
        </w:trPr>
        <w:tc>
          <w:tcPr>
            <w:tcW w:w="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类</w:t>
            </w: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款</w:t>
            </w: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项</w:t>
            </w:r>
          </w:p>
        </w:tc>
        <w:tc>
          <w:tcPr>
            <w:tcW w:w="5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小计</w:t>
            </w:r>
          </w:p>
        </w:tc>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一般公共预算收入</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政府性基金预算收入</w:t>
            </w: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国有资本经营预算收入</w:t>
            </w:r>
          </w:p>
        </w:tc>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4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8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8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3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w:t>
            </w: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w:t>
            </w: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w:t>
            </w:r>
          </w:p>
        </w:tc>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3</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4</w:t>
            </w: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5</w:t>
            </w: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7</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8</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9</w:t>
            </w:r>
          </w:p>
        </w:tc>
        <w:tc>
          <w:tcPr>
            <w:tcW w:w="4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10</w:t>
            </w:r>
          </w:p>
        </w:tc>
        <w:tc>
          <w:tcPr>
            <w:tcW w:w="8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11</w:t>
            </w: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12</w:t>
            </w:r>
          </w:p>
        </w:tc>
        <w:tc>
          <w:tcPr>
            <w:tcW w:w="8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14</w:t>
            </w:r>
          </w:p>
        </w:tc>
        <w:tc>
          <w:tcPr>
            <w:tcW w:w="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16"/>
                <w:szCs w:val="16"/>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i w:val="0"/>
                <w:color w:val="auto"/>
                <w:sz w:val="16"/>
                <w:szCs w:val="16"/>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i w:val="0"/>
                <w:color w:val="auto"/>
                <w:sz w:val="16"/>
                <w:szCs w:val="16"/>
                <w:u w:val="none"/>
              </w:rPr>
            </w:pP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i w:val="0"/>
                <w:color w:val="auto"/>
                <w:sz w:val="16"/>
                <w:szCs w:val="16"/>
                <w:u w:val="none"/>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1865.31</w:t>
            </w: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665.31</w:t>
            </w:r>
          </w:p>
        </w:tc>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665.31</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4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8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1200.00</w:t>
            </w: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8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3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16"/>
                <w:szCs w:val="16"/>
                <w:u w:val="none"/>
              </w:rPr>
            </w:pPr>
            <w:r>
              <w:rPr>
                <w:rFonts w:hint="eastAsia" w:ascii="宋体" w:hAnsi="宋体" w:eastAsia="宋体" w:cs="宋体"/>
                <w:i w:val="0"/>
                <w:color w:val="auto"/>
                <w:kern w:val="0"/>
                <w:sz w:val="16"/>
                <w:szCs w:val="16"/>
                <w:u w:val="none"/>
                <w:lang w:val="en-US" w:eastAsia="zh-CN" w:bidi="ar"/>
              </w:rPr>
              <w:t>917001</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i w:val="0"/>
                <w:color w:val="auto"/>
                <w:sz w:val="16"/>
                <w:szCs w:val="16"/>
                <w:u w:val="none"/>
              </w:rPr>
            </w:pP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16"/>
                <w:szCs w:val="16"/>
                <w:u w:val="none"/>
              </w:rPr>
            </w:pPr>
            <w:r>
              <w:rPr>
                <w:rFonts w:hint="eastAsia" w:ascii="宋体" w:hAnsi="宋体" w:eastAsia="宋体" w:cs="宋体"/>
                <w:i w:val="0"/>
                <w:color w:val="auto"/>
                <w:kern w:val="0"/>
                <w:sz w:val="16"/>
                <w:szCs w:val="16"/>
                <w:u w:val="none"/>
                <w:lang w:val="en-US" w:eastAsia="zh-CN" w:bidi="ar"/>
              </w:rPr>
              <w:t>兴国县梅窖镇人民政府</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16"/>
                <w:szCs w:val="16"/>
                <w:u w:val="none"/>
              </w:rPr>
            </w:pPr>
            <w:r>
              <w:rPr>
                <w:rFonts w:hint="eastAsia" w:ascii="宋体" w:hAnsi="宋体" w:eastAsia="宋体" w:cs="宋体"/>
                <w:i w:val="0"/>
                <w:color w:val="auto"/>
                <w:kern w:val="0"/>
                <w:sz w:val="16"/>
                <w:szCs w:val="16"/>
                <w:u w:val="none"/>
                <w:lang w:val="en-US" w:eastAsia="zh-CN" w:bidi="ar"/>
              </w:rPr>
              <w:t>1865.31</w:t>
            </w: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16"/>
                <w:szCs w:val="16"/>
                <w:u w:val="none"/>
              </w:rPr>
            </w:pPr>
            <w:r>
              <w:rPr>
                <w:rFonts w:hint="eastAsia" w:ascii="宋体" w:hAnsi="宋体" w:eastAsia="宋体" w:cs="宋体"/>
                <w:i w:val="0"/>
                <w:color w:val="auto"/>
                <w:kern w:val="0"/>
                <w:sz w:val="16"/>
                <w:szCs w:val="16"/>
                <w:u w:val="none"/>
                <w:lang w:val="en-US" w:eastAsia="zh-CN" w:bidi="ar"/>
              </w:rPr>
              <w:t>665.31</w:t>
            </w:r>
          </w:p>
        </w:tc>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auto"/>
                <w:sz w:val="16"/>
                <w:szCs w:val="16"/>
                <w:u w:val="none"/>
              </w:rPr>
            </w:pPr>
            <w:r>
              <w:rPr>
                <w:rFonts w:hint="eastAsia" w:ascii="宋体" w:hAnsi="宋体" w:eastAsia="宋体" w:cs="宋体"/>
                <w:i w:val="0"/>
                <w:color w:val="auto"/>
                <w:kern w:val="0"/>
                <w:sz w:val="16"/>
                <w:szCs w:val="16"/>
                <w:u w:val="none"/>
                <w:lang w:val="en-US" w:eastAsia="zh-CN" w:bidi="ar"/>
              </w:rPr>
              <w:t>665.31</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4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8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1200.00</w:t>
            </w: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8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3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917001</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201</w:t>
            </w: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03</w:t>
            </w: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01</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行政运行</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496.26</w:t>
            </w: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496.26</w:t>
            </w:r>
          </w:p>
        </w:tc>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496.26</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4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3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917001</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208</w:t>
            </w: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05</w:t>
            </w: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05</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机关事业单位基本养老保险缴费支出</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66.86</w:t>
            </w: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66.86</w:t>
            </w:r>
          </w:p>
        </w:tc>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66.86</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4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3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917001</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208</w:t>
            </w: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99</w:t>
            </w: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99</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其他社会保障和就业支出</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1.16</w:t>
            </w: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1.16</w:t>
            </w:r>
          </w:p>
        </w:tc>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1.16</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4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3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917001</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210</w:t>
            </w: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11</w:t>
            </w: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01</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行政单位医疗</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24.01</w:t>
            </w: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24.01</w:t>
            </w:r>
          </w:p>
        </w:tc>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24.01</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4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3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917001</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210</w:t>
            </w: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11</w:t>
            </w: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03</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公务员医疗补助</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21.53</w:t>
            </w: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21.53</w:t>
            </w:r>
          </w:p>
        </w:tc>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21.53</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4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3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917001</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221</w:t>
            </w: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02</w:t>
            </w: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01</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住房公积金</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55.50</w:t>
            </w: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55.50</w:t>
            </w:r>
          </w:p>
        </w:tc>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55.50</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4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3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917001</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229</w:t>
            </w: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99</w:t>
            </w: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99</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其他支出</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1200.00</w:t>
            </w: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4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1200.00</w:t>
            </w: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3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r>
    </w:tbl>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《部门支出总表》</w:t>
      </w:r>
    </w:p>
    <w:tbl>
      <w:tblPr>
        <w:tblStyle w:val="4"/>
        <w:tblW w:w="155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75"/>
        <w:gridCol w:w="400"/>
        <w:gridCol w:w="369"/>
        <w:gridCol w:w="398"/>
        <w:gridCol w:w="503"/>
        <w:gridCol w:w="803"/>
        <w:gridCol w:w="946"/>
        <w:gridCol w:w="946"/>
        <w:gridCol w:w="670"/>
        <w:gridCol w:w="622"/>
        <w:gridCol w:w="945"/>
        <w:gridCol w:w="558"/>
        <w:gridCol w:w="876"/>
        <w:gridCol w:w="326"/>
        <w:gridCol w:w="937"/>
        <w:gridCol w:w="937"/>
        <w:gridCol w:w="937"/>
        <w:gridCol w:w="937"/>
        <w:gridCol w:w="937"/>
        <w:gridCol w:w="937"/>
        <w:gridCol w:w="8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14659" w:type="dxa"/>
            <w:gridSpan w:val="20"/>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支出预算总表</w:t>
            </w:r>
          </w:p>
        </w:tc>
        <w:tc>
          <w:tcPr>
            <w:tcW w:w="851" w:type="dxa"/>
            <w:tcBorders>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预算03表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75" w:hRule="atLeast"/>
        </w:trPr>
        <w:tc>
          <w:tcPr>
            <w:tcW w:w="14659" w:type="dxa"/>
            <w:gridSpan w:val="20"/>
            <w:vMerge w:val="continue"/>
            <w:shd w:val="clear" w:color="auto" w:fill="auto"/>
            <w:vAlign w:val="center"/>
          </w:tcPr>
          <w:p>
            <w:pPr>
              <w:jc w:val="center"/>
              <w:rPr>
                <w:rFonts w:hint="eastAsia" w:ascii="宋体" w:hAnsi="宋体" w:eastAsia="宋体" w:cs="宋体"/>
                <w:b/>
                <w:i w:val="0"/>
                <w:color w:val="auto"/>
                <w:sz w:val="16"/>
                <w:szCs w:val="16"/>
                <w:u w:val="none"/>
              </w:rPr>
            </w:pPr>
          </w:p>
        </w:tc>
        <w:tc>
          <w:tcPr>
            <w:tcW w:w="851" w:type="dxa"/>
            <w:tcBorders>
              <w:right w:val="single" w:color="000000" w:sz="4" w:space="0"/>
            </w:tcBorders>
            <w:shd w:val="clear" w:color="auto" w:fill="auto"/>
            <w:vAlign w:val="center"/>
          </w:tcPr>
          <w:p>
            <w:pPr>
              <w:jc w:val="center"/>
              <w:rPr>
                <w:rFonts w:hint="eastAsia" w:ascii="宋体" w:hAnsi="宋体" w:eastAsia="宋体" w:cs="宋体"/>
                <w:b/>
                <w:i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675" w:type="dxa"/>
            <w:tcBorders>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填报单位:[917]兴国县梅窖镇 , [917001]兴国县梅窖镇人民政府</w:t>
            </w:r>
          </w:p>
        </w:tc>
        <w:tc>
          <w:tcPr>
            <w:tcW w:w="400" w:type="dxa"/>
            <w:tcBorders>
              <w:bottom w:val="single" w:color="000000" w:sz="4" w:space="0"/>
            </w:tcBorders>
            <w:shd w:val="clear" w:color="auto" w:fill="auto"/>
            <w:vAlign w:val="center"/>
          </w:tcPr>
          <w:p>
            <w:pPr>
              <w:jc w:val="center"/>
              <w:rPr>
                <w:rFonts w:hint="eastAsia" w:ascii="宋体" w:hAnsi="宋体" w:eastAsia="宋体" w:cs="宋体"/>
                <w:b/>
                <w:i w:val="0"/>
                <w:color w:val="auto"/>
                <w:sz w:val="16"/>
                <w:szCs w:val="16"/>
                <w:u w:val="none"/>
              </w:rPr>
            </w:pPr>
          </w:p>
        </w:tc>
        <w:tc>
          <w:tcPr>
            <w:tcW w:w="369" w:type="dxa"/>
            <w:tcBorders>
              <w:bottom w:val="single" w:color="000000" w:sz="4" w:space="0"/>
            </w:tcBorders>
            <w:shd w:val="clear" w:color="auto" w:fill="auto"/>
            <w:vAlign w:val="center"/>
          </w:tcPr>
          <w:p>
            <w:pPr>
              <w:jc w:val="center"/>
              <w:rPr>
                <w:rFonts w:hint="eastAsia" w:ascii="宋体" w:hAnsi="宋体" w:eastAsia="宋体" w:cs="宋体"/>
                <w:b/>
                <w:i w:val="0"/>
                <w:color w:val="auto"/>
                <w:sz w:val="16"/>
                <w:szCs w:val="16"/>
                <w:u w:val="none"/>
              </w:rPr>
            </w:pPr>
          </w:p>
        </w:tc>
        <w:tc>
          <w:tcPr>
            <w:tcW w:w="398" w:type="dxa"/>
            <w:tcBorders>
              <w:bottom w:val="single" w:color="000000" w:sz="4" w:space="0"/>
            </w:tcBorders>
            <w:shd w:val="clear" w:color="auto" w:fill="auto"/>
            <w:vAlign w:val="center"/>
          </w:tcPr>
          <w:p>
            <w:pPr>
              <w:jc w:val="center"/>
              <w:rPr>
                <w:rFonts w:hint="eastAsia" w:ascii="宋体" w:hAnsi="宋体" w:eastAsia="宋体" w:cs="宋体"/>
                <w:b/>
                <w:i w:val="0"/>
                <w:color w:val="auto"/>
                <w:sz w:val="16"/>
                <w:szCs w:val="16"/>
                <w:u w:val="none"/>
              </w:rPr>
            </w:pPr>
          </w:p>
        </w:tc>
        <w:tc>
          <w:tcPr>
            <w:tcW w:w="503" w:type="dxa"/>
            <w:tcBorders>
              <w:bottom w:val="single" w:color="000000" w:sz="4" w:space="0"/>
            </w:tcBorders>
            <w:shd w:val="clear" w:color="auto" w:fill="auto"/>
            <w:vAlign w:val="center"/>
          </w:tcPr>
          <w:p>
            <w:pPr>
              <w:jc w:val="center"/>
              <w:rPr>
                <w:rFonts w:hint="eastAsia" w:ascii="宋体" w:hAnsi="宋体" w:eastAsia="宋体" w:cs="宋体"/>
                <w:b/>
                <w:i w:val="0"/>
                <w:color w:val="auto"/>
                <w:sz w:val="16"/>
                <w:szCs w:val="16"/>
                <w:u w:val="none"/>
              </w:rPr>
            </w:pPr>
          </w:p>
        </w:tc>
        <w:tc>
          <w:tcPr>
            <w:tcW w:w="803" w:type="dxa"/>
            <w:tcBorders>
              <w:bottom w:val="single" w:color="000000" w:sz="4" w:space="0"/>
            </w:tcBorders>
            <w:shd w:val="clear" w:color="auto" w:fill="auto"/>
            <w:vAlign w:val="center"/>
          </w:tcPr>
          <w:p>
            <w:pPr>
              <w:jc w:val="center"/>
              <w:rPr>
                <w:rFonts w:hint="eastAsia" w:ascii="宋体" w:hAnsi="宋体" w:eastAsia="宋体" w:cs="宋体"/>
                <w:b/>
                <w:i w:val="0"/>
                <w:color w:val="auto"/>
                <w:sz w:val="16"/>
                <w:szCs w:val="16"/>
                <w:u w:val="none"/>
              </w:rPr>
            </w:pPr>
          </w:p>
        </w:tc>
        <w:tc>
          <w:tcPr>
            <w:tcW w:w="946" w:type="dxa"/>
            <w:tcBorders>
              <w:bottom w:val="single" w:color="000000" w:sz="4" w:space="0"/>
            </w:tcBorders>
            <w:shd w:val="clear" w:color="auto" w:fill="auto"/>
            <w:vAlign w:val="center"/>
          </w:tcPr>
          <w:p>
            <w:pPr>
              <w:jc w:val="center"/>
              <w:rPr>
                <w:rFonts w:hint="eastAsia" w:ascii="宋体" w:hAnsi="宋体" w:eastAsia="宋体" w:cs="宋体"/>
                <w:b/>
                <w:i w:val="0"/>
                <w:color w:val="auto"/>
                <w:sz w:val="16"/>
                <w:szCs w:val="16"/>
                <w:u w:val="none"/>
              </w:rPr>
            </w:pPr>
          </w:p>
        </w:tc>
        <w:tc>
          <w:tcPr>
            <w:tcW w:w="946" w:type="dxa"/>
            <w:tcBorders>
              <w:bottom w:val="single" w:color="000000" w:sz="4" w:space="0"/>
            </w:tcBorders>
            <w:shd w:val="clear" w:color="auto" w:fill="auto"/>
            <w:vAlign w:val="center"/>
          </w:tcPr>
          <w:p>
            <w:pPr>
              <w:jc w:val="center"/>
              <w:rPr>
                <w:rFonts w:hint="eastAsia" w:ascii="宋体" w:hAnsi="宋体" w:eastAsia="宋体" w:cs="宋体"/>
                <w:b/>
                <w:i w:val="0"/>
                <w:color w:val="auto"/>
                <w:sz w:val="16"/>
                <w:szCs w:val="16"/>
                <w:u w:val="none"/>
              </w:rPr>
            </w:pPr>
          </w:p>
        </w:tc>
        <w:tc>
          <w:tcPr>
            <w:tcW w:w="670" w:type="dxa"/>
            <w:tcBorders>
              <w:bottom w:val="single" w:color="000000" w:sz="4" w:space="0"/>
            </w:tcBorders>
            <w:shd w:val="clear" w:color="auto" w:fill="auto"/>
            <w:vAlign w:val="center"/>
          </w:tcPr>
          <w:p>
            <w:pPr>
              <w:jc w:val="center"/>
              <w:rPr>
                <w:rFonts w:hint="eastAsia" w:ascii="宋体" w:hAnsi="宋体" w:eastAsia="宋体" w:cs="宋体"/>
                <w:b/>
                <w:i w:val="0"/>
                <w:color w:val="auto"/>
                <w:sz w:val="16"/>
                <w:szCs w:val="16"/>
                <w:u w:val="none"/>
              </w:rPr>
            </w:pPr>
          </w:p>
        </w:tc>
        <w:tc>
          <w:tcPr>
            <w:tcW w:w="622" w:type="dxa"/>
            <w:tcBorders>
              <w:bottom w:val="single" w:color="000000" w:sz="4" w:space="0"/>
            </w:tcBorders>
            <w:shd w:val="clear" w:color="auto" w:fill="auto"/>
            <w:vAlign w:val="center"/>
          </w:tcPr>
          <w:p>
            <w:pPr>
              <w:jc w:val="center"/>
              <w:rPr>
                <w:rFonts w:hint="eastAsia" w:ascii="宋体" w:hAnsi="宋体" w:eastAsia="宋体" w:cs="宋体"/>
                <w:b/>
                <w:i w:val="0"/>
                <w:color w:val="auto"/>
                <w:sz w:val="16"/>
                <w:szCs w:val="16"/>
                <w:u w:val="none"/>
              </w:rPr>
            </w:pPr>
          </w:p>
        </w:tc>
        <w:tc>
          <w:tcPr>
            <w:tcW w:w="945" w:type="dxa"/>
            <w:tcBorders>
              <w:bottom w:val="single" w:color="000000" w:sz="4" w:space="0"/>
            </w:tcBorders>
            <w:shd w:val="clear" w:color="auto" w:fill="auto"/>
            <w:vAlign w:val="center"/>
          </w:tcPr>
          <w:p>
            <w:pPr>
              <w:jc w:val="center"/>
              <w:rPr>
                <w:rFonts w:hint="eastAsia" w:ascii="宋体" w:hAnsi="宋体" w:eastAsia="宋体" w:cs="宋体"/>
                <w:b/>
                <w:i w:val="0"/>
                <w:color w:val="auto"/>
                <w:sz w:val="16"/>
                <w:szCs w:val="16"/>
                <w:u w:val="none"/>
              </w:rPr>
            </w:pPr>
          </w:p>
        </w:tc>
        <w:tc>
          <w:tcPr>
            <w:tcW w:w="558" w:type="dxa"/>
            <w:tcBorders>
              <w:bottom w:val="single" w:color="000000" w:sz="4" w:space="0"/>
            </w:tcBorders>
            <w:shd w:val="clear" w:color="auto" w:fill="auto"/>
            <w:vAlign w:val="center"/>
          </w:tcPr>
          <w:p>
            <w:pPr>
              <w:jc w:val="center"/>
              <w:rPr>
                <w:rFonts w:hint="eastAsia" w:ascii="宋体" w:hAnsi="宋体" w:eastAsia="宋体" w:cs="宋体"/>
                <w:b/>
                <w:i w:val="0"/>
                <w:color w:val="auto"/>
                <w:sz w:val="16"/>
                <w:szCs w:val="16"/>
                <w:u w:val="none"/>
              </w:rPr>
            </w:pPr>
          </w:p>
        </w:tc>
        <w:tc>
          <w:tcPr>
            <w:tcW w:w="876" w:type="dxa"/>
            <w:tcBorders>
              <w:bottom w:val="single" w:color="000000" w:sz="4" w:space="0"/>
            </w:tcBorders>
            <w:shd w:val="clear" w:color="auto" w:fill="auto"/>
            <w:vAlign w:val="center"/>
          </w:tcPr>
          <w:p>
            <w:pPr>
              <w:jc w:val="center"/>
              <w:rPr>
                <w:rFonts w:hint="eastAsia" w:ascii="宋体" w:hAnsi="宋体" w:eastAsia="宋体" w:cs="宋体"/>
                <w:b/>
                <w:i w:val="0"/>
                <w:color w:val="auto"/>
                <w:sz w:val="16"/>
                <w:szCs w:val="16"/>
                <w:u w:val="none"/>
              </w:rPr>
            </w:pPr>
          </w:p>
        </w:tc>
        <w:tc>
          <w:tcPr>
            <w:tcW w:w="326" w:type="dxa"/>
            <w:tcBorders>
              <w:bottom w:val="single" w:color="000000" w:sz="4" w:space="0"/>
            </w:tcBorders>
            <w:shd w:val="clear" w:color="auto" w:fill="auto"/>
            <w:vAlign w:val="center"/>
          </w:tcPr>
          <w:p>
            <w:pPr>
              <w:jc w:val="center"/>
              <w:rPr>
                <w:rFonts w:hint="eastAsia" w:ascii="宋体" w:hAnsi="宋体" w:eastAsia="宋体" w:cs="宋体"/>
                <w:b/>
                <w:i w:val="0"/>
                <w:color w:val="auto"/>
                <w:sz w:val="16"/>
                <w:szCs w:val="16"/>
                <w:u w:val="none"/>
              </w:rPr>
            </w:pPr>
          </w:p>
        </w:tc>
        <w:tc>
          <w:tcPr>
            <w:tcW w:w="937" w:type="dxa"/>
            <w:tcBorders>
              <w:bottom w:val="single" w:color="000000" w:sz="4" w:space="0"/>
            </w:tcBorders>
            <w:shd w:val="clear" w:color="auto" w:fill="auto"/>
            <w:vAlign w:val="center"/>
          </w:tcPr>
          <w:p>
            <w:pPr>
              <w:jc w:val="center"/>
              <w:rPr>
                <w:rFonts w:hint="eastAsia" w:ascii="宋体" w:hAnsi="宋体" w:eastAsia="宋体" w:cs="宋体"/>
                <w:b/>
                <w:i w:val="0"/>
                <w:color w:val="auto"/>
                <w:sz w:val="16"/>
                <w:szCs w:val="16"/>
                <w:u w:val="none"/>
              </w:rPr>
            </w:pPr>
          </w:p>
        </w:tc>
        <w:tc>
          <w:tcPr>
            <w:tcW w:w="937" w:type="dxa"/>
            <w:tcBorders>
              <w:bottom w:val="single" w:color="000000" w:sz="4" w:space="0"/>
            </w:tcBorders>
            <w:shd w:val="clear" w:color="auto" w:fill="auto"/>
            <w:vAlign w:val="center"/>
          </w:tcPr>
          <w:p>
            <w:pPr>
              <w:jc w:val="center"/>
              <w:rPr>
                <w:rFonts w:hint="eastAsia" w:ascii="宋体" w:hAnsi="宋体" w:eastAsia="宋体" w:cs="宋体"/>
                <w:b/>
                <w:i w:val="0"/>
                <w:color w:val="auto"/>
                <w:sz w:val="16"/>
                <w:szCs w:val="16"/>
                <w:u w:val="none"/>
              </w:rPr>
            </w:pPr>
          </w:p>
        </w:tc>
        <w:tc>
          <w:tcPr>
            <w:tcW w:w="937" w:type="dxa"/>
            <w:tcBorders>
              <w:bottom w:val="single" w:color="000000" w:sz="4" w:space="0"/>
            </w:tcBorders>
            <w:shd w:val="clear" w:color="auto" w:fill="auto"/>
            <w:vAlign w:val="center"/>
          </w:tcPr>
          <w:p>
            <w:pPr>
              <w:jc w:val="center"/>
              <w:rPr>
                <w:rFonts w:hint="eastAsia" w:ascii="宋体" w:hAnsi="宋体" w:eastAsia="宋体" w:cs="宋体"/>
                <w:b/>
                <w:i w:val="0"/>
                <w:color w:val="auto"/>
                <w:sz w:val="16"/>
                <w:szCs w:val="16"/>
                <w:u w:val="none"/>
              </w:rPr>
            </w:pPr>
          </w:p>
        </w:tc>
        <w:tc>
          <w:tcPr>
            <w:tcW w:w="937" w:type="dxa"/>
            <w:tcBorders>
              <w:bottom w:val="single" w:color="000000" w:sz="4" w:space="0"/>
            </w:tcBorders>
            <w:shd w:val="clear" w:color="auto" w:fill="auto"/>
            <w:vAlign w:val="center"/>
          </w:tcPr>
          <w:p>
            <w:pPr>
              <w:jc w:val="center"/>
              <w:rPr>
                <w:rFonts w:hint="eastAsia" w:ascii="宋体" w:hAnsi="宋体" w:eastAsia="宋体" w:cs="宋体"/>
                <w:b/>
                <w:i w:val="0"/>
                <w:color w:val="auto"/>
                <w:sz w:val="16"/>
                <w:szCs w:val="16"/>
                <w:u w:val="none"/>
              </w:rPr>
            </w:pPr>
          </w:p>
        </w:tc>
        <w:tc>
          <w:tcPr>
            <w:tcW w:w="937" w:type="dxa"/>
            <w:tcBorders>
              <w:bottom w:val="single" w:color="000000" w:sz="4" w:space="0"/>
            </w:tcBorders>
            <w:shd w:val="clear" w:color="auto" w:fill="auto"/>
            <w:vAlign w:val="center"/>
          </w:tcPr>
          <w:p>
            <w:pPr>
              <w:jc w:val="center"/>
              <w:rPr>
                <w:rFonts w:hint="eastAsia" w:ascii="宋体" w:hAnsi="宋体" w:eastAsia="宋体" w:cs="宋体"/>
                <w:b/>
                <w:i w:val="0"/>
                <w:color w:val="auto"/>
                <w:sz w:val="16"/>
                <w:szCs w:val="16"/>
                <w:u w:val="none"/>
              </w:rPr>
            </w:pPr>
          </w:p>
        </w:tc>
        <w:tc>
          <w:tcPr>
            <w:tcW w:w="937"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auto"/>
                <w:sz w:val="16"/>
                <w:szCs w:val="16"/>
                <w:u w:val="none"/>
              </w:rPr>
            </w:pPr>
          </w:p>
        </w:tc>
        <w:tc>
          <w:tcPr>
            <w:tcW w:w="85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单位编码</w:t>
            </w:r>
          </w:p>
        </w:tc>
        <w:tc>
          <w:tcPr>
            <w:tcW w:w="11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科目</w:t>
            </w:r>
          </w:p>
        </w:tc>
        <w:tc>
          <w:tcPr>
            <w:tcW w:w="5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单位名称(科目)</w:t>
            </w:r>
          </w:p>
        </w:tc>
        <w:tc>
          <w:tcPr>
            <w:tcW w:w="8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合计</w:t>
            </w:r>
          </w:p>
        </w:tc>
        <w:tc>
          <w:tcPr>
            <w:tcW w:w="412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基本支出</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767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855"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类</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款</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项</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8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小计</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工资福利支出</w:t>
            </w:r>
          </w:p>
        </w:tc>
        <w:tc>
          <w:tcPr>
            <w:tcW w:w="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商品和服务支出</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对个人和家庭的补助</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资本性支出</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其他相关支出</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小计</w:t>
            </w:r>
          </w:p>
        </w:tc>
        <w:tc>
          <w:tcPr>
            <w:tcW w:w="3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工资福利支出</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商品和服务支出</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对个人和家庭的补助</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对企事业单位的补贴</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债务利息支出</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基本建设支出</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资本性支出</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其他相关支出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w:t>
            </w: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3</w:t>
            </w:r>
          </w:p>
        </w:tc>
        <w:tc>
          <w:tcPr>
            <w:tcW w:w="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4</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5</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7</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8</w:t>
            </w:r>
          </w:p>
        </w:tc>
        <w:tc>
          <w:tcPr>
            <w:tcW w:w="3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9</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10</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11</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12</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13</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14</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i w:val="0"/>
                <w:color w:val="auto"/>
                <w:sz w:val="16"/>
                <w:szCs w:val="16"/>
                <w:u w:val="none"/>
              </w:rPr>
            </w:pP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i w:val="0"/>
                <w:color w:val="auto"/>
                <w:sz w:val="16"/>
                <w:szCs w:val="16"/>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i w:val="0"/>
                <w:color w:val="auto"/>
                <w:sz w:val="16"/>
                <w:szCs w:val="16"/>
                <w:u w:val="none"/>
              </w:rPr>
            </w:pP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i w:val="0"/>
                <w:color w:val="auto"/>
                <w:sz w:val="16"/>
                <w:szCs w:val="16"/>
                <w:u w:val="none"/>
              </w:rPr>
            </w:pP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合计</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1865.31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665.31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484.60</w:t>
            </w:r>
          </w:p>
        </w:tc>
        <w:tc>
          <w:tcPr>
            <w:tcW w:w="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162.59</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3.12</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15.00</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i w:val="0"/>
                <w:color w:val="auto"/>
                <w:sz w:val="16"/>
                <w:szCs w:val="16"/>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1200.00</w:t>
            </w:r>
          </w:p>
        </w:tc>
        <w:tc>
          <w:tcPr>
            <w:tcW w:w="3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1200.00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917001</w:t>
            </w: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i w:val="0"/>
                <w:color w:val="auto"/>
                <w:sz w:val="16"/>
                <w:szCs w:val="16"/>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i w:val="0"/>
                <w:color w:val="auto"/>
                <w:sz w:val="16"/>
                <w:szCs w:val="16"/>
                <w:u w:val="none"/>
              </w:rPr>
            </w:pP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i w:val="0"/>
                <w:color w:val="auto"/>
                <w:sz w:val="16"/>
                <w:szCs w:val="16"/>
                <w:u w:val="none"/>
              </w:rPr>
            </w:pP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兴国县梅窖镇人民政府</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1865.31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665.31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484.60</w:t>
            </w:r>
          </w:p>
        </w:tc>
        <w:tc>
          <w:tcPr>
            <w:tcW w:w="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162.59</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3.12</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15.00</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i w:val="0"/>
                <w:color w:val="auto"/>
                <w:sz w:val="16"/>
                <w:szCs w:val="16"/>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1200.00</w:t>
            </w:r>
          </w:p>
        </w:tc>
        <w:tc>
          <w:tcPr>
            <w:tcW w:w="3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16"/>
                <w:szCs w:val="16"/>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1200.00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917001</w:t>
            </w: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201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03</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01</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行政运行</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496.26</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496.26</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315.55</w:t>
            </w:r>
          </w:p>
        </w:tc>
        <w:tc>
          <w:tcPr>
            <w:tcW w:w="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162.59</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3.12</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15.00</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3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917001</w:t>
            </w: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208</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05</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05</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机关事业单位基本养老保险缴费支出</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66.86</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66.86</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66.86</w:t>
            </w:r>
          </w:p>
        </w:tc>
        <w:tc>
          <w:tcPr>
            <w:tcW w:w="6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3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917001</w:t>
            </w: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208</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99</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99</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其他社会保障和就业支出</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1.16</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1.16</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1.16</w:t>
            </w:r>
          </w:p>
        </w:tc>
        <w:tc>
          <w:tcPr>
            <w:tcW w:w="6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3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83"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917001</w:t>
            </w: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210</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11</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01</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行政单位医疗</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24.01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24.01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24.01</w:t>
            </w:r>
          </w:p>
        </w:tc>
        <w:tc>
          <w:tcPr>
            <w:tcW w:w="6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3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917001</w:t>
            </w: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210</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11</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03</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公务员医疗补助</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21.53</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21.53</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21.53</w:t>
            </w:r>
          </w:p>
        </w:tc>
        <w:tc>
          <w:tcPr>
            <w:tcW w:w="6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3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917001</w:t>
            </w: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221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02</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01</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住房公积金</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55.50</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55.50</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55.50</w:t>
            </w:r>
          </w:p>
        </w:tc>
        <w:tc>
          <w:tcPr>
            <w:tcW w:w="6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3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917001</w:t>
            </w: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229</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99</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99</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其他支出</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1200.00</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6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1200.00</w:t>
            </w:r>
          </w:p>
        </w:tc>
        <w:tc>
          <w:tcPr>
            <w:tcW w:w="3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1200.00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Calibri" w:hAnsi="Calibri" w:cs="Calibri"/>
                <w:i w:val="0"/>
                <w:color w:val="auto"/>
                <w:sz w:val="16"/>
                <w:szCs w:val="16"/>
                <w:u w:val="none"/>
              </w:rPr>
            </w:pP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auto"/>
                <w:sz w:val="16"/>
                <w:szCs w:val="16"/>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auto"/>
                <w:sz w:val="16"/>
                <w:szCs w:val="16"/>
                <w:u w:val="none"/>
              </w:rPr>
            </w:pP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auto"/>
                <w:sz w:val="16"/>
                <w:szCs w:val="16"/>
                <w:u w:val="none"/>
              </w:rPr>
            </w:pP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auto"/>
                <w:sz w:val="16"/>
                <w:szCs w:val="16"/>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auto"/>
                <w:sz w:val="16"/>
                <w:szCs w:val="16"/>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auto"/>
                <w:sz w:val="16"/>
                <w:szCs w:val="16"/>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auto"/>
                <w:sz w:val="16"/>
                <w:szCs w:val="16"/>
                <w:u w:val="none"/>
              </w:rPr>
            </w:pPr>
          </w:p>
        </w:tc>
        <w:tc>
          <w:tcPr>
            <w:tcW w:w="67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auto"/>
                <w:sz w:val="16"/>
                <w:szCs w:val="16"/>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auto"/>
                <w:sz w:val="16"/>
                <w:szCs w:val="16"/>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auto"/>
                <w:sz w:val="16"/>
                <w:szCs w:val="16"/>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auto"/>
                <w:sz w:val="16"/>
                <w:szCs w:val="16"/>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auto"/>
                <w:sz w:val="16"/>
                <w:szCs w:val="16"/>
                <w:u w:val="none"/>
              </w:rPr>
            </w:pPr>
          </w:p>
        </w:tc>
        <w:tc>
          <w:tcPr>
            <w:tcW w:w="326"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auto"/>
                <w:sz w:val="16"/>
                <w:szCs w:val="16"/>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auto"/>
                <w:sz w:val="16"/>
                <w:szCs w:val="16"/>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auto"/>
                <w:sz w:val="16"/>
                <w:szCs w:val="16"/>
                <w:u w:val="none"/>
              </w:rPr>
            </w:pPr>
          </w:p>
        </w:tc>
      </w:tr>
    </w:tbl>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《财政拨款收支总表》</w:t>
      </w:r>
    </w:p>
    <w:tbl>
      <w:tblPr>
        <w:tblStyle w:val="4"/>
        <w:tblW w:w="748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10"/>
        <w:gridCol w:w="885"/>
        <w:gridCol w:w="1560"/>
        <w:gridCol w:w="930"/>
        <w:gridCol w:w="1860"/>
        <w:gridCol w:w="11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1110" w:type="dxa"/>
            <w:shd w:val="clear" w:color="auto" w:fill="auto"/>
            <w:vAlign w:val="bottom"/>
          </w:tcPr>
          <w:p>
            <w:pPr>
              <w:rPr>
                <w:rFonts w:hint="eastAsia" w:ascii="宋体" w:hAnsi="宋体" w:eastAsia="宋体" w:cs="宋体"/>
                <w:i w:val="0"/>
                <w:color w:val="auto"/>
                <w:sz w:val="16"/>
                <w:szCs w:val="16"/>
                <w:u w:val="none"/>
              </w:rPr>
            </w:pPr>
          </w:p>
        </w:tc>
        <w:tc>
          <w:tcPr>
            <w:tcW w:w="885" w:type="dxa"/>
            <w:shd w:val="clear" w:color="auto" w:fill="auto"/>
            <w:vAlign w:val="bottom"/>
          </w:tcPr>
          <w:p>
            <w:pPr>
              <w:rPr>
                <w:rFonts w:hint="eastAsia" w:ascii="宋体" w:hAnsi="宋体" w:eastAsia="宋体" w:cs="宋体"/>
                <w:i w:val="0"/>
                <w:color w:val="auto"/>
                <w:sz w:val="16"/>
                <w:szCs w:val="16"/>
                <w:u w:val="none"/>
              </w:rPr>
            </w:pPr>
          </w:p>
        </w:tc>
        <w:tc>
          <w:tcPr>
            <w:tcW w:w="1560" w:type="dxa"/>
            <w:shd w:val="clear" w:color="auto" w:fill="auto"/>
            <w:vAlign w:val="bottom"/>
          </w:tcPr>
          <w:p>
            <w:pPr>
              <w:rPr>
                <w:rFonts w:hint="eastAsia" w:ascii="宋体" w:hAnsi="宋体" w:eastAsia="宋体" w:cs="宋体"/>
                <w:i w:val="0"/>
                <w:color w:val="auto"/>
                <w:sz w:val="16"/>
                <w:szCs w:val="16"/>
                <w:u w:val="none"/>
              </w:rPr>
            </w:pPr>
          </w:p>
        </w:tc>
        <w:tc>
          <w:tcPr>
            <w:tcW w:w="930" w:type="dxa"/>
            <w:shd w:val="clear" w:color="auto" w:fill="auto"/>
            <w:vAlign w:val="bottom"/>
          </w:tcPr>
          <w:p>
            <w:pPr>
              <w:rPr>
                <w:rFonts w:hint="eastAsia" w:ascii="宋体" w:hAnsi="宋体" w:eastAsia="宋体" w:cs="宋体"/>
                <w:i w:val="0"/>
                <w:color w:val="auto"/>
                <w:sz w:val="16"/>
                <w:szCs w:val="16"/>
                <w:u w:val="none"/>
              </w:rPr>
            </w:pPr>
          </w:p>
        </w:tc>
        <w:tc>
          <w:tcPr>
            <w:tcW w:w="1860" w:type="dxa"/>
            <w:shd w:val="clear" w:color="auto" w:fill="auto"/>
            <w:vAlign w:val="bottom"/>
          </w:tcPr>
          <w:p>
            <w:pPr>
              <w:rPr>
                <w:rFonts w:hint="eastAsia" w:ascii="宋体" w:hAnsi="宋体" w:eastAsia="宋体" w:cs="宋体"/>
                <w:i w:val="0"/>
                <w:color w:val="auto"/>
                <w:sz w:val="16"/>
                <w:szCs w:val="16"/>
                <w:u w:val="none"/>
              </w:rPr>
            </w:pPr>
          </w:p>
        </w:tc>
        <w:tc>
          <w:tcPr>
            <w:tcW w:w="1140"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预算01表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rPr>
        <w:tc>
          <w:tcPr>
            <w:tcW w:w="7485" w:type="dxa"/>
            <w:gridSpan w:val="6"/>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财政拨款收支预算总表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111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填报单位:[917]兴国县梅窖镇 , [917001]兴国县梅窖镇人民政府</w:t>
            </w:r>
          </w:p>
        </w:tc>
        <w:tc>
          <w:tcPr>
            <w:tcW w:w="885" w:type="dxa"/>
            <w:shd w:val="clear" w:color="auto" w:fill="auto"/>
            <w:vAlign w:val="bottom"/>
          </w:tcPr>
          <w:p>
            <w:pPr>
              <w:rPr>
                <w:rFonts w:hint="eastAsia" w:ascii="Calibri" w:hAnsi="Calibri" w:cs="Calibri"/>
                <w:i w:val="0"/>
                <w:color w:val="auto"/>
                <w:sz w:val="16"/>
                <w:szCs w:val="16"/>
                <w:u w:val="none"/>
              </w:rPr>
            </w:pPr>
          </w:p>
        </w:tc>
        <w:tc>
          <w:tcPr>
            <w:tcW w:w="1560" w:type="dxa"/>
            <w:shd w:val="clear" w:color="auto" w:fill="auto"/>
            <w:vAlign w:val="bottom"/>
          </w:tcPr>
          <w:p>
            <w:pPr>
              <w:rPr>
                <w:rFonts w:hint="default" w:ascii="Calibri" w:hAnsi="Calibri" w:cs="Calibri"/>
                <w:i w:val="0"/>
                <w:color w:val="auto"/>
                <w:sz w:val="16"/>
                <w:szCs w:val="16"/>
                <w:u w:val="none"/>
              </w:rPr>
            </w:pPr>
          </w:p>
        </w:tc>
        <w:tc>
          <w:tcPr>
            <w:tcW w:w="930" w:type="dxa"/>
            <w:shd w:val="clear" w:color="auto" w:fill="auto"/>
            <w:vAlign w:val="bottom"/>
          </w:tcPr>
          <w:p>
            <w:pPr>
              <w:rPr>
                <w:rFonts w:hint="default" w:ascii="Calibri" w:hAnsi="Calibri" w:cs="Calibri"/>
                <w:i w:val="0"/>
                <w:color w:val="auto"/>
                <w:sz w:val="16"/>
                <w:szCs w:val="16"/>
                <w:u w:val="none"/>
              </w:rPr>
            </w:pPr>
          </w:p>
        </w:tc>
        <w:tc>
          <w:tcPr>
            <w:tcW w:w="1860" w:type="dxa"/>
            <w:shd w:val="clear" w:color="auto" w:fill="auto"/>
            <w:vAlign w:val="bottom"/>
          </w:tcPr>
          <w:p>
            <w:pPr>
              <w:rPr>
                <w:rFonts w:hint="default" w:ascii="Calibri" w:hAnsi="Calibri" w:cs="Calibri"/>
                <w:i w:val="0"/>
                <w:color w:val="auto"/>
                <w:sz w:val="16"/>
                <w:szCs w:val="16"/>
                <w:u w:val="none"/>
              </w:rPr>
            </w:pPr>
          </w:p>
        </w:tc>
        <w:tc>
          <w:tcPr>
            <w:tcW w:w="1140"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收      入</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支          出</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项目</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预算数</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按支出经济分类（款级）</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预算数</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按支出功能科目（项级）</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一、财政拨款收入</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665.31</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人员类</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487.72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一般公共服务支出</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496.26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（一）一般公共预算收入</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665.31</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工资福利支出</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484.60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政府办公厅（室）及相关机构事务</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496.26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（二）政府性基金预算收入</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基本工资</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182.62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行政运行</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496.26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（三）国有资本经营预算收入</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16"/>
                <w:szCs w:val="16"/>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津贴补贴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117.71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社会保障和就业支出</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68.02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auto"/>
                <w:sz w:val="16"/>
                <w:szCs w:val="16"/>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奖金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15.22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行政事业单位养老支出</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auto"/>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机关事业单位基本养老保险缴费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66.86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机关事业单位基本养老保险缴费支出</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auto"/>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职工基本医疗保险缴费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24.01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其他社会保障和就业支出</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auto"/>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公务员医疗补助缴费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21.53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其他社会保障和就业支出</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auto"/>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其他社会保障缴费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卫生健康支出</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45.54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auto"/>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住房公积金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55.50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行政事业单位医疗</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45.54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对个人和家庭的补助</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3.12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行政单位医疗</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24.01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生活补助</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3.00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公务员医疗补助</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21.53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奖励金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住房保障支出</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55.50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公用经费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177.59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住房改革支出</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55.50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商品和服务支出</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162.59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住房公积金</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55.50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办公费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98.00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公务接待费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35.00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福利费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0.67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公务用车运行维护费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12.00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其他交通费用</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16.92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资本性支出</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15.00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16"/>
                <w:szCs w:val="16"/>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16"/>
                <w:szCs w:val="16"/>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办公设备购置</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15.00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收入总计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665.31</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支出总计</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665.31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支出总计</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665.31</w:t>
            </w:r>
          </w:p>
        </w:tc>
      </w:tr>
    </w:tbl>
    <w:p>
      <w:pPr>
        <w:pStyle w:val="2"/>
        <w:rPr>
          <w:color w:val="auto"/>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《一般公共预算支出表》</w:t>
      </w:r>
    </w:p>
    <w:tbl>
      <w:tblPr>
        <w:tblStyle w:val="4"/>
        <w:tblW w:w="807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449"/>
        <w:gridCol w:w="36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4449" w:type="dxa"/>
            <w:shd w:val="clear" w:color="auto" w:fill="auto"/>
            <w:vAlign w:val="bottom"/>
          </w:tcPr>
          <w:p>
            <w:pPr>
              <w:rPr>
                <w:rFonts w:hint="eastAsia" w:ascii="Arial" w:hAnsi="Arial" w:cs="Arial"/>
                <w:i w:val="0"/>
                <w:color w:val="auto"/>
                <w:sz w:val="20"/>
                <w:szCs w:val="20"/>
                <w:u w:val="none"/>
              </w:rPr>
            </w:pPr>
          </w:p>
        </w:tc>
        <w:tc>
          <w:tcPr>
            <w:tcW w:w="3630" w:type="dxa"/>
            <w:shd w:val="clear" w:color="auto" w:fill="auto"/>
            <w:vAlign w:val="bottom"/>
          </w:tcPr>
          <w:p>
            <w:pPr>
              <w:keepNext w:val="0"/>
              <w:keepLines w:val="0"/>
              <w:widowControl/>
              <w:suppressLineNumbers w:val="0"/>
              <w:jc w:val="right"/>
              <w:textAlignment w:val="bottom"/>
              <w:rPr>
                <w:rFonts w:ascii="Calibri" w:hAnsi="Calibri" w:cs="Calibri"/>
                <w:i w:val="0"/>
                <w:color w:val="auto"/>
                <w:sz w:val="22"/>
                <w:szCs w:val="22"/>
                <w:u w:val="none"/>
              </w:rPr>
            </w:pPr>
            <w:r>
              <w:rPr>
                <w:rFonts w:hint="default" w:ascii="Calibri" w:hAnsi="Calibri" w:eastAsia="宋体" w:cs="Calibri"/>
                <w:i w:val="0"/>
                <w:color w:val="auto"/>
                <w:kern w:val="0"/>
                <w:sz w:val="22"/>
                <w:szCs w:val="22"/>
                <w:u w:val="none"/>
                <w:lang w:val="en-US" w:eastAsia="zh-CN" w:bidi="ar"/>
              </w:rPr>
              <w:t>主表：5-2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60" w:hRule="atLeast"/>
        </w:trPr>
        <w:tc>
          <w:tcPr>
            <w:tcW w:w="8079" w:type="dxa"/>
            <w:gridSpan w:val="2"/>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u w:val="none"/>
              </w:rPr>
            </w:pPr>
            <w:r>
              <w:rPr>
                <w:rFonts w:hint="eastAsia" w:ascii="宋体" w:hAnsi="宋体" w:eastAsia="宋体" w:cs="宋体"/>
                <w:b/>
                <w:i w:val="0"/>
                <w:color w:val="auto"/>
                <w:kern w:val="0"/>
                <w:sz w:val="40"/>
                <w:szCs w:val="40"/>
                <w:u w:val="none"/>
                <w:lang w:val="en-US" w:eastAsia="zh-CN" w:bidi="ar"/>
              </w:rPr>
              <w:t>财政拨款支出预算表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449" w:type="dxa"/>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填报单位:[917]兴国县梅窖镇 , [917001]兴国县梅窖镇人民政府</w:t>
            </w:r>
          </w:p>
        </w:tc>
        <w:tc>
          <w:tcPr>
            <w:tcW w:w="3630"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支出经济分类</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合计</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665.31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人员类</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487.72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　工资福利支出</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484.60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基本工资</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182.62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津贴补贴</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117.71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奖金</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15.22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机关事业单位基本养老保险缴费</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职工基本医疗保险缴费</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24.01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公务员医疗补助缴费</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其他社会保障缴费</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住房公积金</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　对个人和家庭的补助</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3.12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生活补助</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奖励金</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公用经费</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177.59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　商品和服务支出</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162.59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办公费</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98.00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公务接待费</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福利费</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公务用车运行维护费</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其他交通费用</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16.92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　资本性支出</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4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办公设备购置</w:t>
            </w:r>
          </w:p>
        </w:tc>
        <w:tc>
          <w:tcPr>
            <w:tcW w:w="3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15.00</w:t>
            </w:r>
          </w:p>
        </w:tc>
      </w:tr>
    </w:tbl>
    <w:p>
      <w:pPr>
        <w:pStyle w:val="2"/>
        <w:rPr>
          <w:rFonts w:hint="eastAsia" w:ascii="仿宋" w:hAnsi="仿宋" w:eastAsia="仿宋" w:cs="仿宋"/>
          <w:color w:val="auto"/>
          <w:sz w:val="32"/>
          <w:szCs w:val="32"/>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《一般公共预算基本支出表》</w:t>
      </w:r>
    </w:p>
    <w:tbl>
      <w:tblPr>
        <w:tblStyle w:val="4"/>
        <w:tblW w:w="1999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884"/>
        <w:gridCol w:w="614"/>
        <w:gridCol w:w="959"/>
        <w:gridCol w:w="959"/>
        <w:gridCol w:w="1799"/>
        <w:gridCol w:w="1725"/>
        <w:gridCol w:w="885"/>
        <w:gridCol w:w="960"/>
        <w:gridCol w:w="960"/>
        <w:gridCol w:w="645"/>
        <w:gridCol w:w="961"/>
        <w:gridCol w:w="960"/>
        <w:gridCol w:w="960"/>
        <w:gridCol w:w="960"/>
        <w:gridCol w:w="960"/>
        <w:gridCol w:w="960"/>
        <w:gridCol w:w="960"/>
        <w:gridCol w:w="960"/>
        <w:gridCol w:w="960"/>
        <w:gridCol w:w="9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884" w:type="dxa"/>
            <w:shd w:val="clear" w:color="auto" w:fill="auto"/>
            <w:vAlign w:val="bottom"/>
          </w:tcPr>
          <w:p>
            <w:pPr>
              <w:rPr>
                <w:rFonts w:hint="eastAsia" w:ascii="Arial" w:hAnsi="Arial" w:cs="Arial"/>
                <w:i w:val="0"/>
                <w:color w:val="auto"/>
                <w:sz w:val="20"/>
                <w:szCs w:val="20"/>
                <w:u w:val="none"/>
              </w:rPr>
            </w:pPr>
          </w:p>
        </w:tc>
        <w:tc>
          <w:tcPr>
            <w:tcW w:w="614" w:type="dxa"/>
            <w:shd w:val="clear" w:color="auto" w:fill="auto"/>
            <w:vAlign w:val="bottom"/>
          </w:tcPr>
          <w:p>
            <w:pPr>
              <w:rPr>
                <w:rFonts w:hint="default" w:ascii="Arial" w:hAnsi="Arial" w:cs="Arial"/>
                <w:i w:val="0"/>
                <w:color w:val="auto"/>
                <w:sz w:val="20"/>
                <w:szCs w:val="20"/>
                <w:u w:val="none"/>
              </w:rPr>
            </w:pPr>
          </w:p>
        </w:tc>
        <w:tc>
          <w:tcPr>
            <w:tcW w:w="959" w:type="dxa"/>
            <w:shd w:val="clear" w:color="auto" w:fill="auto"/>
            <w:vAlign w:val="bottom"/>
          </w:tcPr>
          <w:p>
            <w:pPr>
              <w:rPr>
                <w:rFonts w:hint="default" w:ascii="Arial" w:hAnsi="Arial" w:cs="Arial"/>
                <w:i w:val="0"/>
                <w:color w:val="auto"/>
                <w:sz w:val="20"/>
                <w:szCs w:val="20"/>
                <w:u w:val="none"/>
              </w:rPr>
            </w:pPr>
          </w:p>
        </w:tc>
        <w:tc>
          <w:tcPr>
            <w:tcW w:w="959" w:type="dxa"/>
            <w:shd w:val="clear" w:color="auto" w:fill="auto"/>
            <w:vAlign w:val="bottom"/>
          </w:tcPr>
          <w:p>
            <w:pPr>
              <w:rPr>
                <w:rFonts w:hint="default" w:ascii="Arial" w:hAnsi="Arial" w:cs="Arial"/>
                <w:i w:val="0"/>
                <w:color w:val="auto"/>
                <w:sz w:val="20"/>
                <w:szCs w:val="20"/>
                <w:u w:val="none"/>
              </w:rPr>
            </w:pPr>
          </w:p>
        </w:tc>
        <w:tc>
          <w:tcPr>
            <w:tcW w:w="1799" w:type="dxa"/>
            <w:shd w:val="clear" w:color="auto" w:fill="auto"/>
            <w:vAlign w:val="bottom"/>
          </w:tcPr>
          <w:p>
            <w:pPr>
              <w:rPr>
                <w:rFonts w:hint="default" w:ascii="Arial" w:hAnsi="Arial" w:cs="Arial"/>
                <w:i w:val="0"/>
                <w:color w:val="auto"/>
                <w:sz w:val="20"/>
                <w:szCs w:val="20"/>
                <w:u w:val="none"/>
              </w:rPr>
            </w:pPr>
          </w:p>
        </w:tc>
        <w:tc>
          <w:tcPr>
            <w:tcW w:w="1725" w:type="dxa"/>
            <w:shd w:val="clear" w:color="auto" w:fill="auto"/>
            <w:vAlign w:val="bottom"/>
          </w:tcPr>
          <w:p>
            <w:pPr>
              <w:rPr>
                <w:rFonts w:hint="default" w:ascii="Arial" w:hAnsi="Arial" w:cs="Arial"/>
                <w:i w:val="0"/>
                <w:color w:val="auto"/>
                <w:sz w:val="20"/>
                <w:szCs w:val="20"/>
                <w:u w:val="none"/>
              </w:rPr>
            </w:pPr>
          </w:p>
        </w:tc>
        <w:tc>
          <w:tcPr>
            <w:tcW w:w="885" w:type="dxa"/>
            <w:shd w:val="clear" w:color="auto" w:fill="auto"/>
            <w:vAlign w:val="bottom"/>
          </w:tcPr>
          <w:p>
            <w:pPr>
              <w:jc w:val="center"/>
              <w:rPr>
                <w:rFonts w:hint="eastAsia" w:ascii="Calibri" w:hAnsi="Calibri" w:cs="Calibri"/>
                <w:i w:val="0"/>
                <w:color w:val="auto"/>
                <w:sz w:val="22"/>
                <w:szCs w:val="22"/>
                <w:u w:val="none"/>
              </w:rPr>
            </w:pPr>
          </w:p>
        </w:tc>
        <w:tc>
          <w:tcPr>
            <w:tcW w:w="960" w:type="dxa"/>
            <w:shd w:val="clear" w:color="auto" w:fill="auto"/>
            <w:vAlign w:val="bottom"/>
          </w:tcPr>
          <w:p>
            <w:pPr>
              <w:jc w:val="center"/>
              <w:rPr>
                <w:rFonts w:hint="default" w:ascii="Calibri" w:hAnsi="Calibri" w:cs="Calibri"/>
                <w:i w:val="0"/>
                <w:color w:val="auto"/>
                <w:sz w:val="22"/>
                <w:szCs w:val="22"/>
                <w:u w:val="none"/>
              </w:rPr>
            </w:pPr>
          </w:p>
        </w:tc>
        <w:tc>
          <w:tcPr>
            <w:tcW w:w="960" w:type="dxa"/>
            <w:shd w:val="clear" w:color="auto" w:fill="auto"/>
            <w:vAlign w:val="bottom"/>
          </w:tcPr>
          <w:p>
            <w:pPr>
              <w:jc w:val="center"/>
              <w:rPr>
                <w:rFonts w:hint="default" w:ascii="Calibri" w:hAnsi="Calibri" w:cs="Calibri"/>
                <w:i w:val="0"/>
                <w:color w:val="auto"/>
                <w:sz w:val="22"/>
                <w:szCs w:val="22"/>
                <w:u w:val="none"/>
              </w:rPr>
            </w:pPr>
          </w:p>
        </w:tc>
        <w:tc>
          <w:tcPr>
            <w:tcW w:w="645" w:type="dxa"/>
            <w:shd w:val="clear" w:color="auto" w:fill="auto"/>
            <w:vAlign w:val="bottom"/>
          </w:tcPr>
          <w:p>
            <w:pPr>
              <w:rPr>
                <w:rFonts w:hint="default" w:ascii="Arial" w:hAnsi="Arial" w:cs="Arial"/>
                <w:i w:val="0"/>
                <w:color w:val="auto"/>
                <w:sz w:val="20"/>
                <w:szCs w:val="20"/>
                <w:u w:val="none"/>
              </w:rPr>
            </w:pPr>
          </w:p>
        </w:tc>
        <w:tc>
          <w:tcPr>
            <w:tcW w:w="961" w:type="dxa"/>
            <w:shd w:val="clear" w:color="auto" w:fill="auto"/>
            <w:vAlign w:val="bottom"/>
          </w:tcPr>
          <w:p>
            <w:pPr>
              <w:rPr>
                <w:rFonts w:hint="default" w:ascii="Arial" w:hAnsi="Arial" w:cs="Arial"/>
                <w:i w:val="0"/>
                <w:color w:val="auto"/>
                <w:sz w:val="20"/>
                <w:szCs w:val="20"/>
                <w:u w:val="none"/>
              </w:rPr>
            </w:pPr>
          </w:p>
        </w:tc>
        <w:tc>
          <w:tcPr>
            <w:tcW w:w="960" w:type="dxa"/>
            <w:shd w:val="clear" w:color="auto" w:fill="auto"/>
            <w:vAlign w:val="bottom"/>
          </w:tcPr>
          <w:p>
            <w:pPr>
              <w:rPr>
                <w:rFonts w:hint="default" w:ascii="Arial" w:hAnsi="Arial" w:cs="Arial"/>
                <w:i w:val="0"/>
                <w:color w:val="auto"/>
                <w:sz w:val="20"/>
                <w:szCs w:val="20"/>
                <w:u w:val="none"/>
              </w:rPr>
            </w:pPr>
          </w:p>
        </w:tc>
        <w:tc>
          <w:tcPr>
            <w:tcW w:w="960" w:type="dxa"/>
            <w:shd w:val="clear" w:color="auto" w:fill="auto"/>
            <w:vAlign w:val="bottom"/>
          </w:tcPr>
          <w:p>
            <w:pPr>
              <w:rPr>
                <w:rFonts w:hint="default" w:ascii="Arial" w:hAnsi="Arial" w:cs="Arial"/>
                <w:i w:val="0"/>
                <w:color w:val="auto"/>
                <w:sz w:val="20"/>
                <w:szCs w:val="20"/>
                <w:u w:val="none"/>
              </w:rPr>
            </w:pPr>
          </w:p>
        </w:tc>
        <w:tc>
          <w:tcPr>
            <w:tcW w:w="960" w:type="dxa"/>
            <w:shd w:val="clear" w:color="auto" w:fill="auto"/>
            <w:vAlign w:val="bottom"/>
          </w:tcPr>
          <w:p>
            <w:pPr>
              <w:rPr>
                <w:rFonts w:hint="default" w:ascii="Arial" w:hAnsi="Arial" w:cs="Arial"/>
                <w:i w:val="0"/>
                <w:color w:val="auto"/>
                <w:sz w:val="20"/>
                <w:szCs w:val="20"/>
                <w:u w:val="none"/>
              </w:rPr>
            </w:pPr>
          </w:p>
        </w:tc>
        <w:tc>
          <w:tcPr>
            <w:tcW w:w="960" w:type="dxa"/>
            <w:shd w:val="clear" w:color="auto" w:fill="auto"/>
            <w:vAlign w:val="bottom"/>
          </w:tcPr>
          <w:p>
            <w:pPr>
              <w:rPr>
                <w:rFonts w:hint="default" w:ascii="Arial" w:hAnsi="Arial" w:cs="Arial"/>
                <w:i w:val="0"/>
                <w:color w:val="auto"/>
                <w:sz w:val="20"/>
                <w:szCs w:val="20"/>
                <w:u w:val="none"/>
              </w:rPr>
            </w:pPr>
          </w:p>
        </w:tc>
        <w:tc>
          <w:tcPr>
            <w:tcW w:w="960" w:type="dxa"/>
            <w:shd w:val="clear" w:color="auto" w:fill="auto"/>
            <w:vAlign w:val="bottom"/>
          </w:tcPr>
          <w:p>
            <w:pPr>
              <w:rPr>
                <w:rFonts w:hint="default" w:ascii="Arial" w:hAnsi="Arial" w:cs="Arial"/>
                <w:i w:val="0"/>
                <w:color w:val="auto"/>
                <w:sz w:val="20"/>
                <w:szCs w:val="20"/>
                <w:u w:val="none"/>
              </w:rPr>
            </w:pPr>
          </w:p>
        </w:tc>
        <w:tc>
          <w:tcPr>
            <w:tcW w:w="960" w:type="dxa"/>
            <w:shd w:val="clear" w:color="auto" w:fill="auto"/>
            <w:vAlign w:val="bottom"/>
          </w:tcPr>
          <w:p>
            <w:pPr>
              <w:rPr>
                <w:rFonts w:hint="default" w:ascii="Arial" w:hAnsi="Arial" w:cs="Arial"/>
                <w:i w:val="0"/>
                <w:color w:val="auto"/>
                <w:sz w:val="20"/>
                <w:szCs w:val="20"/>
                <w:u w:val="none"/>
              </w:rPr>
            </w:pPr>
          </w:p>
        </w:tc>
        <w:tc>
          <w:tcPr>
            <w:tcW w:w="960" w:type="dxa"/>
            <w:shd w:val="clear" w:color="auto" w:fill="auto"/>
            <w:vAlign w:val="bottom"/>
          </w:tcPr>
          <w:p>
            <w:pPr>
              <w:rPr>
                <w:rFonts w:hint="default" w:ascii="Arial" w:hAnsi="Arial" w:cs="Arial"/>
                <w:i w:val="0"/>
                <w:color w:val="auto"/>
                <w:sz w:val="20"/>
                <w:szCs w:val="20"/>
                <w:u w:val="none"/>
              </w:rPr>
            </w:pPr>
          </w:p>
        </w:tc>
        <w:tc>
          <w:tcPr>
            <w:tcW w:w="960" w:type="dxa"/>
            <w:shd w:val="clear" w:color="auto" w:fill="auto"/>
            <w:vAlign w:val="bottom"/>
          </w:tcPr>
          <w:p>
            <w:pPr>
              <w:rPr>
                <w:rFonts w:hint="default" w:ascii="Arial" w:hAnsi="Arial" w:cs="Arial"/>
                <w:i w:val="0"/>
                <w:color w:val="auto"/>
                <w:sz w:val="20"/>
                <w:szCs w:val="20"/>
                <w:u w:val="none"/>
              </w:rPr>
            </w:pPr>
          </w:p>
        </w:tc>
        <w:tc>
          <w:tcPr>
            <w:tcW w:w="964"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预算06表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5" w:hRule="atLeast"/>
        </w:trPr>
        <w:tc>
          <w:tcPr>
            <w:tcW w:w="19995" w:type="dxa"/>
            <w:gridSpan w:val="20"/>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u w:val="none"/>
              </w:rPr>
            </w:pPr>
            <w:r>
              <w:rPr>
                <w:rFonts w:hint="eastAsia" w:ascii="宋体" w:hAnsi="宋体" w:eastAsia="宋体" w:cs="宋体"/>
                <w:b/>
                <w:i w:val="0"/>
                <w:color w:val="auto"/>
                <w:kern w:val="0"/>
                <w:sz w:val="40"/>
                <w:szCs w:val="40"/>
                <w:u w:val="none"/>
                <w:lang w:val="en-US" w:eastAsia="zh-CN" w:bidi="ar"/>
              </w:rPr>
              <w:t>基本支出预算表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884"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[917]兴国县梅窖镇 , [917001]兴国县梅窖镇人民政府</w:t>
            </w:r>
          </w:p>
        </w:tc>
        <w:tc>
          <w:tcPr>
            <w:tcW w:w="614" w:type="dxa"/>
            <w:shd w:val="clear" w:color="auto" w:fill="auto"/>
            <w:vAlign w:val="bottom"/>
          </w:tcPr>
          <w:p>
            <w:pPr>
              <w:rPr>
                <w:rFonts w:hint="default" w:ascii="Arial" w:hAnsi="Arial" w:cs="Arial"/>
                <w:i w:val="0"/>
                <w:color w:val="auto"/>
                <w:sz w:val="20"/>
                <w:szCs w:val="20"/>
                <w:u w:val="none"/>
              </w:rPr>
            </w:pPr>
          </w:p>
        </w:tc>
        <w:tc>
          <w:tcPr>
            <w:tcW w:w="959" w:type="dxa"/>
            <w:shd w:val="clear" w:color="auto" w:fill="auto"/>
            <w:vAlign w:val="bottom"/>
          </w:tcPr>
          <w:p>
            <w:pPr>
              <w:rPr>
                <w:rFonts w:hint="default" w:ascii="Arial" w:hAnsi="Arial" w:cs="Arial"/>
                <w:i w:val="0"/>
                <w:color w:val="auto"/>
                <w:sz w:val="20"/>
                <w:szCs w:val="20"/>
                <w:u w:val="none"/>
              </w:rPr>
            </w:pPr>
          </w:p>
        </w:tc>
        <w:tc>
          <w:tcPr>
            <w:tcW w:w="959" w:type="dxa"/>
            <w:shd w:val="clear" w:color="auto" w:fill="auto"/>
            <w:vAlign w:val="bottom"/>
          </w:tcPr>
          <w:p>
            <w:pPr>
              <w:rPr>
                <w:rFonts w:hint="default" w:ascii="Arial" w:hAnsi="Arial" w:cs="Arial"/>
                <w:i w:val="0"/>
                <w:color w:val="auto"/>
                <w:sz w:val="20"/>
                <w:szCs w:val="20"/>
                <w:u w:val="none"/>
              </w:rPr>
            </w:pPr>
          </w:p>
        </w:tc>
        <w:tc>
          <w:tcPr>
            <w:tcW w:w="1799" w:type="dxa"/>
            <w:shd w:val="clear" w:color="auto" w:fill="auto"/>
            <w:vAlign w:val="bottom"/>
          </w:tcPr>
          <w:p>
            <w:pPr>
              <w:rPr>
                <w:rFonts w:hint="default" w:ascii="Arial" w:hAnsi="Arial" w:cs="Arial"/>
                <w:i w:val="0"/>
                <w:color w:val="auto"/>
                <w:sz w:val="20"/>
                <w:szCs w:val="20"/>
                <w:u w:val="none"/>
              </w:rPr>
            </w:pPr>
          </w:p>
        </w:tc>
        <w:tc>
          <w:tcPr>
            <w:tcW w:w="1725" w:type="dxa"/>
            <w:shd w:val="clear" w:color="auto" w:fill="auto"/>
            <w:vAlign w:val="bottom"/>
          </w:tcPr>
          <w:p>
            <w:pPr>
              <w:rPr>
                <w:rFonts w:hint="default" w:ascii="Arial" w:hAnsi="Arial" w:cs="Arial"/>
                <w:i w:val="0"/>
                <w:color w:val="auto"/>
                <w:sz w:val="20"/>
                <w:szCs w:val="20"/>
                <w:u w:val="none"/>
              </w:rPr>
            </w:pPr>
          </w:p>
        </w:tc>
        <w:tc>
          <w:tcPr>
            <w:tcW w:w="885" w:type="dxa"/>
            <w:shd w:val="clear" w:color="auto" w:fill="auto"/>
            <w:vAlign w:val="bottom"/>
          </w:tcPr>
          <w:p>
            <w:pPr>
              <w:jc w:val="center"/>
              <w:rPr>
                <w:rFonts w:hint="default" w:ascii="Calibri" w:hAnsi="Calibri" w:cs="Calibri"/>
                <w:i w:val="0"/>
                <w:color w:val="auto"/>
                <w:sz w:val="22"/>
                <w:szCs w:val="22"/>
                <w:u w:val="none"/>
              </w:rPr>
            </w:pPr>
          </w:p>
        </w:tc>
        <w:tc>
          <w:tcPr>
            <w:tcW w:w="960" w:type="dxa"/>
            <w:shd w:val="clear" w:color="auto" w:fill="auto"/>
            <w:vAlign w:val="bottom"/>
          </w:tcPr>
          <w:p>
            <w:pPr>
              <w:jc w:val="center"/>
              <w:rPr>
                <w:rFonts w:hint="default" w:ascii="Calibri" w:hAnsi="Calibri" w:cs="Calibri"/>
                <w:i w:val="0"/>
                <w:color w:val="auto"/>
                <w:sz w:val="22"/>
                <w:szCs w:val="22"/>
                <w:u w:val="none"/>
              </w:rPr>
            </w:pPr>
          </w:p>
        </w:tc>
        <w:tc>
          <w:tcPr>
            <w:tcW w:w="960" w:type="dxa"/>
            <w:shd w:val="clear" w:color="auto" w:fill="auto"/>
            <w:vAlign w:val="bottom"/>
          </w:tcPr>
          <w:p>
            <w:pPr>
              <w:jc w:val="center"/>
              <w:rPr>
                <w:rFonts w:hint="default" w:ascii="Calibri" w:hAnsi="Calibri" w:cs="Calibri"/>
                <w:i w:val="0"/>
                <w:color w:val="auto"/>
                <w:sz w:val="22"/>
                <w:szCs w:val="22"/>
                <w:u w:val="none"/>
              </w:rPr>
            </w:pPr>
          </w:p>
        </w:tc>
        <w:tc>
          <w:tcPr>
            <w:tcW w:w="645" w:type="dxa"/>
            <w:shd w:val="clear" w:color="auto" w:fill="auto"/>
            <w:vAlign w:val="bottom"/>
          </w:tcPr>
          <w:p>
            <w:pPr>
              <w:rPr>
                <w:rFonts w:hint="default" w:ascii="Arial" w:hAnsi="Arial" w:cs="Arial"/>
                <w:i w:val="0"/>
                <w:color w:val="auto"/>
                <w:sz w:val="20"/>
                <w:szCs w:val="20"/>
                <w:u w:val="none"/>
              </w:rPr>
            </w:pPr>
          </w:p>
        </w:tc>
        <w:tc>
          <w:tcPr>
            <w:tcW w:w="961" w:type="dxa"/>
            <w:shd w:val="clear" w:color="auto" w:fill="auto"/>
            <w:vAlign w:val="bottom"/>
          </w:tcPr>
          <w:p>
            <w:pPr>
              <w:rPr>
                <w:rFonts w:hint="default" w:ascii="Arial" w:hAnsi="Arial" w:cs="Arial"/>
                <w:i w:val="0"/>
                <w:color w:val="auto"/>
                <w:sz w:val="20"/>
                <w:szCs w:val="20"/>
                <w:u w:val="none"/>
              </w:rPr>
            </w:pPr>
          </w:p>
        </w:tc>
        <w:tc>
          <w:tcPr>
            <w:tcW w:w="960" w:type="dxa"/>
            <w:shd w:val="clear" w:color="auto" w:fill="auto"/>
            <w:vAlign w:val="bottom"/>
          </w:tcPr>
          <w:p>
            <w:pPr>
              <w:rPr>
                <w:rFonts w:hint="default" w:ascii="Arial" w:hAnsi="Arial" w:cs="Arial"/>
                <w:i w:val="0"/>
                <w:color w:val="auto"/>
                <w:sz w:val="20"/>
                <w:szCs w:val="20"/>
                <w:u w:val="none"/>
              </w:rPr>
            </w:pPr>
          </w:p>
        </w:tc>
        <w:tc>
          <w:tcPr>
            <w:tcW w:w="960" w:type="dxa"/>
            <w:shd w:val="clear" w:color="auto" w:fill="auto"/>
            <w:vAlign w:val="bottom"/>
          </w:tcPr>
          <w:p>
            <w:pPr>
              <w:rPr>
                <w:rFonts w:hint="default" w:ascii="Arial" w:hAnsi="Arial" w:cs="Arial"/>
                <w:i w:val="0"/>
                <w:color w:val="auto"/>
                <w:sz w:val="20"/>
                <w:szCs w:val="20"/>
                <w:u w:val="none"/>
              </w:rPr>
            </w:pPr>
          </w:p>
        </w:tc>
        <w:tc>
          <w:tcPr>
            <w:tcW w:w="960" w:type="dxa"/>
            <w:shd w:val="clear" w:color="auto" w:fill="auto"/>
            <w:vAlign w:val="bottom"/>
          </w:tcPr>
          <w:p>
            <w:pPr>
              <w:rPr>
                <w:rFonts w:hint="default" w:ascii="Arial" w:hAnsi="Arial" w:cs="Arial"/>
                <w:i w:val="0"/>
                <w:color w:val="auto"/>
                <w:sz w:val="20"/>
                <w:szCs w:val="20"/>
                <w:u w:val="none"/>
              </w:rPr>
            </w:pPr>
          </w:p>
        </w:tc>
        <w:tc>
          <w:tcPr>
            <w:tcW w:w="960" w:type="dxa"/>
            <w:shd w:val="clear" w:color="auto" w:fill="auto"/>
            <w:vAlign w:val="bottom"/>
          </w:tcPr>
          <w:p>
            <w:pPr>
              <w:rPr>
                <w:rFonts w:hint="default" w:ascii="Arial" w:hAnsi="Arial" w:cs="Arial"/>
                <w:i w:val="0"/>
                <w:color w:val="auto"/>
                <w:sz w:val="20"/>
                <w:szCs w:val="20"/>
                <w:u w:val="none"/>
              </w:rPr>
            </w:pPr>
          </w:p>
        </w:tc>
        <w:tc>
          <w:tcPr>
            <w:tcW w:w="960" w:type="dxa"/>
            <w:shd w:val="clear" w:color="auto" w:fill="auto"/>
            <w:vAlign w:val="bottom"/>
          </w:tcPr>
          <w:p>
            <w:pPr>
              <w:rPr>
                <w:rFonts w:hint="default" w:ascii="Arial" w:hAnsi="Arial" w:cs="Arial"/>
                <w:i w:val="0"/>
                <w:color w:val="auto"/>
                <w:sz w:val="20"/>
                <w:szCs w:val="20"/>
                <w:u w:val="none"/>
              </w:rPr>
            </w:pPr>
          </w:p>
        </w:tc>
        <w:tc>
          <w:tcPr>
            <w:tcW w:w="960" w:type="dxa"/>
            <w:shd w:val="clear" w:color="auto" w:fill="auto"/>
            <w:vAlign w:val="bottom"/>
          </w:tcPr>
          <w:p>
            <w:pPr>
              <w:rPr>
                <w:rFonts w:hint="default" w:ascii="Arial" w:hAnsi="Arial" w:cs="Arial"/>
                <w:i w:val="0"/>
                <w:color w:val="auto"/>
                <w:sz w:val="20"/>
                <w:szCs w:val="20"/>
                <w:u w:val="none"/>
              </w:rPr>
            </w:pPr>
          </w:p>
        </w:tc>
        <w:tc>
          <w:tcPr>
            <w:tcW w:w="960" w:type="dxa"/>
            <w:shd w:val="clear" w:color="auto" w:fill="auto"/>
            <w:vAlign w:val="bottom"/>
          </w:tcPr>
          <w:p>
            <w:pPr>
              <w:rPr>
                <w:rFonts w:hint="default" w:ascii="Arial" w:hAnsi="Arial" w:cs="Arial"/>
                <w:i w:val="0"/>
                <w:color w:val="auto"/>
                <w:sz w:val="20"/>
                <w:szCs w:val="20"/>
                <w:u w:val="none"/>
              </w:rPr>
            </w:pPr>
          </w:p>
        </w:tc>
        <w:tc>
          <w:tcPr>
            <w:tcW w:w="960" w:type="dxa"/>
            <w:shd w:val="clear" w:color="auto" w:fill="auto"/>
            <w:vAlign w:val="bottom"/>
          </w:tcPr>
          <w:p>
            <w:pPr>
              <w:rPr>
                <w:rFonts w:hint="default" w:ascii="Arial" w:hAnsi="Arial" w:cs="Arial"/>
                <w:i w:val="0"/>
                <w:color w:val="auto"/>
                <w:sz w:val="20"/>
                <w:szCs w:val="20"/>
                <w:u w:val="none"/>
              </w:rPr>
            </w:pPr>
          </w:p>
        </w:tc>
        <w:tc>
          <w:tcPr>
            <w:tcW w:w="964"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8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单位编码</w:t>
            </w:r>
          </w:p>
        </w:tc>
        <w:tc>
          <w:tcPr>
            <w:tcW w:w="25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科目编码</w:t>
            </w:r>
          </w:p>
        </w:tc>
        <w:tc>
          <w:tcPr>
            <w:tcW w:w="17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单位名称(科目)</w:t>
            </w: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经济分类科目（类）</w:t>
            </w:r>
          </w:p>
        </w:tc>
        <w:tc>
          <w:tcPr>
            <w:tcW w:w="13055"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收入来源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8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6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类</w:t>
            </w:r>
          </w:p>
        </w:tc>
        <w:tc>
          <w:tcPr>
            <w:tcW w:w="9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款</w:t>
            </w:r>
          </w:p>
        </w:tc>
        <w:tc>
          <w:tcPr>
            <w:tcW w:w="9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项</w:t>
            </w:r>
          </w:p>
        </w:tc>
        <w:tc>
          <w:tcPr>
            <w:tcW w:w="17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8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合计</w:t>
            </w:r>
          </w:p>
        </w:tc>
        <w:tc>
          <w:tcPr>
            <w:tcW w:w="928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本年收入</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使用非财政拨款结余</w:t>
            </w:r>
          </w:p>
        </w:tc>
        <w:tc>
          <w:tcPr>
            <w:tcW w:w="19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8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17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35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财政拨款</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教育收费资金收入</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事业收入</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事业单位经营收入</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附属单位上缴收入</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上级补助收入</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其他收入</w:t>
            </w: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国库集中支付结转(结余)</w:t>
            </w:r>
          </w:p>
        </w:tc>
        <w:tc>
          <w:tcPr>
            <w:tcW w:w="9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其他资金结转(结余)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96" w:hRule="atLeast"/>
        </w:trPr>
        <w:tc>
          <w:tcPr>
            <w:tcW w:w="8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17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小计</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一般公共预算收入</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政府性基金预算收入</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国有资本经营预算收入</w:t>
            </w: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9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w:t>
            </w:r>
          </w:p>
        </w:tc>
        <w:tc>
          <w:tcPr>
            <w:tcW w:w="1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8</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13</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i w:val="0"/>
                <w:color w:val="auto"/>
                <w:sz w:val="24"/>
                <w:szCs w:val="24"/>
                <w:u w:val="none"/>
              </w:rPr>
            </w:pP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i w:val="0"/>
                <w:color w:val="auto"/>
                <w:sz w:val="24"/>
                <w:szCs w:val="24"/>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i w:val="0"/>
                <w:color w:val="auto"/>
                <w:sz w:val="24"/>
                <w:szCs w:val="24"/>
                <w:u w:val="none"/>
              </w:rPr>
            </w:pPr>
          </w:p>
        </w:tc>
        <w:tc>
          <w:tcPr>
            <w:tcW w:w="1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b/>
                <w:i w:val="0"/>
                <w:color w:val="auto"/>
                <w:sz w:val="24"/>
                <w:szCs w:val="24"/>
                <w:u w:val="none"/>
              </w:rPr>
            </w:pPr>
            <w:r>
              <w:rPr>
                <w:rFonts w:hint="default" w:ascii="Calibri" w:hAnsi="Calibri" w:eastAsia="宋体" w:cs="Calibri"/>
                <w:b/>
                <w:i w:val="0"/>
                <w:color w:val="auto"/>
                <w:kern w:val="0"/>
                <w:sz w:val="24"/>
                <w:szCs w:val="24"/>
                <w:u w:val="none"/>
                <w:lang w:val="en-US" w:eastAsia="zh-CN" w:bidi="ar"/>
              </w:rPr>
              <w:t>合计</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665.31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665.31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cs="Calibri"/>
                <w:b/>
                <w:i w:val="0"/>
                <w:color w:val="auto"/>
                <w:sz w:val="24"/>
                <w:szCs w:val="24"/>
                <w:u w:val="none"/>
              </w:rPr>
            </w:pPr>
            <w:r>
              <w:rPr>
                <w:rFonts w:hint="default" w:ascii="Calibri" w:hAnsi="Calibri" w:eastAsia="宋体" w:cs="Calibri"/>
                <w:b/>
                <w:i w:val="0"/>
                <w:color w:val="auto"/>
                <w:kern w:val="0"/>
                <w:sz w:val="24"/>
                <w:szCs w:val="24"/>
                <w:u w:val="none"/>
                <w:lang w:val="en-US" w:eastAsia="zh-CN" w:bidi="ar"/>
              </w:rPr>
              <w:t>665.31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917</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i w:val="0"/>
                <w:color w:val="auto"/>
                <w:sz w:val="24"/>
                <w:szCs w:val="24"/>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i w:val="0"/>
                <w:color w:val="auto"/>
                <w:sz w:val="24"/>
                <w:szCs w:val="24"/>
                <w:u w:val="none"/>
              </w:rPr>
            </w:pPr>
          </w:p>
        </w:tc>
        <w:tc>
          <w:tcPr>
            <w:tcW w:w="1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b/>
                <w:i w:val="0"/>
                <w:color w:val="auto"/>
                <w:sz w:val="24"/>
                <w:szCs w:val="24"/>
                <w:u w:val="none"/>
              </w:rPr>
            </w:pPr>
            <w:r>
              <w:rPr>
                <w:rFonts w:hint="default" w:ascii="Calibri" w:hAnsi="Calibri" w:eastAsia="宋体" w:cs="Calibri"/>
                <w:b/>
                <w:i w:val="0"/>
                <w:color w:val="auto"/>
                <w:kern w:val="0"/>
                <w:sz w:val="24"/>
                <w:szCs w:val="24"/>
                <w:u w:val="none"/>
                <w:lang w:val="en-US" w:eastAsia="zh-CN" w:bidi="ar"/>
              </w:rPr>
              <w:t>兴国县梅窖镇</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665.31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665.31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cs="Calibri"/>
                <w:b/>
                <w:i w:val="0"/>
                <w:color w:val="auto"/>
                <w:sz w:val="24"/>
                <w:szCs w:val="24"/>
                <w:u w:val="none"/>
              </w:rPr>
            </w:pPr>
            <w:r>
              <w:rPr>
                <w:rFonts w:hint="default" w:ascii="Calibri" w:hAnsi="Calibri" w:eastAsia="宋体" w:cs="Calibri"/>
                <w:b/>
                <w:i w:val="0"/>
                <w:color w:val="auto"/>
                <w:kern w:val="0"/>
                <w:sz w:val="24"/>
                <w:szCs w:val="24"/>
                <w:u w:val="none"/>
                <w:lang w:val="en-US" w:eastAsia="zh-CN" w:bidi="ar"/>
              </w:rPr>
              <w:t>665.31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90" w:hRule="atLeast"/>
        </w:trPr>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　917001</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i w:val="0"/>
                <w:color w:val="auto"/>
                <w:sz w:val="24"/>
                <w:szCs w:val="24"/>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i w:val="0"/>
                <w:color w:val="auto"/>
                <w:sz w:val="24"/>
                <w:szCs w:val="24"/>
                <w:u w:val="none"/>
              </w:rPr>
            </w:pPr>
          </w:p>
        </w:tc>
        <w:tc>
          <w:tcPr>
            <w:tcW w:w="1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b/>
                <w:i w:val="0"/>
                <w:color w:val="auto"/>
                <w:sz w:val="24"/>
                <w:szCs w:val="24"/>
                <w:u w:val="none"/>
              </w:rPr>
            </w:pPr>
            <w:r>
              <w:rPr>
                <w:rFonts w:hint="default" w:ascii="Calibri" w:hAnsi="Calibri" w:eastAsia="宋体" w:cs="Calibri"/>
                <w:b/>
                <w:i w:val="0"/>
                <w:color w:val="auto"/>
                <w:kern w:val="0"/>
                <w:sz w:val="24"/>
                <w:szCs w:val="24"/>
                <w:u w:val="none"/>
                <w:lang w:val="en-US" w:eastAsia="zh-CN" w:bidi="ar"/>
              </w:rPr>
              <w:t>　兴国县梅窖镇人民政府</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665.31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665.31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cs="Calibri"/>
                <w:b/>
                <w:i w:val="0"/>
                <w:color w:val="auto"/>
                <w:sz w:val="24"/>
                <w:szCs w:val="24"/>
                <w:u w:val="none"/>
              </w:rPr>
            </w:pPr>
            <w:r>
              <w:rPr>
                <w:rFonts w:hint="default" w:ascii="Calibri" w:hAnsi="Calibri" w:eastAsia="宋体" w:cs="Calibri"/>
                <w:b/>
                <w:i w:val="0"/>
                <w:color w:val="auto"/>
                <w:kern w:val="0"/>
                <w:sz w:val="24"/>
                <w:szCs w:val="24"/>
                <w:u w:val="none"/>
                <w:lang w:val="en-US" w:eastAsia="zh-CN" w:bidi="ar"/>
              </w:rPr>
              <w:t>665.31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b/>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917001</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201</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03</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01</w:t>
            </w:r>
          </w:p>
        </w:tc>
        <w:tc>
          <w:tcPr>
            <w:tcW w:w="1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　　行政运行</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工资福利支出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315.55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315.55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315.55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80" w:hRule="atLeast"/>
        </w:trPr>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917001</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201</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03</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01</w:t>
            </w:r>
          </w:p>
        </w:tc>
        <w:tc>
          <w:tcPr>
            <w:tcW w:w="1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　　行政运行</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对个人和家庭的补助</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3.12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3.12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3.12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917001</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201</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03</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01</w:t>
            </w:r>
          </w:p>
        </w:tc>
        <w:tc>
          <w:tcPr>
            <w:tcW w:w="1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　　行政运行</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商品和服务支出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162.59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162.59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162.59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917001</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201</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03</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01</w:t>
            </w:r>
          </w:p>
        </w:tc>
        <w:tc>
          <w:tcPr>
            <w:tcW w:w="1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　　行政运行</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资本性支出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15.00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15.00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15.00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20" w:hRule="atLeast"/>
        </w:trPr>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917001</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208</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05</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05</w:t>
            </w:r>
          </w:p>
        </w:tc>
        <w:tc>
          <w:tcPr>
            <w:tcW w:w="1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　　机关事业单位基本养老保险缴费支出</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工资福利支出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66.86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66.86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66.86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5" w:hRule="atLeast"/>
        </w:trPr>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917001</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208</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99</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99</w:t>
            </w:r>
          </w:p>
        </w:tc>
        <w:tc>
          <w:tcPr>
            <w:tcW w:w="1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　　其他社会保障和就业支出</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工资福利支出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1.16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1.16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1.16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917001</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210</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11</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01</w:t>
            </w:r>
          </w:p>
        </w:tc>
        <w:tc>
          <w:tcPr>
            <w:tcW w:w="1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　　行政单位医疗</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工资福利支出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24.01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24.01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24.01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917001</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210</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11</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03</w:t>
            </w:r>
          </w:p>
        </w:tc>
        <w:tc>
          <w:tcPr>
            <w:tcW w:w="1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　　公务员医疗补助</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工资福利支出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21.53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21.53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21.53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917001</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221</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02</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01</w:t>
            </w:r>
          </w:p>
        </w:tc>
        <w:tc>
          <w:tcPr>
            <w:tcW w:w="1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　　住房公积金</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工资福利支出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55.50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55.50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cs="Calibri"/>
                <w:i w:val="0"/>
                <w:color w:val="auto"/>
                <w:sz w:val="24"/>
                <w:szCs w:val="24"/>
                <w:u w:val="none"/>
              </w:rPr>
            </w:pPr>
            <w:r>
              <w:rPr>
                <w:rFonts w:hint="default" w:ascii="Calibri" w:hAnsi="Calibri" w:eastAsia="宋体" w:cs="Calibri"/>
                <w:i w:val="0"/>
                <w:color w:val="auto"/>
                <w:kern w:val="0"/>
                <w:sz w:val="24"/>
                <w:szCs w:val="24"/>
                <w:u w:val="none"/>
                <w:lang w:val="en-US" w:eastAsia="zh-CN" w:bidi="ar"/>
              </w:rPr>
              <w:t>55.50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4"/>
                <w:szCs w:val="24"/>
                <w:u w:val="none"/>
              </w:rPr>
            </w:pPr>
          </w:p>
        </w:tc>
      </w:tr>
    </w:tbl>
    <w:p>
      <w:pPr>
        <w:pStyle w:val="2"/>
        <w:rPr>
          <w:rFonts w:hint="eastAsia" w:ascii="仿宋" w:hAnsi="仿宋" w:eastAsia="仿宋" w:cs="仿宋"/>
          <w:color w:val="auto"/>
          <w:sz w:val="32"/>
          <w:szCs w:val="32"/>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《一般公共预算“三公”经费支出表》</w:t>
      </w:r>
    </w:p>
    <w:p>
      <w:pPr>
        <w:pStyle w:val="2"/>
        <w:rPr>
          <w:rFonts w:hint="eastAsia" w:ascii="仿宋" w:hAnsi="仿宋" w:eastAsia="仿宋" w:cs="仿宋"/>
          <w:color w:val="auto"/>
          <w:sz w:val="32"/>
          <w:szCs w:val="32"/>
        </w:rPr>
      </w:pPr>
    </w:p>
    <w:tbl>
      <w:tblPr>
        <w:tblStyle w:val="4"/>
        <w:tblW w:w="879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07"/>
        <w:gridCol w:w="1191"/>
        <w:gridCol w:w="385"/>
        <w:gridCol w:w="535"/>
        <w:gridCol w:w="700"/>
        <w:gridCol w:w="457"/>
        <w:gridCol w:w="539"/>
        <w:gridCol w:w="535"/>
        <w:gridCol w:w="539"/>
        <w:gridCol w:w="539"/>
        <w:gridCol w:w="539"/>
        <w:gridCol w:w="535"/>
        <w:gridCol w:w="535"/>
        <w:gridCol w:w="535"/>
        <w:gridCol w:w="5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59" w:hRule="atLeast"/>
        </w:trPr>
        <w:tc>
          <w:tcPr>
            <w:tcW w:w="707" w:type="dxa"/>
            <w:shd w:val="clear" w:color="auto" w:fill="auto"/>
            <w:vAlign w:val="bottom"/>
          </w:tcPr>
          <w:p>
            <w:pPr>
              <w:rPr>
                <w:rFonts w:hint="eastAsia" w:ascii="Arial" w:hAnsi="Arial" w:cs="Arial"/>
                <w:i w:val="0"/>
                <w:color w:val="auto"/>
                <w:sz w:val="20"/>
                <w:szCs w:val="20"/>
                <w:u w:val="none"/>
              </w:rPr>
            </w:pPr>
          </w:p>
        </w:tc>
        <w:tc>
          <w:tcPr>
            <w:tcW w:w="1191" w:type="dxa"/>
            <w:shd w:val="clear" w:color="auto" w:fill="auto"/>
            <w:vAlign w:val="bottom"/>
          </w:tcPr>
          <w:p>
            <w:pPr>
              <w:rPr>
                <w:rFonts w:hint="default" w:ascii="Arial" w:hAnsi="Arial" w:cs="Arial"/>
                <w:i w:val="0"/>
                <w:color w:val="auto"/>
                <w:sz w:val="20"/>
                <w:szCs w:val="20"/>
                <w:u w:val="none"/>
              </w:rPr>
            </w:pPr>
          </w:p>
        </w:tc>
        <w:tc>
          <w:tcPr>
            <w:tcW w:w="385" w:type="dxa"/>
            <w:shd w:val="clear" w:color="auto" w:fill="auto"/>
            <w:vAlign w:val="bottom"/>
          </w:tcPr>
          <w:p>
            <w:pPr>
              <w:rPr>
                <w:rFonts w:hint="default" w:ascii="Arial" w:hAnsi="Arial" w:cs="Arial"/>
                <w:i w:val="0"/>
                <w:color w:val="auto"/>
                <w:sz w:val="20"/>
                <w:szCs w:val="20"/>
                <w:u w:val="none"/>
              </w:rPr>
            </w:pPr>
          </w:p>
        </w:tc>
        <w:tc>
          <w:tcPr>
            <w:tcW w:w="535" w:type="dxa"/>
            <w:shd w:val="clear" w:color="auto" w:fill="auto"/>
            <w:vAlign w:val="bottom"/>
          </w:tcPr>
          <w:p>
            <w:pPr>
              <w:rPr>
                <w:rFonts w:hint="default" w:ascii="Arial" w:hAnsi="Arial" w:cs="Arial"/>
                <w:i w:val="0"/>
                <w:color w:val="auto"/>
                <w:sz w:val="20"/>
                <w:szCs w:val="20"/>
                <w:u w:val="none"/>
              </w:rPr>
            </w:pPr>
          </w:p>
        </w:tc>
        <w:tc>
          <w:tcPr>
            <w:tcW w:w="700" w:type="dxa"/>
            <w:shd w:val="clear" w:color="auto" w:fill="auto"/>
            <w:vAlign w:val="bottom"/>
          </w:tcPr>
          <w:p>
            <w:pPr>
              <w:rPr>
                <w:rFonts w:hint="default" w:ascii="Arial" w:hAnsi="Arial" w:cs="Arial"/>
                <w:i w:val="0"/>
                <w:color w:val="auto"/>
                <w:sz w:val="20"/>
                <w:szCs w:val="20"/>
                <w:u w:val="none"/>
              </w:rPr>
            </w:pPr>
          </w:p>
        </w:tc>
        <w:tc>
          <w:tcPr>
            <w:tcW w:w="457" w:type="dxa"/>
            <w:shd w:val="clear" w:color="auto" w:fill="auto"/>
            <w:vAlign w:val="bottom"/>
          </w:tcPr>
          <w:p>
            <w:pPr>
              <w:rPr>
                <w:rFonts w:hint="default" w:ascii="Arial" w:hAnsi="Arial" w:cs="Arial"/>
                <w:i w:val="0"/>
                <w:color w:val="auto"/>
                <w:sz w:val="20"/>
                <w:szCs w:val="20"/>
                <w:u w:val="none"/>
              </w:rPr>
            </w:pPr>
          </w:p>
        </w:tc>
        <w:tc>
          <w:tcPr>
            <w:tcW w:w="539" w:type="dxa"/>
            <w:shd w:val="clear" w:color="auto" w:fill="auto"/>
            <w:vAlign w:val="bottom"/>
          </w:tcPr>
          <w:p>
            <w:pPr>
              <w:rPr>
                <w:rFonts w:hint="default" w:ascii="Arial" w:hAnsi="Arial" w:cs="Arial"/>
                <w:i w:val="0"/>
                <w:color w:val="auto"/>
                <w:sz w:val="20"/>
                <w:szCs w:val="20"/>
                <w:u w:val="none"/>
              </w:rPr>
            </w:pPr>
          </w:p>
        </w:tc>
        <w:tc>
          <w:tcPr>
            <w:tcW w:w="535" w:type="dxa"/>
            <w:shd w:val="clear" w:color="auto" w:fill="auto"/>
            <w:vAlign w:val="bottom"/>
          </w:tcPr>
          <w:p>
            <w:pPr>
              <w:rPr>
                <w:rFonts w:hint="default" w:ascii="Arial" w:hAnsi="Arial" w:cs="Arial"/>
                <w:i w:val="0"/>
                <w:color w:val="auto"/>
                <w:sz w:val="20"/>
                <w:szCs w:val="20"/>
                <w:u w:val="none"/>
              </w:rPr>
            </w:pPr>
          </w:p>
        </w:tc>
        <w:tc>
          <w:tcPr>
            <w:tcW w:w="539" w:type="dxa"/>
            <w:shd w:val="clear" w:color="auto" w:fill="auto"/>
            <w:vAlign w:val="bottom"/>
          </w:tcPr>
          <w:p>
            <w:pPr>
              <w:rPr>
                <w:rFonts w:hint="default" w:ascii="Arial" w:hAnsi="Arial" w:cs="Arial"/>
                <w:i w:val="0"/>
                <w:color w:val="auto"/>
                <w:sz w:val="20"/>
                <w:szCs w:val="20"/>
                <w:u w:val="none"/>
              </w:rPr>
            </w:pPr>
          </w:p>
        </w:tc>
        <w:tc>
          <w:tcPr>
            <w:tcW w:w="539" w:type="dxa"/>
            <w:shd w:val="clear" w:color="auto" w:fill="auto"/>
            <w:vAlign w:val="bottom"/>
          </w:tcPr>
          <w:p>
            <w:pPr>
              <w:rPr>
                <w:rFonts w:hint="default" w:ascii="Arial" w:hAnsi="Arial" w:cs="Arial"/>
                <w:i w:val="0"/>
                <w:color w:val="auto"/>
                <w:sz w:val="20"/>
                <w:szCs w:val="20"/>
                <w:u w:val="none"/>
              </w:rPr>
            </w:pPr>
          </w:p>
        </w:tc>
        <w:tc>
          <w:tcPr>
            <w:tcW w:w="539" w:type="dxa"/>
            <w:shd w:val="clear" w:color="auto" w:fill="auto"/>
            <w:vAlign w:val="bottom"/>
          </w:tcPr>
          <w:p>
            <w:pPr>
              <w:rPr>
                <w:rFonts w:hint="default" w:ascii="Arial" w:hAnsi="Arial" w:cs="Arial"/>
                <w:i w:val="0"/>
                <w:color w:val="auto"/>
                <w:sz w:val="20"/>
                <w:szCs w:val="20"/>
                <w:u w:val="none"/>
              </w:rPr>
            </w:pPr>
          </w:p>
        </w:tc>
        <w:tc>
          <w:tcPr>
            <w:tcW w:w="535" w:type="dxa"/>
            <w:shd w:val="clear" w:color="auto" w:fill="auto"/>
            <w:vAlign w:val="bottom"/>
          </w:tcPr>
          <w:p>
            <w:pPr>
              <w:rPr>
                <w:rFonts w:hint="default" w:ascii="Arial" w:hAnsi="Arial" w:cs="Arial"/>
                <w:i w:val="0"/>
                <w:color w:val="auto"/>
                <w:sz w:val="20"/>
                <w:szCs w:val="20"/>
                <w:u w:val="none"/>
              </w:rPr>
            </w:pPr>
          </w:p>
        </w:tc>
        <w:tc>
          <w:tcPr>
            <w:tcW w:w="535" w:type="dxa"/>
            <w:shd w:val="clear" w:color="auto" w:fill="auto"/>
            <w:vAlign w:val="bottom"/>
          </w:tcPr>
          <w:p>
            <w:pPr>
              <w:rPr>
                <w:rFonts w:hint="default" w:ascii="Arial" w:hAnsi="Arial" w:cs="Arial"/>
                <w:i w:val="0"/>
                <w:color w:val="auto"/>
                <w:sz w:val="20"/>
                <w:szCs w:val="20"/>
                <w:u w:val="none"/>
              </w:rPr>
            </w:pPr>
          </w:p>
        </w:tc>
        <w:tc>
          <w:tcPr>
            <w:tcW w:w="1056" w:type="dxa"/>
            <w:gridSpan w:val="2"/>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预算07表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88" w:hRule="atLeast"/>
        </w:trPr>
        <w:tc>
          <w:tcPr>
            <w:tcW w:w="8792" w:type="dxa"/>
            <w:gridSpan w:val="15"/>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48"/>
                <w:szCs w:val="48"/>
                <w:u w:val="none"/>
              </w:rPr>
            </w:pPr>
            <w:r>
              <w:rPr>
                <w:rFonts w:hint="eastAsia" w:ascii="宋体" w:hAnsi="宋体" w:eastAsia="宋体" w:cs="宋体"/>
                <w:i w:val="0"/>
                <w:color w:val="auto"/>
                <w:kern w:val="0"/>
                <w:sz w:val="48"/>
                <w:szCs w:val="48"/>
                <w:u w:val="none"/>
                <w:lang w:val="en-US" w:eastAsia="zh-CN" w:bidi="ar"/>
              </w:rPr>
              <w:t>“三公经费”支出预算表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59" w:hRule="atLeast"/>
        </w:trPr>
        <w:tc>
          <w:tcPr>
            <w:tcW w:w="707" w:type="dxa"/>
            <w:shd w:val="clear" w:color="auto" w:fill="auto"/>
            <w:vAlign w:val="center"/>
          </w:tcPr>
          <w:p>
            <w:pPr>
              <w:jc w:val="center"/>
              <w:rPr>
                <w:rFonts w:hint="eastAsia" w:ascii="宋体" w:hAnsi="宋体" w:eastAsia="宋体" w:cs="宋体"/>
                <w:i w:val="0"/>
                <w:color w:val="auto"/>
                <w:sz w:val="18"/>
                <w:szCs w:val="18"/>
                <w:u w:val="none"/>
              </w:rPr>
            </w:pPr>
          </w:p>
        </w:tc>
        <w:tc>
          <w:tcPr>
            <w:tcW w:w="1191" w:type="dxa"/>
            <w:shd w:val="clear" w:color="auto" w:fill="auto"/>
            <w:vAlign w:val="bottom"/>
          </w:tcPr>
          <w:p>
            <w:pPr>
              <w:rPr>
                <w:rFonts w:hint="default" w:ascii="Arial" w:hAnsi="Arial" w:cs="Arial"/>
                <w:i w:val="0"/>
                <w:color w:val="auto"/>
                <w:sz w:val="20"/>
                <w:szCs w:val="20"/>
                <w:u w:val="none"/>
              </w:rPr>
            </w:pPr>
          </w:p>
        </w:tc>
        <w:tc>
          <w:tcPr>
            <w:tcW w:w="385" w:type="dxa"/>
            <w:shd w:val="clear" w:color="auto" w:fill="auto"/>
            <w:vAlign w:val="bottom"/>
          </w:tcPr>
          <w:p>
            <w:pPr>
              <w:rPr>
                <w:rFonts w:hint="default" w:ascii="Arial" w:hAnsi="Arial" w:cs="Arial"/>
                <w:i w:val="0"/>
                <w:color w:val="auto"/>
                <w:sz w:val="20"/>
                <w:szCs w:val="20"/>
                <w:u w:val="none"/>
              </w:rPr>
            </w:pPr>
          </w:p>
        </w:tc>
        <w:tc>
          <w:tcPr>
            <w:tcW w:w="535" w:type="dxa"/>
            <w:shd w:val="clear" w:color="auto" w:fill="auto"/>
            <w:vAlign w:val="bottom"/>
          </w:tcPr>
          <w:p>
            <w:pPr>
              <w:rPr>
                <w:rFonts w:hint="default" w:ascii="Arial" w:hAnsi="Arial" w:cs="Arial"/>
                <w:i w:val="0"/>
                <w:color w:val="auto"/>
                <w:sz w:val="20"/>
                <w:szCs w:val="20"/>
                <w:u w:val="none"/>
              </w:rPr>
            </w:pPr>
          </w:p>
        </w:tc>
        <w:tc>
          <w:tcPr>
            <w:tcW w:w="700" w:type="dxa"/>
            <w:shd w:val="clear" w:color="auto" w:fill="auto"/>
            <w:vAlign w:val="bottom"/>
          </w:tcPr>
          <w:p>
            <w:pPr>
              <w:rPr>
                <w:rFonts w:hint="default" w:ascii="Arial" w:hAnsi="Arial" w:cs="Arial"/>
                <w:i w:val="0"/>
                <w:color w:val="auto"/>
                <w:sz w:val="20"/>
                <w:szCs w:val="20"/>
                <w:u w:val="none"/>
              </w:rPr>
            </w:pPr>
          </w:p>
        </w:tc>
        <w:tc>
          <w:tcPr>
            <w:tcW w:w="457" w:type="dxa"/>
            <w:shd w:val="clear" w:color="auto" w:fill="auto"/>
            <w:vAlign w:val="bottom"/>
          </w:tcPr>
          <w:p>
            <w:pPr>
              <w:rPr>
                <w:rFonts w:hint="default" w:ascii="Arial" w:hAnsi="Arial" w:cs="Arial"/>
                <w:i w:val="0"/>
                <w:color w:val="auto"/>
                <w:sz w:val="20"/>
                <w:szCs w:val="20"/>
                <w:u w:val="none"/>
              </w:rPr>
            </w:pPr>
          </w:p>
        </w:tc>
        <w:tc>
          <w:tcPr>
            <w:tcW w:w="539" w:type="dxa"/>
            <w:shd w:val="clear" w:color="auto" w:fill="auto"/>
            <w:vAlign w:val="bottom"/>
          </w:tcPr>
          <w:p>
            <w:pPr>
              <w:rPr>
                <w:rFonts w:hint="default" w:ascii="Arial" w:hAnsi="Arial" w:cs="Arial"/>
                <w:i w:val="0"/>
                <w:color w:val="auto"/>
                <w:sz w:val="20"/>
                <w:szCs w:val="20"/>
                <w:u w:val="none"/>
              </w:rPr>
            </w:pPr>
          </w:p>
        </w:tc>
        <w:tc>
          <w:tcPr>
            <w:tcW w:w="535" w:type="dxa"/>
            <w:shd w:val="clear" w:color="auto" w:fill="auto"/>
            <w:vAlign w:val="bottom"/>
          </w:tcPr>
          <w:p>
            <w:pPr>
              <w:rPr>
                <w:rFonts w:hint="default" w:ascii="Arial" w:hAnsi="Arial" w:cs="Arial"/>
                <w:i w:val="0"/>
                <w:color w:val="auto"/>
                <w:sz w:val="20"/>
                <w:szCs w:val="20"/>
                <w:u w:val="none"/>
              </w:rPr>
            </w:pPr>
          </w:p>
        </w:tc>
        <w:tc>
          <w:tcPr>
            <w:tcW w:w="539" w:type="dxa"/>
            <w:shd w:val="clear" w:color="auto" w:fill="auto"/>
            <w:vAlign w:val="bottom"/>
          </w:tcPr>
          <w:p>
            <w:pPr>
              <w:rPr>
                <w:rFonts w:hint="default" w:ascii="Arial" w:hAnsi="Arial" w:cs="Arial"/>
                <w:i w:val="0"/>
                <w:color w:val="auto"/>
                <w:sz w:val="20"/>
                <w:szCs w:val="20"/>
                <w:u w:val="none"/>
              </w:rPr>
            </w:pPr>
          </w:p>
        </w:tc>
        <w:tc>
          <w:tcPr>
            <w:tcW w:w="539" w:type="dxa"/>
            <w:shd w:val="clear" w:color="auto" w:fill="auto"/>
            <w:vAlign w:val="bottom"/>
          </w:tcPr>
          <w:p>
            <w:pPr>
              <w:rPr>
                <w:rFonts w:hint="default" w:ascii="Arial" w:hAnsi="Arial" w:cs="Arial"/>
                <w:i w:val="0"/>
                <w:color w:val="auto"/>
                <w:sz w:val="20"/>
                <w:szCs w:val="20"/>
                <w:u w:val="none"/>
              </w:rPr>
            </w:pPr>
          </w:p>
        </w:tc>
        <w:tc>
          <w:tcPr>
            <w:tcW w:w="539" w:type="dxa"/>
            <w:shd w:val="clear" w:color="auto" w:fill="auto"/>
            <w:vAlign w:val="bottom"/>
          </w:tcPr>
          <w:p>
            <w:pPr>
              <w:rPr>
                <w:rFonts w:hint="default" w:ascii="Arial" w:hAnsi="Arial" w:cs="Arial"/>
                <w:i w:val="0"/>
                <w:color w:val="auto"/>
                <w:sz w:val="20"/>
                <w:szCs w:val="20"/>
                <w:u w:val="none"/>
              </w:rPr>
            </w:pPr>
          </w:p>
        </w:tc>
        <w:tc>
          <w:tcPr>
            <w:tcW w:w="535" w:type="dxa"/>
            <w:shd w:val="clear" w:color="auto" w:fill="auto"/>
            <w:vAlign w:val="bottom"/>
          </w:tcPr>
          <w:p>
            <w:pPr>
              <w:rPr>
                <w:rFonts w:hint="default" w:ascii="Arial" w:hAnsi="Arial" w:cs="Arial"/>
                <w:i w:val="0"/>
                <w:color w:val="auto"/>
                <w:sz w:val="20"/>
                <w:szCs w:val="20"/>
                <w:u w:val="none"/>
              </w:rPr>
            </w:pPr>
          </w:p>
        </w:tc>
        <w:tc>
          <w:tcPr>
            <w:tcW w:w="535" w:type="dxa"/>
            <w:shd w:val="clear" w:color="auto" w:fill="auto"/>
            <w:vAlign w:val="bottom"/>
          </w:tcPr>
          <w:p>
            <w:pPr>
              <w:rPr>
                <w:rFonts w:hint="default" w:ascii="Arial" w:hAnsi="Arial" w:cs="Arial"/>
                <w:i w:val="0"/>
                <w:color w:val="auto"/>
                <w:sz w:val="20"/>
                <w:szCs w:val="20"/>
                <w:u w:val="none"/>
              </w:rPr>
            </w:pPr>
          </w:p>
        </w:tc>
        <w:tc>
          <w:tcPr>
            <w:tcW w:w="535" w:type="dxa"/>
            <w:shd w:val="clear" w:color="auto" w:fill="auto"/>
            <w:vAlign w:val="bottom"/>
          </w:tcPr>
          <w:p>
            <w:pPr>
              <w:rPr>
                <w:rFonts w:hint="default" w:ascii="Arial" w:hAnsi="Arial" w:cs="Arial"/>
                <w:i w:val="0"/>
                <w:color w:val="auto"/>
                <w:sz w:val="20"/>
                <w:szCs w:val="20"/>
                <w:u w:val="none"/>
              </w:rPr>
            </w:pPr>
          </w:p>
        </w:tc>
        <w:tc>
          <w:tcPr>
            <w:tcW w:w="521" w:type="dxa"/>
            <w:shd w:val="clear" w:color="auto" w:fill="auto"/>
            <w:vAlign w:val="bottom"/>
          </w:tcPr>
          <w:p>
            <w:pPr>
              <w:rPr>
                <w:rFonts w:hint="default" w:ascii="Arial" w:hAnsi="Arial" w:cs="Arial"/>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88" w:hRule="atLeast"/>
        </w:trPr>
        <w:tc>
          <w:tcPr>
            <w:tcW w:w="3518" w:type="dxa"/>
            <w:gridSpan w:val="5"/>
            <w:shd w:val="clear" w:color="auto" w:fill="auto"/>
            <w:vAlign w:val="center"/>
          </w:tcPr>
          <w:p>
            <w:pPr>
              <w:keepNext w:val="0"/>
              <w:keepLines w:val="0"/>
              <w:widowControl/>
              <w:suppressLineNumbers w:val="0"/>
              <w:jc w:val="center"/>
              <w:textAlignment w:val="center"/>
              <w:rPr>
                <w:rFonts w:ascii="Calibri" w:hAnsi="Calibri" w:cs="Calibri"/>
                <w:i w:val="0"/>
                <w:color w:val="auto"/>
                <w:sz w:val="22"/>
                <w:szCs w:val="22"/>
                <w:u w:val="none"/>
              </w:rPr>
            </w:pPr>
            <w:r>
              <w:rPr>
                <w:rFonts w:hint="default" w:ascii="Calibri" w:hAnsi="Calibri" w:eastAsia="宋体" w:cs="Calibri"/>
                <w:i w:val="0"/>
                <w:color w:val="auto"/>
                <w:kern w:val="0"/>
                <w:sz w:val="22"/>
                <w:szCs w:val="22"/>
                <w:u w:val="none"/>
                <w:lang w:val="en-US" w:eastAsia="zh-CN" w:bidi="ar"/>
              </w:rPr>
              <w:t>[917]兴国县梅窖镇 , [917001]兴国县梅窖镇人民政府</w:t>
            </w:r>
          </w:p>
        </w:tc>
        <w:tc>
          <w:tcPr>
            <w:tcW w:w="457" w:type="dxa"/>
            <w:shd w:val="clear" w:color="auto" w:fill="auto"/>
            <w:vAlign w:val="bottom"/>
          </w:tcPr>
          <w:p>
            <w:pPr>
              <w:rPr>
                <w:rFonts w:hint="default" w:ascii="Arial" w:hAnsi="Arial" w:cs="Arial"/>
                <w:i w:val="0"/>
                <w:color w:val="auto"/>
                <w:sz w:val="20"/>
                <w:szCs w:val="20"/>
                <w:u w:val="none"/>
              </w:rPr>
            </w:pPr>
          </w:p>
        </w:tc>
        <w:tc>
          <w:tcPr>
            <w:tcW w:w="539" w:type="dxa"/>
            <w:shd w:val="clear" w:color="auto" w:fill="auto"/>
            <w:vAlign w:val="bottom"/>
          </w:tcPr>
          <w:p>
            <w:pPr>
              <w:rPr>
                <w:rFonts w:hint="default" w:ascii="Arial" w:hAnsi="Arial" w:cs="Arial"/>
                <w:i w:val="0"/>
                <w:color w:val="auto"/>
                <w:sz w:val="20"/>
                <w:szCs w:val="20"/>
                <w:u w:val="none"/>
              </w:rPr>
            </w:pPr>
          </w:p>
        </w:tc>
        <w:tc>
          <w:tcPr>
            <w:tcW w:w="535" w:type="dxa"/>
            <w:shd w:val="clear" w:color="auto" w:fill="auto"/>
            <w:vAlign w:val="bottom"/>
          </w:tcPr>
          <w:p>
            <w:pPr>
              <w:rPr>
                <w:rFonts w:hint="default" w:ascii="Arial" w:hAnsi="Arial" w:cs="Arial"/>
                <w:i w:val="0"/>
                <w:color w:val="auto"/>
                <w:sz w:val="20"/>
                <w:szCs w:val="20"/>
                <w:u w:val="none"/>
              </w:rPr>
            </w:pPr>
          </w:p>
        </w:tc>
        <w:tc>
          <w:tcPr>
            <w:tcW w:w="539" w:type="dxa"/>
            <w:shd w:val="clear" w:color="auto" w:fill="auto"/>
            <w:vAlign w:val="bottom"/>
          </w:tcPr>
          <w:p>
            <w:pPr>
              <w:rPr>
                <w:rFonts w:hint="default" w:ascii="Arial" w:hAnsi="Arial" w:cs="Arial"/>
                <w:i w:val="0"/>
                <w:color w:val="auto"/>
                <w:sz w:val="20"/>
                <w:szCs w:val="20"/>
                <w:u w:val="none"/>
              </w:rPr>
            </w:pPr>
          </w:p>
        </w:tc>
        <w:tc>
          <w:tcPr>
            <w:tcW w:w="539" w:type="dxa"/>
            <w:shd w:val="clear" w:color="auto" w:fill="auto"/>
            <w:vAlign w:val="bottom"/>
          </w:tcPr>
          <w:p>
            <w:pPr>
              <w:rPr>
                <w:rFonts w:hint="default" w:ascii="Arial" w:hAnsi="Arial" w:cs="Arial"/>
                <w:i w:val="0"/>
                <w:color w:val="auto"/>
                <w:sz w:val="20"/>
                <w:szCs w:val="20"/>
                <w:u w:val="none"/>
              </w:rPr>
            </w:pPr>
          </w:p>
        </w:tc>
        <w:tc>
          <w:tcPr>
            <w:tcW w:w="539" w:type="dxa"/>
            <w:shd w:val="clear" w:color="auto" w:fill="auto"/>
            <w:vAlign w:val="bottom"/>
          </w:tcPr>
          <w:p>
            <w:pPr>
              <w:rPr>
                <w:rFonts w:hint="default" w:ascii="Arial" w:hAnsi="Arial" w:cs="Arial"/>
                <w:i w:val="0"/>
                <w:color w:val="auto"/>
                <w:sz w:val="20"/>
                <w:szCs w:val="20"/>
                <w:u w:val="none"/>
              </w:rPr>
            </w:pPr>
          </w:p>
        </w:tc>
        <w:tc>
          <w:tcPr>
            <w:tcW w:w="535" w:type="dxa"/>
            <w:shd w:val="clear" w:color="auto" w:fill="auto"/>
            <w:vAlign w:val="bottom"/>
          </w:tcPr>
          <w:p>
            <w:pPr>
              <w:rPr>
                <w:rFonts w:hint="default" w:ascii="Arial" w:hAnsi="Arial" w:cs="Arial"/>
                <w:i w:val="0"/>
                <w:color w:val="auto"/>
                <w:sz w:val="20"/>
                <w:szCs w:val="20"/>
                <w:u w:val="none"/>
              </w:rPr>
            </w:pPr>
          </w:p>
        </w:tc>
        <w:tc>
          <w:tcPr>
            <w:tcW w:w="535" w:type="dxa"/>
            <w:shd w:val="clear" w:color="auto" w:fill="auto"/>
            <w:vAlign w:val="bottom"/>
          </w:tcPr>
          <w:p>
            <w:pPr>
              <w:rPr>
                <w:rFonts w:hint="default" w:ascii="Arial" w:hAnsi="Arial" w:cs="Arial"/>
                <w:i w:val="0"/>
                <w:color w:val="auto"/>
                <w:sz w:val="20"/>
                <w:szCs w:val="20"/>
                <w:u w:val="none"/>
              </w:rPr>
            </w:pPr>
          </w:p>
        </w:tc>
        <w:tc>
          <w:tcPr>
            <w:tcW w:w="535" w:type="dxa"/>
            <w:shd w:val="clear" w:color="auto" w:fill="auto"/>
            <w:vAlign w:val="bottom"/>
          </w:tcPr>
          <w:p>
            <w:pPr>
              <w:rPr>
                <w:rFonts w:hint="default" w:ascii="Arial" w:hAnsi="Arial" w:cs="Arial"/>
                <w:i w:val="0"/>
                <w:color w:val="auto"/>
                <w:sz w:val="20"/>
                <w:szCs w:val="20"/>
                <w:u w:val="none"/>
              </w:rPr>
            </w:pPr>
          </w:p>
        </w:tc>
        <w:tc>
          <w:tcPr>
            <w:tcW w:w="52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98" w:hRule="atLeast"/>
        </w:trPr>
        <w:tc>
          <w:tcPr>
            <w:tcW w:w="7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单位编码</w:t>
            </w:r>
          </w:p>
        </w:tc>
        <w:tc>
          <w:tcPr>
            <w:tcW w:w="11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单位名称</w:t>
            </w:r>
          </w:p>
        </w:tc>
        <w:tc>
          <w:tcPr>
            <w:tcW w:w="16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因公出国（境）费用</w:t>
            </w:r>
          </w:p>
        </w:tc>
        <w:tc>
          <w:tcPr>
            <w:tcW w:w="15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公务接待费</w:t>
            </w:r>
          </w:p>
        </w:tc>
        <w:tc>
          <w:tcPr>
            <w:tcW w:w="374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公务用车购置及运行维护费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98" w:hRule="atLeast"/>
        </w:trPr>
        <w:tc>
          <w:tcPr>
            <w:tcW w:w="7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1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3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小计</w:t>
            </w:r>
          </w:p>
        </w:tc>
        <w:tc>
          <w:tcPr>
            <w:tcW w:w="5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财政拨款</w:t>
            </w:r>
          </w:p>
        </w:tc>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其他资金</w:t>
            </w:r>
          </w:p>
        </w:tc>
        <w:tc>
          <w:tcPr>
            <w:tcW w:w="4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小计</w:t>
            </w:r>
          </w:p>
        </w:tc>
        <w:tc>
          <w:tcPr>
            <w:tcW w:w="5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财政拨款</w:t>
            </w:r>
          </w:p>
        </w:tc>
        <w:tc>
          <w:tcPr>
            <w:tcW w:w="5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其他资金</w:t>
            </w:r>
          </w:p>
        </w:tc>
        <w:tc>
          <w:tcPr>
            <w:tcW w:w="5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合计</w:t>
            </w:r>
          </w:p>
        </w:tc>
        <w:tc>
          <w:tcPr>
            <w:tcW w:w="161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公务用车运行维护费</w:t>
            </w:r>
          </w:p>
        </w:tc>
        <w:tc>
          <w:tcPr>
            <w:tcW w:w="15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98" w:hRule="atLeast"/>
        </w:trPr>
        <w:tc>
          <w:tcPr>
            <w:tcW w:w="7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1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3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5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5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小计</w:t>
            </w: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财政拨款</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其他资金</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小计</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财政拨款</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其他资金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33"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w:t>
            </w: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w:t>
            </w: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11</w:t>
            </w: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12</w:t>
            </w: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13</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14</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15</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16</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98"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auto"/>
                <w:sz w:val="20"/>
                <w:szCs w:val="20"/>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合计</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auto"/>
                <w:sz w:val="20"/>
                <w:szCs w:val="20"/>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auto"/>
                <w:sz w:val="20"/>
                <w:szCs w:val="20"/>
                <w:u w:val="none"/>
              </w:rPr>
            </w:pP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auto"/>
                <w:sz w:val="20"/>
                <w:szCs w:val="20"/>
                <w:u w:val="none"/>
              </w:rPr>
            </w:pP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35.00</w:t>
            </w: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35.00</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auto"/>
                <w:sz w:val="20"/>
                <w:szCs w:val="20"/>
                <w:u w:val="none"/>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12.00</w:t>
            </w: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12.00</w:t>
            </w: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12.00</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auto"/>
                <w:sz w:val="20"/>
                <w:szCs w:val="20"/>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auto"/>
                <w:sz w:val="20"/>
                <w:szCs w:val="20"/>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auto"/>
                <w:sz w:val="20"/>
                <w:szCs w:val="20"/>
                <w:u w:val="none"/>
              </w:rPr>
            </w:pP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98"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917</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auto"/>
                <w:sz w:val="20"/>
                <w:szCs w:val="20"/>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auto"/>
                <w:sz w:val="20"/>
                <w:szCs w:val="20"/>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auto"/>
                <w:sz w:val="20"/>
                <w:szCs w:val="20"/>
                <w:u w:val="none"/>
              </w:rPr>
            </w:pP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auto"/>
                <w:sz w:val="20"/>
                <w:szCs w:val="20"/>
                <w:u w:val="none"/>
              </w:rPr>
            </w:pP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35.00</w:t>
            </w: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35.00</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auto"/>
                <w:sz w:val="20"/>
                <w:szCs w:val="20"/>
                <w:u w:val="none"/>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12.00</w:t>
            </w: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12.00</w:t>
            </w: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12.00</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auto"/>
                <w:sz w:val="20"/>
                <w:szCs w:val="20"/>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auto"/>
                <w:sz w:val="20"/>
                <w:szCs w:val="20"/>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auto"/>
                <w:sz w:val="20"/>
                <w:szCs w:val="20"/>
                <w:u w:val="none"/>
              </w:rPr>
            </w:pP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08"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　917001</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兴国县梅窖镇人民政府</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35.00</w:t>
            </w: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35.00</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12.00</w:t>
            </w: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12.00</w:t>
            </w: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12.00</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bl>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《政府性基金预算支出表》</w:t>
      </w:r>
    </w:p>
    <w:tbl>
      <w:tblPr>
        <w:tblStyle w:val="4"/>
        <w:tblW w:w="178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97"/>
        <w:gridCol w:w="650"/>
        <w:gridCol w:w="650"/>
        <w:gridCol w:w="836"/>
        <w:gridCol w:w="597"/>
        <w:gridCol w:w="650"/>
        <w:gridCol w:w="976"/>
        <w:gridCol w:w="976"/>
        <w:gridCol w:w="650"/>
        <w:gridCol w:w="650"/>
        <w:gridCol w:w="650"/>
        <w:gridCol w:w="650"/>
        <w:gridCol w:w="725"/>
        <w:gridCol w:w="575"/>
        <w:gridCol w:w="650"/>
        <w:gridCol w:w="650"/>
        <w:gridCol w:w="650"/>
        <w:gridCol w:w="650"/>
        <w:gridCol w:w="337"/>
        <w:gridCol w:w="707"/>
        <w:gridCol w:w="707"/>
        <w:gridCol w:w="707"/>
        <w:gridCol w:w="761"/>
        <w:gridCol w:w="707"/>
        <w:gridCol w:w="707"/>
        <w:gridCol w:w="8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97" w:type="dxa"/>
            <w:shd w:val="clear" w:color="auto" w:fill="auto"/>
            <w:vAlign w:val="bottom"/>
          </w:tcPr>
          <w:p>
            <w:pPr>
              <w:rPr>
                <w:rFonts w:hint="eastAsia" w:ascii="Arial" w:hAnsi="Arial" w:cs="Arial"/>
                <w:i w:val="0"/>
                <w:color w:val="auto"/>
                <w:sz w:val="20"/>
                <w:szCs w:val="20"/>
                <w:u w:val="none"/>
              </w:rPr>
            </w:pPr>
          </w:p>
        </w:tc>
        <w:tc>
          <w:tcPr>
            <w:tcW w:w="650" w:type="dxa"/>
            <w:shd w:val="clear" w:color="auto" w:fill="auto"/>
            <w:vAlign w:val="bottom"/>
          </w:tcPr>
          <w:p>
            <w:pPr>
              <w:rPr>
                <w:rFonts w:hint="default" w:ascii="Arial" w:hAnsi="Arial" w:cs="Arial"/>
                <w:i w:val="0"/>
                <w:color w:val="auto"/>
                <w:sz w:val="20"/>
                <w:szCs w:val="20"/>
                <w:u w:val="none"/>
              </w:rPr>
            </w:pPr>
          </w:p>
        </w:tc>
        <w:tc>
          <w:tcPr>
            <w:tcW w:w="650" w:type="dxa"/>
            <w:shd w:val="clear" w:color="auto" w:fill="auto"/>
            <w:vAlign w:val="bottom"/>
          </w:tcPr>
          <w:p>
            <w:pPr>
              <w:rPr>
                <w:rFonts w:hint="default" w:ascii="Arial" w:hAnsi="Arial" w:cs="Arial"/>
                <w:i w:val="0"/>
                <w:color w:val="auto"/>
                <w:sz w:val="20"/>
                <w:szCs w:val="20"/>
                <w:u w:val="none"/>
              </w:rPr>
            </w:pPr>
          </w:p>
        </w:tc>
        <w:tc>
          <w:tcPr>
            <w:tcW w:w="836" w:type="dxa"/>
            <w:shd w:val="clear" w:color="auto" w:fill="auto"/>
            <w:vAlign w:val="bottom"/>
          </w:tcPr>
          <w:p>
            <w:pPr>
              <w:rPr>
                <w:rFonts w:hint="default" w:ascii="Arial" w:hAnsi="Arial" w:cs="Arial"/>
                <w:i w:val="0"/>
                <w:color w:val="auto"/>
                <w:sz w:val="20"/>
                <w:szCs w:val="20"/>
                <w:u w:val="none"/>
              </w:rPr>
            </w:pPr>
          </w:p>
        </w:tc>
        <w:tc>
          <w:tcPr>
            <w:tcW w:w="597" w:type="dxa"/>
            <w:shd w:val="clear" w:color="auto" w:fill="auto"/>
            <w:vAlign w:val="bottom"/>
          </w:tcPr>
          <w:p>
            <w:pPr>
              <w:rPr>
                <w:rFonts w:hint="default" w:ascii="Arial" w:hAnsi="Arial" w:cs="Arial"/>
                <w:i w:val="0"/>
                <w:color w:val="auto"/>
                <w:sz w:val="20"/>
                <w:szCs w:val="20"/>
                <w:u w:val="none"/>
              </w:rPr>
            </w:pPr>
          </w:p>
        </w:tc>
        <w:tc>
          <w:tcPr>
            <w:tcW w:w="650" w:type="dxa"/>
            <w:shd w:val="clear" w:color="auto" w:fill="auto"/>
            <w:vAlign w:val="bottom"/>
          </w:tcPr>
          <w:p>
            <w:pPr>
              <w:rPr>
                <w:rFonts w:hint="default" w:ascii="Arial" w:hAnsi="Arial" w:cs="Arial"/>
                <w:i w:val="0"/>
                <w:color w:val="auto"/>
                <w:sz w:val="20"/>
                <w:szCs w:val="20"/>
                <w:u w:val="none"/>
              </w:rPr>
            </w:pPr>
          </w:p>
        </w:tc>
        <w:tc>
          <w:tcPr>
            <w:tcW w:w="976" w:type="dxa"/>
            <w:shd w:val="clear" w:color="auto" w:fill="auto"/>
            <w:vAlign w:val="bottom"/>
          </w:tcPr>
          <w:p>
            <w:pPr>
              <w:rPr>
                <w:rFonts w:hint="default" w:ascii="Arial" w:hAnsi="Arial" w:cs="Arial"/>
                <w:i w:val="0"/>
                <w:color w:val="auto"/>
                <w:sz w:val="20"/>
                <w:szCs w:val="20"/>
                <w:u w:val="none"/>
              </w:rPr>
            </w:pPr>
          </w:p>
        </w:tc>
        <w:tc>
          <w:tcPr>
            <w:tcW w:w="976" w:type="dxa"/>
            <w:shd w:val="clear" w:color="auto" w:fill="auto"/>
            <w:vAlign w:val="bottom"/>
          </w:tcPr>
          <w:p>
            <w:pPr>
              <w:rPr>
                <w:rFonts w:hint="default" w:ascii="Arial" w:hAnsi="Arial" w:cs="Arial"/>
                <w:i w:val="0"/>
                <w:color w:val="auto"/>
                <w:sz w:val="20"/>
                <w:szCs w:val="20"/>
                <w:u w:val="none"/>
              </w:rPr>
            </w:pPr>
          </w:p>
        </w:tc>
        <w:tc>
          <w:tcPr>
            <w:tcW w:w="650" w:type="dxa"/>
            <w:shd w:val="clear" w:color="auto" w:fill="auto"/>
            <w:vAlign w:val="bottom"/>
          </w:tcPr>
          <w:p>
            <w:pPr>
              <w:rPr>
                <w:rFonts w:hint="default" w:ascii="Arial" w:hAnsi="Arial" w:cs="Arial"/>
                <w:i w:val="0"/>
                <w:color w:val="auto"/>
                <w:sz w:val="20"/>
                <w:szCs w:val="20"/>
                <w:u w:val="none"/>
              </w:rPr>
            </w:pPr>
          </w:p>
        </w:tc>
        <w:tc>
          <w:tcPr>
            <w:tcW w:w="650" w:type="dxa"/>
            <w:shd w:val="clear" w:color="auto" w:fill="auto"/>
            <w:vAlign w:val="bottom"/>
          </w:tcPr>
          <w:p>
            <w:pPr>
              <w:rPr>
                <w:rFonts w:hint="default" w:ascii="Arial" w:hAnsi="Arial" w:cs="Arial"/>
                <w:i w:val="0"/>
                <w:color w:val="auto"/>
                <w:sz w:val="20"/>
                <w:szCs w:val="20"/>
                <w:u w:val="none"/>
              </w:rPr>
            </w:pPr>
          </w:p>
        </w:tc>
        <w:tc>
          <w:tcPr>
            <w:tcW w:w="650" w:type="dxa"/>
            <w:shd w:val="clear" w:color="auto" w:fill="auto"/>
            <w:vAlign w:val="bottom"/>
          </w:tcPr>
          <w:p>
            <w:pPr>
              <w:rPr>
                <w:rFonts w:hint="default" w:ascii="Arial" w:hAnsi="Arial" w:cs="Arial"/>
                <w:i w:val="0"/>
                <w:color w:val="auto"/>
                <w:sz w:val="20"/>
                <w:szCs w:val="20"/>
                <w:u w:val="none"/>
              </w:rPr>
            </w:pPr>
          </w:p>
        </w:tc>
        <w:tc>
          <w:tcPr>
            <w:tcW w:w="650" w:type="dxa"/>
            <w:shd w:val="clear" w:color="auto" w:fill="auto"/>
            <w:vAlign w:val="bottom"/>
          </w:tcPr>
          <w:p>
            <w:pPr>
              <w:rPr>
                <w:rFonts w:hint="default" w:ascii="Arial" w:hAnsi="Arial" w:cs="Arial"/>
                <w:i w:val="0"/>
                <w:color w:val="auto"/>
                <w:sz w:val="20"/>
                <w:szCs w:val="20"/>
                <w:u w:val="none"/>
              </w:rPr>
            </w:pPr>
          </w:p>
        </w:tc>
        <w:tc>
          <w:tcPr>
            <w:tcW w:w="725" w:type="dxa"/>
            <w:shd w:val="clear" w:color="auto" w:fill="auto"/>
            <w:vAlign w:val="bottom"/>
          </w:tcPr>
          <w:p>
            <w:pPr>
              <w:rPr>
                <w:rFonts w:hint="default" w:ascii="Arial" w:hAnsi="Arial" w:cs="Arial"/>
                <w:i w:val="0"/>
                <w:color w:val="auto"/>
                <w:sz w:val="20"/>
                <w:szCs w:val="20"/>
                <w:u w:val="none"/>
              </w:rPr>
            </w:pPr>
          </w:p>
        </w:tc>
        <w:tc>
          <w:tcPr>
            <w:tcW w:w="575" w:type="dxa"/>
            <w:shd w:val="clear" w:color="auto" w:fill="auto"/>
            <w:vAlign w:val="bottom"/>
          </w:tcPr>
          <w:p>
            <w:pPr>
              <w:rPr>
                <w:rFonts w:hint="default" w:ascii="Arial" w:hAnsi="Arial" w:cs="Arial"/>
                <w:i w:val="0"/>
                <w:color w:val="auto"/>
                <w:sz w:val="20"/>
                <w:szCs w:val="20"/>
                <w:u w:val="none"/>
              </w:rPr>
            </w:pPr>
          </w:p>
        </w:tc>
        <w:tc>
          <w:tcPr>
            <w:tcW w:w="650" w:type="dxa"/>
            <w:shd w:val="clear" w:color="auto" w:fill="auto"/>
            <w:vAlign w:val="bottom"/>
          </w:tcPr>
          <w:p>
            <w:pPr>
              <w:rPr>
                <w:rFonts w:hint="default" w:ascii="Arial" w:hAnsi="Arial" w:cs="Arial"/>
                <w:i w:val="0"/>
                <w:color w:val="auto"/>
                <w:sz w:val="20"/>
                <w:szCs w:val="20"/>
                <w:u w:val="none"/>
              </w:rPr>
            </w:pPr>
          </w:p>
        </w:tc>
        <w:tc>
          <w:tcPr>
            <w:tcW w:w="650" w:type="dxa"/>
            <w:shd w:val="clear" w:color="auto" w:fill="auto"/>
            <w:vAlign w:val="bottom"/>
          </w:tcPr>
          <w:p>
            <w:pPr>
              <w:rPr>
                <w:rFonts w:hint="default" w:ascii="Arial" w:hAnsi="Arial" w:cs="Arial"/>
                <w:i w:val="0"/>
                <w:color w:val="auto"/>
                <w:sz w:val="20"/>
                <w:szCs w:val="20"/>
                <w:u w:val="none"/>
              </w:rPr>
            </w:pPr>
          </w:p>
        </w:tc>
        <w:tc>
          <w:tcPr>
            <w:tcW w:w="650" w:type="dxa"/>
            <w:shd w:val="clear" w:color="auto" w:fill="auto"/>
            <w:vAlign w:val="bottom"/>
          </w:tcPr>
          <w:p>
            <w:pPr>
              <w:rPr>
                <w:rFonts w:hint="default" w:ascii="Arial" w:hAnsi="Arial" w:cs="Arial"/>
                <w:i w:val="0"/>
                <w:color w:val="auto"/>
                <w:sz w:val="20"/>
                <w:szCs w:val="20"/>
                <w:u w:val="none"/>
              </w:rPr>
            </w:pPr>
          </w:p>
        </w:tc>
        <w:tc>
          <w:tcPr>
            <w:tcW w:w="6098" w:type="dxa"/>
            <w:gridSpan w:val="9"/>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预算08表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5" w:hRule="atLeast"/>
        </w:trPr>
        <w:tc>
          <w:tcPr>
            <w:tcW w:w="12769" w:type="dxa"/>
            <w:gridSpan w:val="19"/>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u w:val="none"/>
              </w:rPr>
            </w:pPr>
            <w:r>
              <w:rPr>
                <w:rFonts w:hint="eastAsia" w:ascii="宋体" w:hAnsi="宋体" w:eastAsia="宋体" w:cs="宋体"/>
                <w:b/>
                <w:i w:val="0"/>
                <w:color w:val="auto"/>
                <w:kern w:val="0"/>
                <w:sz w:val="40"/>
                <w:szCs w:val="40"/>
                <w:u w:val="none"/>
                <w:lang w:val="en-US" w:eastAsia="zh-CN" w:bidi="ar"/>
              </w:rPr>
              <w:t>政府性基金收支预算表</w:t>
            </w:r>
          </w:p>
        </w:tc>
        <w:tc>
          <w:tcPr>
            <w:tcW w:w="5111" w:type="dxa"/>
            <w:gridSpan w:val="7"/>
            <w:shd w:val="clear" w:color="auto" w:fill="auto"/>
            <w:vAlign w:val="center"/>
          </w:tcPr>
          <w:p>
            <w:pPr>
              <w:keepNext w:val="0"/>
              <w:keepLines w:val="0"/>
              <w:widowControl/>
              <w:suppressLineNumbers w:val="0"/>
              <w:jc w:val="center"/>
              <w:textAlignment w:val="center"/>
              <w:rPr>
                <w:color w:val="auto"/>
              </w:rPr>
            </w:pPr>
            <w:r>
              <w:rPr>
                <w:rFonts w:hint="eastAsia" w:ascii="宋体" w:hAnsi="宋体" w:eastAsia="宋体" w:cs="宋体"/>
                <w:b/>
                <w:i w:val="0"/>
                <w:color w:val="auto"/>
                <w:kern w:val="0"/>
                <w:sz w:val="40"/>
                <w:szCs w:val="40"/>
                <w:u w:val="none"/>
                <w:lang w:val="en-US" w:eastAsia="zh-CN" w:bidi="ar"/>
              </w:rPr>
              <w:t>政府性基金收支预算表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5932" w:type="dxa"/>
            <w:gridSpan w:val="8"/>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[917]兴国县梅窖镇 , [917001]兴国县梅窖镇人民政府</w:t>
            </w:r>
          </w:p>
        </w:tc>
        <w:tc>
          <w:tcPr>
            <w:tcW w:w="650" w:type="dxa"/>
            <w:shd w:val="clear" w:color="auto" w:fill="auto"/>
            <w:vAlign w:val="bottom"/>
          </w:tcPr>
          <w:p>
            <w:pPr>
              <w:rPr>
                <w:rFonts w:hint="default" w:ascii="Arial" w:hAnsi="Arial" w:cs="Arial"/>
                <w:i w:val="0"/>
                <w:color w:val="auto"/>
                <w:sz w:val="20"/>
                <w:szCs w:val="20"/>
                <w:u w:val="none"/>
              </w:rPr>
            </w:pPr>
          </w:p>
        </w:tc>
        <w:tc>
          <w:tcPr>
            <w:tcW w:w="650" w:type="dxa"/>
            <w:shd w:val="clear" w:color="auto" w:fill="auto"/>
            <w:vAlign w:val="bottom"/>
          </w:tcPr>
          <w:p>
            <w:pPr>
              <w:rPr>
                <w:rFonts w:hint="default" w:ascii="Arial" w:hAnsi="Arial" w:cs="Arial"/>
                <w:i w:val="0"/>
                <w:color w:val="auto"/>
                <w:sz w:val="20"/>
                <w:szCs w:val="20"/>
                <w:u w:val="none"/>
              </w:rPr>
            </w:pPr>
          </w:p>
        </w:tc>
        <w:tc>
          <w:tcPr>
            <w:tcW w:w="650" w:type="dxa"/>
            <w:shd w:val="clear" w:color="auto" w:fill="auto"/>
            <w:vAlign w:val="bottom"/>
          </w:tcPr>
          <w:p>
            <w:pPr>
              <w:rPr>
                <w:rFonts w:hint="default" w:ascii="Arial" w:hAnsi="Arial" w:cs="Arial"/>
                <w:i w:val="0"/>
                <w:color w:val="auto"/>
                <w:sz w:val="20"/>
                <w:szCs w:val="20"/>
                <w:u w:val="none"/>
              </w:rPr>
            </w:pPr>
          </w:p>
        </w:tc>
        <w:tc>
          <w:tcPr>
            <w:tcW w:w="650" w:type="dxa"/>
            <w:shd w:val="clear" w:color="auto" w:fill="auto"/>
            <w:vAlign w:val="bottom"/>
          </w:tcPr>
          <w:p>
            <w:pPr>
              <w:rPr>
                <w:rFonts w:hint="default" w:ascii="Arial" w:hAnsi="Arial" w:cs="Arial"/>
                <w:i w:val="0"/>
                <w:color w:val="auto"/>
                <w:sz w:val="20"/>
                <w:szCs w:val="20"/>
                <w:u w:val="none"/>
              </w:rPr>
            </w:pPr>
          </w:p>
        </w:tc>
        <w:tc>
          <w:tcPr>
            <w:tcW w:w="725" w:type="dxa"/>
            <w:shd w:val="clear" w:color="auto" w:fill="auto"/>
            <w:vAlign w:val="bottom"/>
          </w:tcPr>
          <w:p>
            <w:pPr>
              <w:rPr>
                <w:rFonts w:hint="default" w:ascii="Arial" w:hAnsi="Arial" w:cs="Arial"/>
                <w:i w:val="0"/>
                <w:color w:val="auto"/>
                <w:sz w:val="20"/>
                <w:szCs w:val="20"/>
                <w:u w:val="none"/>
              </w:rPr>
            </w:pPr>
          </w:p>
        </w:tc>
        <w:tc>
          <w:tcPr>
            <w:tcW w:w="575" w:type="dxa"/>
            <w:shd w:val="clear" w:color="auto" w:fill="auto"/>
            <w:vAlign w:val="bottom"/>
          </w:tcPr>
          <w:p>
            <w:pPr>
              <w:rPr>
                <w:rFonts w:hint="default" w:ascii="Arial" w:hAnsi="Arial" w:cs="Arial"/>
                <w:i w:val="0"/>
                <w:color w:val="auto"/>
                <w:sz w:val="20"/>
                <w:szCs w:val="20"/>
                <w:u w:val="none"/>
              </w:rPr>
            </w:pPr>
          </w:p>
        </w:tc>
        <w:tc>
          <w:tcPr>
            <w:tcW w:w="650" w:type="dxa"/>
            <w:shd w:val="clear" w:color="auto" w:fill="auto"/>
            <w:vAlign w:val="bottom"/>
          </w:tcPr>
          <w:p>
            <w:pPr>
              <w:rPr>
                <w:rFonts w:hint="default" w:ascii="Arial" w:hAnsi="Arial" w:cs="Arial"/>
                <w:i w:val="0"/>
                <w:color w:val="auto"/>
                <w:sz w:val="20"/>
                <w:szCs w:val="20"/>
                <w:u w:val="none"/>
              </w:rPr>
            </w:pPr>
          </w:p>
        </w:tc>
        <w:tc>
          <w:tcPr>
            <w:tcW w:w="650" w:type="dxa"/>
            <w:shd w:val="clear" w:color="auto" w:fill="auto"/>
            <w:vAlign w:val="bottom"/>
          </w:tcPr>
          <w:p>
            <w:pPr>
              <w:rPr>
                <w:rFonts w:hint="default" w:ascii="Arial" w:hAnsi="Arial" w:cs="Arial"/>
                <w:i w:val="0"/>
                <w:color w:val="auto"/>
                <w:sz w:val="20"/>
                <w:szCs w:val="20"/>
                <w:u w:val="none"/>
              </w:rPr>
            </w:pPr>
          </w:p>
        </w:tc>
        <w:tc>
          <w:tcPr>
            <w:tcW w:w="650" w:type="dxa"/>
            <w:shd w:val="clear" w:color="auto" w:fill="auto"/>
            <w:vAlign w:val="bottom"/>
          </w:tcPr>
          <w:p>
            <w:pPr>
              <w:rPr>
                <w:rFonts w:hint="default" w:ascii="Arial" w:hAnsi="Arial" w:cs="Arial"/>
                <w:i w:val="0"/>
                <w:color w:val="auto"/>
                <w:sz w:val="20"/>
                <w:szCs w:val="20"/>
                <w:u w:val="none"/>
              </w:rPr>
            </w:pPr>
          </w:p>
        </w:tc>
        <w:tc>
          <w:tcPr>
            <w:tcW w:w="6098" w:type="dxa"/>
            <w:gridSpan w:val="9"/>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189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科目编码</w:t>
            </w:r>
          </w:p>
        </w:tc>
        <w:tc>
          <w:tcPr>
            <w:tcW w:w="8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单位名称(科目)</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收入</w:t>
            </w:r>
          </w:p>
        </w:tc>
        <w:tc>
          <w:tcPr>
            <w:tcW w:w="943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支                出</w:t>
            </w:r>
          </w:p>
        </w:tc>
        <w:tc>
          <w:tcPr>
            <w:tcW w:w="21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color w:val="auto"/>
              </w:rPr>
            </w:pPr>
            <w:r>
              <w:rPr>
                <w:rFonts w:hint="eastAsia" w:ascii="宋体" w:hAnsi="宋体" w:eastAsia="宋体" w:cs="宋体"/>
                <w:i w:val="0"/>
                <w:color w:val="auto"/>
                <w:kern w:val="0"/>
                <w:sz w:val="24"/>
                <w:szCs w:val="24"/>
                <w:u w:val="none"/>
                <w:lang w:val="en-US" w:eastAsia="zh-CN" w:bidi="ar"/>
              </w:rPr>
              <w:t>科目编码</w:t>
            </w:r>
          </w:p>
        </w:tc>
        <w:tc>
          <w:tcPr>
            <w:tcW w:w="7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color w:val="auto"/>
              </w:rPr>
            </w:pPr>
            <w:r>
              <w:rPr>
                <w:rFonts w:hint="eastAsia" w:ascii="宋体" w:hAnsi="宋体" w:eastAsia="宋体" w:cs="宋体"/>
                <w:i w:val="0"/>
                <w:color w:val="auto"/>
                <w:kern w:val="0"/>
                <w:sz w:val="24"/>
                <w:szCs w:val="24"/>
                <w:u w:val="none"/>
                <w:lang w:val="en-US" w:eastAsia="zh-CN" w:bidi="ar"/>
              </w:rPr>
              <w:t>单位名称(科目)</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color w:val="auto"/>
              </w:rPr>
            </w:pPr>
            <w:r>
              <w:rPr>
                <w:rFonts w:hint="eastAsia" w:ascii="宋体" w:hAnsi="宋体" w:eastAsia="宋体" w:cs="宋体"/>
                <w:i w:val="0"/>
                <w:color w:val="auto"/>
                <w:kern w:val="0"/>
                <w:sz w:val="24"/>
                <w:szCs w:val="24"/>
                <w:u w:val="none"/>
                <w:lang w:val="en-US" w:eastAsia="zh-CN" w:bidi="ar"/>
              </w:rPr>
              <w:t>收入</w:t>
            </w:r>
          </w:p>
        </w:tc>
        <w:tc>
          <w:tcPr>
            <w:tcW w:w="15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color w:val="auto"/>
              </w:rPr>
            </w:pPr>
            <w:r>
              <w:rPr>
                <w:rFonts w:hint="eastAsia" w:ascii="宋体" w:hAnsi="宋体" w:eastAsia="宋体" w:cs="宋体"/>
                <w:i w:val="0"/>
                <w:color w:val="auto"/>
                <w:kern w:val="0"/>
                <w:sz w:val="24"/>
                <w:szCs w:val="24"/>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类</w:t>
            </w:r>
          </w:p>
        </w:tc>
        <w:tc>
          <w:tcPr>
            <w:tcW w:w="6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款</w:t>
            </w:r>
          </w:p>
        </w:tc>
        <w:tc>
          <w:tcPr>
            <w:tcW w:w="6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项</w:t>
            </w:r>
          </w:p>
        </w:tc>
        <w:tc>
          <w:tcPr>
            <w:tcW w:w="8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5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本年收入</w:t>
            </w:r>
          </w:p>
        </w:tc>
        <w:tc>
          <w:tcPr>
            <w:tcW w:w="6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合计</w:t>
            </w:r>
          </w:p>
        </w:tc>
        <w:tc>
          <w:tcPr>
            <w:tcW w:w="390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基本支出</w:t>
            </w:r>
          </w:p>
        </w:tc>
        <w:tc>
          <w:tcPr>
            <w:tcW w:w="488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项目支出</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color w:val="auto"/>
              </w:rPr>
            </w:pPr>
            <w:r>
              <w:rPr>
                <w:rFonts w:hint="eastAsia" w:ascii="宋体" w:hAnsi="宋体" w:eastAsia="宋体" w:cs="宋体"/>
                <w:i w:val="0"/>
                <w:color w:val="auto"/>
                <w:kern w:val="0"/>
                <w:sz w:val="24"/>
                <w:szCs w:val="24"/>
                <w:u w:val="none"/>
                <w:lang w:val="en-US" w:eastAsia="zh-CN" w:bidi="ar"/>
              </w:rPr>
              <w:t>类</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color w:val="auto"/>
              </w:rPr>
            </w:pPr>
            <w:r>
              <w:rPr>
                <w:rFonts w:hint="eastAsia" w:ascii="宋体" w:hAnsi="宋体" w:eastAsia="宋体" w:cs="宋体"/>
                <w:i w:val="0"/>
                <w:color w:val="auto"/>
                <w:kern w:val="0"/>
                <w:sz w:val="24"/>
                <w:szCs w:val="24"/>
                <w:u w:val="none"/>
                <w:lang w:val="en-US" w:eastAsia="zh-CN" w:bidi="ar"/>
              </w:rPr>
              <w:t>款</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color w:val="auto"/>
              </w:rPr>
            </w:pPr>
            <w:r>
              <w:rPr>
                <w:rFonts w:hint="eastAsia" w:ascii="宋体" w:hAnsi="宋体" w:eastAsia="宋体" w:cs="宋体"/>
                <w:i w:val="0"/>
                <w:color w:val="auto"/>
                <w:kern w:val="0"/>
                <w:sz w:val="24"/>
                <w:szCs w:val="24"/>
                <w:u w:val="none"/>
                <w:lang w:val="en-US" w:eastAsia="zh-CN" w:bidi="ar"/>
              </w:rPr>
              <w:t>项</w:t>
            </w:r>
          </w:p>
        </w:tc>
        <w:tc>
          <w:tcPr>
            <w:tcW w:w="7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color w:val="auto"/>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color w:val="auto"/>
              </w:rPr>
            </w:pPr>
            <w:r>
              <w:rPr>
                <w:rFonts w:hint="eastAsia" w:ascii="宋体" w:hAnsi="宋体" w:eastAsia="宋体" w:cs="宋体"/>
                <w:i w:val="0"/>
                <w:color w:val="auto"/>
                <w:kern w:val="0"/>
                <w:sz w:val="24"/>
                <w:szCs w:val="24"/>
                <w:u w:val="none"/>
                <w:lang w:val="en-US" w:eastAsia="zh-CN" w:bidi="ar"/>
              </w:rPr>
              <w:t>本年收入</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color w:val="auto"/>
              </w:rPr>
            </w:pPr>
            <w:r>
              <w:rPr>
                <w:rFonts w:hint="eastAsia" w:ascii="宋体" w:hAnsi="宋体" w:eastAsia="宋体" w:cs="宋体"/>
                <w:i w:val="0"/>
                <w:color w:val="auto"/>
                <w:kern w:val="0"/>
                <w:sz w:val="24"/>
                <w:szCs w:val="24"/>
                <w:u w:val="none"/>
                <w:lang w:val="en-US" w:eastAsia="zh-CN" w:bidi="ar"/>
              </w:rPr>
              <w:t>合计</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color w:val="auto"/>
              </w:rPr>
            </w:pPr>
            <w:r>
              <w:rPr>
                <w:rFonts w:hint="eastAsia" w:ascii="宋体" w:hAnsi="宋体" w:eastAsia="宋体" w:cs="宋体"/>
                <w:i w:val="0"/>
                <w:color w:val="auto"/>
                <w:kern w:val="0"/>
                <w:sz w:val="24"/>
                <w:szCs w:val="24"/>
                <w:u w:val="none"/>
                <w:lang w:val="en-US" w:eastAsia="zh-CN" w:bidi="ar"/>
              </w:rPr>
              <w:t>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336" w:hRule="atLeast"/>
        </w:trPr>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8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小计</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工资福利支出</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商品和服务支出</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对个人和家庭的补助</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资本性支出</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小计</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工资福利支出</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商品和服务支出</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对个人和家庭的补助</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对企业补助</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债务利息及费用支出</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资本性支出</w:t>
            </w:r>
          </w:p>
        </w:tc>
        <w:tc>
          <w:tcPr>
            <w:tcW w:w="544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其他支出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7</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8</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9</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11</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13</w:t>
            </w:r>
          </w:p>
        </w:tc>
        <w:tc>
          <w:tcPr>
            <w:tcW w:w="544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alibri" w:hAnsi="Calibri" w:cs="Calibri"/>
                <w:i w:val="0"/>
                <w:color w:val="auto"/>
                <w:sz w:val="22"/>
                <w:szCs w:val="22"/>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2"/>
                <w:szCs w:val="22"/>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2"/>
                <w:szCs w:val="22"/>
                <w:u w:val="none"/>
              </w:rPr>
            </w:pP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2"/>
                <w:szCs w:val="22"/>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2"/>
                <w:szCs w:val="22"/>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2"/>
                <w:szCs w:val="22"/>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2"/>
                <w:szCs w:val="22"/>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2"/>
                <w:szCs w:val="22"/>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2"/>
                <w:szCs w:val="22"/>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2"/>
                <w:szCs w:val="22"/>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2"/>
                <w:szCs w:val="22"/>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2"/>
                <w:szCs w:val="22"/>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2"/>
                <w:szCs w:val="22"/>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2"/>
                <w:szCs w:val="22"/>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2"/>
                <w:szCs w:val="22"/>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2"/>
                <w:szCs w:val="22"/>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2"/>
                <w:szCs w:val="22"/>
                <w:u w:val="none"/>
              </w:rPr>
            </w:pPr>
          </w:p>
        </w:tc>
        <w:tc>
          <w:tcPr>
            <w:tcW w:w="544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cs="Calibri"/>
                <w:i w:val="0"/>
                <w:color w:val="auto"/>
                <w:sz w:val="22"/>
                <w:szCs w:val="22"/>
                <w:u w:val="none"/>
              </w:rPr>
            </w:pPr>
          </w:p>
        </w:tc>
      </w:tr>
    </w:tbl>
    <w:p>
      <w:pPr>
        <w:pStyle w:val="2"/>
        <w:rPr>
          <w:rFonts w:hint="eastAsia"/>
          <w:color w:val="auto"/>
        </w:rPr>
      </w:pPr>
    </w:p>
    <w:p>
      <w:pPr>
        <w:pStyle w:val="2"/>
        <w:rPr>
          <w:rFonts w:hint="eastAsia"/>
          <w:color w:val="auto"/>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《部门整体支出绩效目标表》</w:t>
      </w:r>
    </w:p>
    <w:tbl>
      <w:tblPr>
        <w:tblStyle w:val="4"/>
        <w:tblW w:w="7520" w:type="dxa"/>
        <w:tblInd w:w="0" w:type="dxa"/>
        <w:shd w:val="clear" w:color="auto" w:fill="auto"/>
        <w:tblLayout w:type="fixed"/>
        <w:tblCellMar>
          <w:top w:w="0" w:type="dxa"/>
          <w:left w:w="0" w:type="dxa"/>
          <w:bottom w:w="0" w:type="dxa"/>
          <w:right w:w="0" w:type="dxa"/>
        </w:tblCellMar>
      </w:tblPr>
      <w:tblGrid>
        <w:gridCol w:w="1120"/>
        <w:gridCol w:w="520"/>
        <w:gridCol w:w="980"/>
        <w:gridCol w:w="700"/>
        <w:gridCol w:w="700"/>
        <w:gridCol w:w="1660"/>
        <w:gridCol w:w="1840"/>
      </w:tblGrid>
      <w:tr>
        <w:tblPrEx>
          <w:shd w:val="clear" w:color="auto" w:fill="auto"/>
          <w:tblCellMar>
            <w:top w:w="0" w:type="dxa"/>
            <w:left w:w="0" w:type="dxa"/>
            <w:bottom w:w="0" w:type="dxa"/>
            <w:right w:w="0" w:type="dxa"/>
          </w:tblCellMar>
        </w:tblPrEx>
        <w:trPr>
          <w:trHeight w:val="799" w:hRule="atLeast"/>
        </w:trPr>
        <w:tc>
          <w:tcPr>
            <w:tcW w:w="7520" w:type="dxa"/>
            <w:gridSpan w:val="7"/>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auto"/>
                <w:sz w:val="36"/>
                <w:szCs w:val="36"/>
                <w:u w:val="none"/>
              </w:rPr>
            </w:pPr>
            <w:r>
              <w:rPr>
                <w:rFonts w:hint="default" w:ascii="方正小标宋简体" w:hAnsi="方正小标宋简体" w:eastAsia="方正小标宋简体" w:cs="方正小标宋简体"/>
                <w:i w:val="0"/>
                <w:color w:val="auto"/>
                <w:kern w:val="0"/>
                <w:sz w:val="36"/>
                <w:szCs w:val="36"/>
                <w:u w:val="none"/>
                <w:lang w:val="en-US" w:eastAsia="zh-CN" w:bidi="ar"/>
              </w:rPr>
              <w:t>部门整体支出绩效目标表</w:t>
            </w:r>
          </w:p>
        </w:tc>
      </w:tr>
      <w:tr>
        <w:tblPrEx>
          <w:shd w:val="clear" w:color="auto" w:fill="auto"/>
          <w:tblCellMar>
            <w:top w:w="0" w:type="dxa"/>
            <w:left w:w="0" w:type="dxa"/>
            <w:bottom w:w="0" w:type="dxa"/>
            <w:right w:w="0" w:type="dxa"/>
          </w:tblCellMar>
        </w:tblPrEx>
        <w:trPr>
          <w:trHeight w:val="499" w:hRule="atLeast"/>
        </w:trPr>
        <w:tc>
          <w:tcPr>
            <w:tcW w:w="7520" w:type="dxa"/>
            <w:gridSpan w:val="7"/>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auto"/>
                <w:sz w:val="28"/>
                <w:szCs w:val="28"/>
                <w:u w:val="none"/>
              </w:rPr>
            </w:pPr>
            <w:r>
              <w:rPr>
                <w:rFonts w:hint="default" w:ascii="方正小标宋简体" w:hAnsi="方正小标宋简体" w:eastAsia="方正小标宋简体" w:cs="方正小标宋简体"/>
                <w:i w:val="0"/>
                <w:color w:val="auto"/>
                <w:kern w:val="0"/>
                <w:sz w:val="28"/>
                <w:szCs w:val="28"/>
                <w:u w:val="none"/>
                <w:lang w:val="en-US" w:eastAsia="zh-CN" w:bidi="ar"/>
              </w:rPr>
              <w:t>（ 2023 年度）</w:t>
            </w:r>
          </w:p>
        </w:tc>
      </w:tr>
      <w:tr>
        <w:tblPrEx>
          <w:shd w:val="clear" w:color="auto" w:fill="auto"/>
          <w:tblCellMar>
            <w:top w:w="0" w:type="dxa"/>
            <w:left w:w="0" w:type="dxa"/>
            <w:bottom w:w="0" w:type="dxa"/>
            <w:right w:w="0" w:type="dxa"/>
          </w:tblCellMar>
        </w:tblPrEx>
        <w:trPr>
          <w:trHeight w:val="600" w:hRule="atLeast"/>
        </w:trPr>
        <w:tc>
          <w:tcPr>
            <w:tcW w:w="1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部门名称</w:t>
            </w:r>
          </w:p>
        </w:tc>
        <w:tc>
          <w:tcPr>
            <w:tcW w:w="6400" w:type="dxa"/>
            <w:gridSpan w:val="6"/>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兴国县梅窖镇</w:t>
            </w:r>
          </w:p>
        </w:tc>
      </w:tr>
      <w:tr>
        <w:tblPrEx>
          <w:shd w:val="clear" w:color="auto" w:fill="auto"/>
          <w:tblCellMar>
            <w:top w:w="0" w:type="dxa"/>
            <w:left w:w="0" w:type="dxa"/>
            <w:bottom w:w="0" w:type="dxa"/>
            <w:right w:w="0" w:type="dxa"/>
          </w:tblCellMar>
        </w:tblPrEx>
        <w:trPr>
          <w:trHeight w:val="600" w:hRule="atLeast"/>
        </w:trPr>
        <w:tc>
          <w:tcPr>
            <w:tcW w:w="7520"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i w:val="0"/>
                <w:color w:val="auto"/>
                <w:kern w:val="0"/>
                <w:sz w:val="21"/>
                <w:szCs w:val="21"/>
                <w:u w:val="none"/>
                <w:lang w:val="en-US" w:eastAsia="zh-CN" w:bidi="ar"/>
              </w:rPr>
              <w:t>当年预算情况（万元）</w:t>
            </w:r>
          </w:p>
        </w:tc>
      </w:tr>
      <w:tr>
        <w:tblPrEx>
          <w:tblCellMar>
            <w:top w:w="0" w:type="dxa"/>
            <w:left w:w="0" w:type="dxa"/>
            <w:bottom w:w="0" w:type="dxa"/>
            <w:right w:w="0" w:type="dxa"/>
          </w:tblCellMar>
        </w:tblPrEx>
        <w:trPr>
          <w:trHeight w:val="462" w:hRule="atLeast"/>
        </w:trPr>
        <w:tc>
          <w:tcPr>
            <w:tcW w:w="26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收入预算合计</w:t>
            </w:r>
          </w:p>
        </w:tc>
        <w:tc>
          <w:tcPr>
            <w:tcW w:w="4900" w:type="dxa"/>
            <w:gridSpan w:val="4"/>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1,865.31</w:t>
            </w:r>
          </w:p>
        </w:tc>
      </w:tr>
      <w:tr>
        <w:tblPrEx>
          <w:tblCellMar>
            <w:top w:w="0" w:type="dxa"/>
            <w:left w:w="0" w:type="dxa"/>
            <w:bottom w:w="0" w:type="dxa"/>
            <w:right w:w="0" w:type="dxa"/>
          </w:tblCellMar>
        </w:tblPrEx>
        <w:trPr>
          <w:trHeight w:val="499" w:hRule="atLeast"/>
        </w:trPr>
        <w:tc>
          <w:tcPr>
            <w:tcW w:w="26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其中：财政拨款</w:t>
            </w:r>
          </w:p>
        </w:tc>
        <w:tc>
          <w:tcPr>
            <w:tcW w:w="1400"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665.31</w:t>
            </w:r>
          </w:p>
        </w:tc>
        <w:tc>
          <w:tcPr>
            <w:tcW w:w="16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其他经费</w:t>
            </w:r>
          </w:p>
        </w:tc>
        <w:tc>
          <w:tcPr>
            <w:tcW w:w="184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1,200</w:t>
            </w:r>
          </w:p>
        </w:tc>
      </w:tr>
      <w:tr>
        <w:tblPrEx>
          <w:tblCellMar>
            <w:top w:w="0" w:type="dxa"/>
            <w:left w:w="0" w:type="dxa"/>
            <w:bottom w:w="0" w:type="dxa"/>
            <w:right w:w="0" w:type="dxa"/>
          </w:tblCellMar>
        </w:tblPrEx>
        <w:trPr>
          <w:trHeight w:val="420" w:hRule="atLeast"/>
        </w:trPr>
        <w:tc>
          <w:tcPr>
            <w:tcW w:w="26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支出预算合计</w:t>
            </w:r>
          </w:p>
        </w:tc>
        <w:tc>
          <w:tcPr>
            <w:tcW w:w="4900" w:type="dxa"/>
            <w:gridSpan w:val="4"/>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1,865.31</w:t>
            </w:r>
          </w:p>
        </w:tc>
      </w:tr>
      <w:tr>
        <w:tblPrEx>
          <w:tblCellMar>
            <w:top w:w="0" w:type="dxa"/>
            <w:left w:w="0" w:type="dxa"/>
            <w:bottom w:w="0" w:type="dxa"/>
            <w:right w:w="0" w:type="dxa"/>
          </w:tblCellMar>
        </w:tblPrEx>
        <w:trPr>
          <w:trHeight w:val="522" w:hRule="atLeast"/>
        </w:trPr>
        <w:tc>
          <w:tcPr>
            <w:tcW w:w="26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其中：基本支出</w:t>
            </w:r>
          </w:p>
        </w:tc>
        <w:tc>
          <w:tcPr>
            <w:tcW w:w="1400"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665.31</w:t>
            </w:r>
          </w:p>
        </w:tc>
        <w:tc>
          <w:tcPr>
            <w:tcW w:w="16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项目支出</w:t>
            </w:r>
          </w:p>
        </w:tc>
        <w:tc>
          <w:tcPr>
            <w:tcW w:w="184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1,200</w:t>
            </w:r>
          </w:p>
        </w:tc>
      </w:tr>
      <w:tr>
        <w:tblPrEx>
          <w:tblCellMar>
            <w:top w:w="0" w:type="dxa"/>
            <w:left w:w="0" w:type="dxa"/>
            <w:bottom w:w="0" w:type="dxa"/>
            <w:right w:w="0" w:type="dxa"/>
          </w:tblCellMar>
        </w:tblPrEx>
        <w:trPr>
          <w:trHeight w:val="1579" w:hRule="atLeast"/>
        </w:trPr>
        <w:tc>
          <w:tcPr>
            <w:tcW w:w="26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年度总体目标</w:t>
            </w:r>
          </w:p>
        </w:tc>
        <w:tc>
          <w:tcPr>
            <w:tcW w:w="4900" w:type="dxa"/>
            <w:gridSpan w:val="4"/>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完成年度主要任务</w:t>
            </w:r>
          </w:p>
        </w:tc>
      </w:tr>
      <w:tr>
        <w:tblPrEx>
          <w:shd w:val="clear" w:color="auto" w:fill="auto"/>
          <w:tblCellMar>
            <w:top w:w="0" w:type="dxa"/>
            <w:left w:w="0" w:type="dxa"/>
            <w:bottom w:w="0" w:type="dxa"/>
            <w:right w:w="0" w:type="dxa"/>
          </w:tblCellMar>
        </w:tblPrEx>
        <w:trPr>
          <w:trHeight w:val="619" w:hRule="atLeast"/>
        </w:trPr>
        <w:tc>
          <w:tcPr>
            <w:tcW w:w="7520"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i w:val="0"/>
                <w:color w:val="auto"/>
                <w:kern w:val="0"/>
                <w:sz w:val="21"/>
                <w:szCs w:val="21"/>
                <w:u w:val="none"/>
                <w:lang w:val="en-US" w:eastAsia="zh-CN" w:bidi="ar"/>
              </w:rPr>
              <w:t>年度绩效指标</w:t>
            </w:r>
          </w:p>
        </w:tc>
      </w:tr>
      <w:tr>
        <w:tblPrEx>
          <w:shd w:val="clear" w:color="auto" w:fill="auto"/>
          <w:tblCellMar>
            <w:top w:w="0" w:type="dxa"/>
            <w:left w:w="0" w:type="dxa"/>
            <w:bottom w:w="0" w:type="dxa"/>
            <w:right w:w="0" w:type="dxa"/>
          </w:tblCellMar>
        </w:tblPrEx>
        <w:trPr>
          <w:trHeight w:val="540" w:hRule="atLeast"/>
        </w:trPr>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i w:val="0"/>
                <w:color w:val="auto"/>
                <w:kern w:val="0"/>
                <w:sz w:val="21"/>
                <w:szCs w:val="21"/>
                <w:u w:val="none"/>
                <w:lang w:val="en-US" w:eastAsia="zh-CN" w:bidi="ar"/>
              </w:rPr>
              <w:t>一级指标</w:t>
            </w:r>
          </w:p>
        </w:tc>
        <w:tc>
          <w:tcPr>
            <w:tcW w:w="1680"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i w:val="0"/>
                <w:color w:val="auto"/>
                <w:kern w:val="0"/>
                <w:sz w:val="21"/>
                <w:szCs w:val="21"/>
                <w:u w:val="none"/>
                <w:lang w:val="en-US" w:eastAsia="zh-CN" w:bidi="ar"/>
              </w:rPr>
              <w:t>二级指标</w:t>
            </w:r>
          </w:p>
        </w:tc>
        <w:tc>
          <w:tcPr>
            <w:tcW w:w="2360"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i w:val="0"/>
                <w:color w:val="auto"/>
                <w:kern w:val="0"/>
                <w:sz w:val="21"/>
                <w:szCs w:val="21"/>
                <w:u w:val="none"/>
                <w:lang w:val="en-US" w:eastAsia="zh-CN" w:bidi="ar"/>
              </w:rPr>
              <w:t>三级指标</w:t>
            </w:r>
          </w:p>
        </w:tc>
        <w:tc>
          <w:tcPr>
            <w:tcW w:w="184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i w:val="0"/>
                <w:color w:val="auto"/>
                <w:kern w:val="0"/>
                <w:sz w:val="21"/>
                <w:szCs w:val="21"/>
                <w:u w:val="none"/>
                <w:lang w:val="en-US" w:eastAsia="zh-CN" w:bidi="ar"/>
              </w:rPr>
              <w:t>目标值</w:t>
            </w:r>
          </w:p>
        </w:tc>
      </w:tr>
      <w:tr>
        <w:tblPrEx>
          <w:shd w:val="clear" w:color="auto" w:fill="auto"/>
          <w:tblCellMar>
            <w:top w:w="0" w:type="dxa"/>
            <w:left w:w="0" w:type="dxa"/>
            <w:bottom w:w="0" w:type="dxa"/>
            <w:right w:w="0" w:type="dxa"/>
          </w:tblCellMar>
        </w:tblPrEx>
        <w:trPr>
          <w:trHeight w:val="540" w:hRule="atLeast"/>
        </w:trPr>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效益指标</w:t>
            </w:r>
          </w:p>
        </w:tc>
        <w:tc>
          <w:tcPr>
            <w:tcW w:w="1680"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效益指标</w:t>
            </w:r>
          </w:p>
        </w:tc>
        <w:tc>
          <w:tcPr>
            <w:tcW w:w="2360"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项目资金拨付</w:t>
            </w:r>
          </w:p>
        </w:tc>
        <w:tc>
          <w:tcPr>
            <w:tcW w:w="184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100%</w:t>
            </w:r>
          </w:p>
        </w:tc>
      </w:tr>
    </w:tbl>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《项目支出绩效目标表》</w:t>
      </w:r>
    </w:p>
    <w:tbl>
      <w:tblPr>
        <w:tblStyle w:val="4"/>
        <w:tblW w:w="9400" w:type="dxa"/>
        <w:tblInd w:w="0" w:type="dxa"/>
        <w:shd w:val="clear" w:color="auto" w:fill="auto"/>
        <w:tblLayout w:type="fixed"/>
        <w:tblCellMar>
          <w:top w:w="0" w:type="dxa"/>
          <w:left w:w="0" w:type="dxa"/>
          <w:bottom w:w="0" w:type="dxa"/>
          <w:right w:w="0" w:type="dxa"/>
        </w:tblCellMar>
      </w:tblPr>
      <w:tblGrid>
        <w:gridCol w:w="1360"/>
        <w:gridCol w:w="1860"/>
        <w:gridCol w:w="2060"/>
        <w:gridCol w:w="2060"/>
        <w:gridCol w:w="2060"/>
      </w:tblGrid>
      <w:tr>
        <w:tblPrEx>
          <w:shd w:val="clear" w:color="auto" w:fill="auto"/>
          <w:tblCellMar>
            <w:top w:w="0" w:type="dxa"/>
            <w:left w:w="0" w:type="dxa"/>
            <w:bottom w:w="0" w:type="dxa"/>
            <w:right w:w="0" w:type="dxa"/>
          </w:tblCellMar>
        </w:tblPrEx>
        <w:trPr>
          <w:trHeight w:val="799" w:hRule="atLeast"/>
        </w:trPr>
        <w:tc>
          <w:tcPr>
            <w:tcW w:w="9400" w:type="dxa"/>
            <w:gridSpan w:val="5"/>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auto"/>
                <w:sz w:val="36"/>
                <w:szCs w:val="36"/>
                <w:u w:val="none"/>
              </w:rPr>
            </w:pPr>
            <w:r>
              <w:rPr>
                <w:rFonts w:hint="default" w:ascii="方正小标宋简体" w:hAnsi="方正小标宋简体" w:eastAsia="方正小标宋简体" w:cs="方正小标宋简体"/>
                <w:i w:val="0"/>
                <w:color w:val="auto"/>
                <w:kern w:val="0"/>
                <w:sz w:val="36"/>
                <w:szCs w:val="36"/>
                <w:u w:val="none"/>
                <w:lang w:val="en-US" w:eastAsia="zh-CN" w:bidi="ar"/>
              </w:rPr>
              <w:t>项目支出绩效目标表</w:t>
            </w:r>
          </w:p>
        </w:tc>
      </w:tr>
      <w:tr>
        <w:tblPrEx>
          <w:shd w:val="clear" w:color="auto" w:fill="auto"/>
          <w:tblCellMar>
            <w:top w:w="0" w:type="dxa"/>
            <w:left w:w="0" w:type="dxa"/>
            <w:bottom w:w="0" w:type="dxa"/>
            <w:right w:w="0" w:type="dxa"/>
          </w:tblCellMar>
        </w:tblPrEx>
        <w:trPr>
          <w:trHeight w:val="462" w:hRule="atLeast"/>
        </w:trPr>
        <w:tc>
          <w:tcPr>
            <w:tcW w:w="9400" w:type="dxa"/>
            <w:gridSpan w:val="5"/>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（2023年度）</w:t>
            </w:r>
          </w:p>
        </w:tc>
      </w:tr>
      <w:tr>
        <w:tblPrEx>
          <w:shd w:val="clear" w:color="auto" w:fill="auto"/>
          <w:tblCellMar>
            <w:top w:w="0" w:type="dxa"/>
            <w:left w:w="0" w:type="dxa"/>
            <w:bottom w:w="0" w:type="dxa"/>
            <w:right w:w="0" w:type="dxa"/>
          </w:tblCellMar>
        </w:tblPrEx>
        <w:trPr>
          <w:trHeight w:val="739" w:hRule="atLeast"/>
        </w:trPr>
        <w:tc>
          <w:tcPr>
            <w:tcW w:w="32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项目名称</w:t>
            </w:r>
          </w:p>
        </w:tc>
        <w:tc>
          <w:tcPr>
            <w:tcW w:w="6180"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梅窖镇2023年其他资金</w:t>
            </w:r>
          </w:p>
        </w:tc>
      </w:tr>
      <w:tr>
        <w:tblPrEx>
          <w:shd w:val="clear" w:color="auto" w:fill="auto"/>
          <w:tblCellMar>
            <w:top w:w="0" w:type="dxa"/>
            <w:left w:w="0" w:type="dxa"/>
            <w:bottom w:w="0" w:type="dxa"/>
            <w:right w:w="0" w:type="dxa"/>
          </w:tblCellMar>
        </w:tblPrEx>
        <w:trPr>
          <w:trHeight w:val="739" w:hRule="atLeast"/>
        </w:trPr>
        <w:tc>
          <w:tcPr>
            <w:tcW w:w="32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主管部门及代码</w:t>
            </w:r>
          </w:p>
        </w:tc>
        <w:tc>
          <w:tcPr>
            <w:tcW w:w="20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917-兴国县梅窖镇</w:t>
            </w:r>
          </w:p>
        </w:tc>
        <w:tc>
          <w:tcPr>
            <w:tcW w:w="20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实施单位</w:t>
            </w:r>
          </w:p>
        </w:tc>
        <w:tc>
          <w:tcPr>
            <w:tcW w:w="20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兴国县梅窖镇人民政府</w:t>
            </w:r>
          </w:p>
        </w:tc>
      </w:tr>
      <w:tr>
        <w:tblPrEx>
          <w:shd w:val="clear" w:color="auto" w:fill="auto"/>
          <w:tblCellMar>
            <w:top w:w="0" w:type="dxa"/>
            <w:left w:w="0" w:type="dxa"/>
            <w:bottom w:w="0" w:type="dxa"/>
            <w:right w:w="0" w:type="dxa"/>
          </w:tblCellMar>
        </w:tblPrEx>
        <w:trPr>
          <w:trHeight w:val="615" w:hRule="atLeast"/>
        </w:trPr>
        <w:tc>
          <w:tcPr>
            <w:tcW w:w="32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项目资金</w:t>
            </w:r>
          </w:p>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（万元）</w:t>
            </w:r>
          </w:p>
        </w:tc>
        <w:tc>
          <w:tcPr>
            <w:tcW w:w="20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年度资金总额</w:t>
            </w:r>
          </w:p>
        </w:tc>
        <w:tc>
          <w:tcPr>
            <w:tcW w:w="4120"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1,200</w:t>
            </w:r>
          </w:p>
        </w:tc>
      </w:tr>
      <w:tr>
        <w:tblPrEx>
          <w:shd w:val="clear" w:color="auto" w:fill="auto"/>
          <w:tblCellMar>
            <w:top w:w="0" w:type="dxa"/>
            <w:left w:w="0" w:type="dxa"/>
            <w:bottom w:w="0" w:type="dxa"/>
            <w:right w:w="0" w:type="dxa"/>
          </w:tblCellMar>
        </w:tblPrEx>
        <w:trPr>
          <w:trHeight w:val="615" w:hRule="atLeast"/>
        </w:trPr>
        <w:tc>
          <w:tcPr>
            <w:tcW w:w="32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20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其中：财政拨款</w:t>
            </w:r>
          </w:p>
        </w:tc>
        <w:tc>
          <w:tcPr>
            <w:tcW w:w="4120"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r>
      <w:tr>
        <w:tblPrEx>
          <w:shd w:val="clear" w:color="auto" w:fill="auto"/>
          <w:tblCellMar>
            <w:top w:w="0" w:type="dxa"/>
            <w:left w:w="0" w:type="dxa"/>
            <w:bottom w:w="0" w:type="dxa"/>
            <w:right w:w="0" w:type="dxa"/>
          </w:tblCellMar>
        </w:tblPrEx>
        <w:trPr>
          <w:trHeight w:val="615" w:hRule="atLeast"/>
        </w:trPr>
        <w:tc>
          <w:tcPr>
            <w:tcW w:w="32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20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其他资金</w:t>
            </w:r>
          </w:p>
        </w:tc>
        <w:tc>
          <w:tcPr>
            <w:tcW w:w="4120"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1,200</w:t>
            </w:r>
          </w:p>
        </w:tc>
      </w:tr>
      <w:tr>
        <w:tblPrEx>
          <w:shd w:val="clear" w:color="auto" w:fill="auto"/>
          <w:tblCellMar>
            <w:top w:w="0" w:type="dxa"/>
            <w:left w:w="0" w:type="dxa"/>
            <w:bottom w:w="0" w:type="dxa"/>
            <w:right w:w="0" w:type="dxa"/>
          </w:tblCellMar>
        </w:tblPrEx>
        <w:trPr>
          <w:trHeight w:val="615" w:hRule="atLeast"/>
        </w:trPr>
        <w:tc>
          <w:tcPr>
            <w:tcW w:w="32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20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上年结转</w:t>
            </w:r>
          </w:p>
        </w:tc>
        <w:tc>
          <w:tcPr>
            <w:tcW w:w="4120"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r>
      <w:tr>
        <w:tblPrEx>
          <w:shd w:val="clear" w:color="auto" w:fill="auto"/>
          <w:tblCellMar>
            <w:top w:w="0" w:type="dxa"/>
            <w:left w:w="0" w:type="dxa"/>
            <w:bottom w:w="0" w:type="dxa"/>
            <w:right w:w="0" w:type="dxa"/>
          </w:tblCellMar>
        </w:tblPrEx>
        <w:trPr>
          <w:trHeight w:val="615" w:hRule="atLeast"/>
        </w:trPr>
        <w:tc>
          <w:tcPr>
            <w:tcW w:w="9400"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年度绩效目标</w:t>
            </w:r>
          </w:p>
        </w:tc>
      </w:tr>
      <w:tr>
        <w:tblPrEx>
          <w:shd w:val="clear" w:color="auto" w:fill="auto"/>
          <w:tblCellMar>
            <w:top w:w="0" w:type="dxa"/>
            <w:left w:w="0" w:type="dxa"/>
            <w:bottom w:w="0" w:type="dxa"/>
            <w:right w:w="0" w:type="dxa"/>
          </w:tblCellMar>
        </w:tblPrEx>
        <w:trPr>
          <w:trHeight w:val="615" w:hRule="atLeast"/>
        </w:trPr>
        <w:tc>
          <w:tcPr>
            <w:tcW w:w="940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完成资金拨付，保障各项工作正常运转</w:t>
            </w:r>
          </w:p>
        </w:tc>
      </w:tr>
      <w:tr>
        <w:tblPrEx>
          <w:shd w:val="clear" w:color="auto" w:fill="auto"/>
          <w:tblCellMar>
            <w:top w:w="0" w:type="dxa"/>
            <w:left w:w="0" w:type="dxa"/>
            <w:bottom w:w="0" w:type="dxa"/>
            <w:right w:w="0" w:type="dxa"/>
          </w:tblCellMar>
        </w:tblPrEx>
        <w:trPr>
          <w:trHeight w:val="615" w:hRule="atLeast"/>
        </w:trPr>
        <w:tc>
          <w:tcPr>
            <w:tcW w:w="136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一级指标</w:t>
            </w:r>
          </w:p>
        </w:tc>
        <w:tc>
          <w:tcPr>
            <w:tcW w:w="18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二级指标</w:t>
            </w:r>
          </w:p>
        </w:tc>
        <w:tc>
          <w:tcPr>
            <w:tcW w:w="4120"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三级指标</w:t>
            </w:r>
          </w:p>
        </w:tc>
        <w:tc>
          <w:tcPr>
            <w:tcW w:w="20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指标值</w:t>
            </w:r>
          </w:p>
        </w:tc>
      </w:tr>
      <w:tr>
        <w:tblPrEx>
          <w:shd w:val="clear" w:color="auto" w:fill="auto"/>
          <w:tblCellMar>
            <w:top w:w="0" w:type="dxa"/>
            <w:left w:w="0" w:type="dxa"/>
            <w:bottom w:w="0" w:type="dxa"/>
            <w:right w:w="0" w:type="dxa"/>
          </w:tblCellMar>
        </w:tblPrEx>
        <w:trPr>
          <w:trHeight w:val="615" w:hRule="atLeast"/>
        </w:trPr>
        <w:tc>
          <w:tcPr>
            <w:tcW w:w="1360"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成本指标</w:t>
            </w:r>
          </w:p>
        </w:tc>
        <w:tc>
          <w:tcPr>
            <w:tcW w:w="18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经济成本指标</w:t>
            </w:r>
          </w:p>
        </w:tc>
        <w:tc>
          <w:tcPr>
            <w:tcW w:w="4120"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完成资金拨付率</w:t>
            </w:r>
          </w:p>
        </w:tc>
        <w:tc>
          <w:tcPr>
            <w:tcW w:w="20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100%</w:t>
            </w:r>
          </w:p>
        </w:tc>
      </w:tr>
      <w:tr>
        <w:tblPrEx>
          <w:shd w:val="clear" w:color="auto" w:fill="auto"/>
          <w:tblCellMar>
            <w:top w:w="0" w:type="dxa"/>
            <w:left w:w="0" w:type="dxa"/>
            <w:bottom w:w="0" w:type="dxa"/>
            <w:right w:w="0" w:type="dxa"/>
          </w:tblCellMar>
        </w:tblPrEx>
        <w:trPr>
          <w:trHeight w:val="615" w:hRule="atLeast"/>
        </w:trPr>
        <w:tc>
          <w:tcPr>
            <w:tcW w:w="136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社会成本指标</w:t>
            </w:r>
          </w:p>
        </w:tc>
        <w:tc>
          <w:tcPr>
            <w:tcW w:w="4120"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完成项目投入</w:t>
            </w:r>
          </w:p>
        </w:tc>
        <w:tc>
          <w:tcPr>
            <w:tcW w:w="20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＝12000000元</w:t>
            </w:r>
          </w:p>
        </w:tc>
      </w:tr>
      <w:tr>
        <w:tblPrEx>
          <w:shd w:val="clear" w:color="auto" w:fill="auto"/>
          <w:tblCellMar>
            <w:top w:w="0" w:type="dxa"/>
            <w:left w:w="0" w:type="dxa"/>
            <w:bottom w:w="0" w:type="dxa"/>
            <w:right w:w="0" w:type="dxa"/>
          </w:tblCellMar>
        </w:tblPrEx>
        <w:trPr>
          <w:trHeight w:val="615" w:hRule="atLeast"/>
        </w:trPr>
        <w:tc>
          <w:tcPr>
            <w:tcW w:w="1360"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产出指标</w:t>
            </w:r>
          </w:p>
        </w:tc>
        <w:tc>
          <w:tcPr>
            <w:tcW w:w="18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数量指标</w:t>
            </w:r>
          </w:p>
        </w:tc>
        <w:tc>
          <w:tcPr>
            <w:tcW w:w="4120"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完成项目资金</w:t>
            </w:r>
          </w:p>
        </w:tc>
        <w:tc>
          <w:tcPr>
            <w:tcW w:w="20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＝12000000元</w:t>
            </w:r>
          </w:p>
        </w:tc>
      </w:tr>
      <w:tr>
        <w:tblPrEx>
          <w:tblCellMar>
            <w:top w:w="0" w:type="dxa"/>
            <w:left w:w="0" w:type="dxa"/>
            <w:bottom w:w="0" w:type="dxa"/>
            <w:right w:w="0" w:type="dxa"/>
          </w:tblCellMar>
        </w:tblPrEx>
        <w:trPr>
          <w:trHeight w:val="615" w:hRule="atLeast"/>
        </w:trPr>
        <w:tc>
          <w:tcPr>
            <w:tcW w:w="136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质量指标</w:t>
            </w:r>
          </w:p>
        </w:tc>
        <w:tc>
          <w:tcPr>
            <w:tcW w:w="4120"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完成项目验收合格率</w:t>
            </w:r>
          </w:p>
        </w:tc>
        <w:tc>
          <w:tcPr>
            <w:tcW w:w="20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98%</w:t>
            </w:r>
          </w:p>
        </w:tc>
      </w:tr>
      <w:tr>
        <w:tblPrEx>
          <w:shd w:val="clear" w:color="auto" w:fill="auto"/>
          <w:tblCellMar>
            <w:top w:w="0" w:type="dxa"/>
            <w:left w:w="0" w:type="dxa"/>
            <w:bottom w:w="0" w:type="dxa"/>
            <w:right w:w="0" w:type="dxa"/>
          </w:tblCellMar>
        </w:tblPrEx>
        <w:trPr>
          <w:trHeight w:val="615" w:hRule="atLeast"/>
        </w:trPr>
        <w:tc>
          <w:tcPr>
            <w:tcW w:w="136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时效指标</w:t>
            </w:r>
          </w:p>
        </w:tc>
        <w:tc>
          <w:tcPr>
            <w:tcW w:w="4120"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完成项目年度</w:t>
            </w:r>
          </w:p>
        </w:tc>
        <w:tc>
          <w:tcPr>
            <w:tcW w:w="20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2023年</w:t>
            </w:r>
          </w:p>
        </w:tc>
      </w:tr>
      <w:tr>
        <w:tblPrEx>
          <w:shd w:val="clear" w:color="auto" w:fill="auto"/>
          <w:tblCellMar>
            <w:top w:w="0" w:type="dxa"/>
            <w:left w:w="0" w:type="dxa"/>
            <w:bottom w:w="0" w:type="dxa"/>
            <w:right w:w="0" w:type="dxa"/>
          </w:tblCellMar>
        </w:tblPrEx>
        <w:trPr>
          <w:trHeight w:val="615" w:hRule="atLeast"/>
        </w:trPr>
        <w:tc>
          <w:tcPr>
            <w:tcW w:w="1360"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效益指标</w:t>
            </w:r>
          </w:p>
        </w:tc>
        <w:tc>
          <w:tcPr>
            <w:tcW w:w="18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经济效益指标</w:t>
            </w:r>
          </w:p>
        </w:tc>
        <w:tc>
          <w:tcPr>
            <w:tcW w:w="4120"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提升群众人均收入</w:t>
            </w:r>
          </w:p>
        </w:tc>
        <w:tc>
          <w:tcPr>
            <w:tcW w:w="20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35%</w:t>
            </w:r>
          </w:p>
        </w:tc>
      </w:tr>
      <w:tr>
        <w:tblPrEx>
          <w:shd w:val="clear" w:color="auto" w:fill="auto"/>
          <w:tblCellMar>
            <w:top w:w="0" w:type="dxa"/>
            <w:left w:w="0" w:type="dxa"/>
            <w:bottom w:w="0" w:type="dxa"/>
            <w:right w:w="0" w:type="dxa"/>
          </w:tblCellMar>
        </w:tblPrEx>
        <w:trPr>
          <w:trHeight w:val="615" w:hRule="atLeast"/>
        </w:trPr>
        <w:tc>
          <w:tcPr>
            <w:tcW w:w="136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社会效益指标</w:t>
            </w:r>
          </w:p>
        </w:tc>
        <w:tc>
          <w:tcPr>
            <w:tcW w:w="4120"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提升群众满意度</w:t>
            </w:r>
          </w:p>
        </w:tc>
        <w:tc>
          <w:tcPr>
            <w:tcW w:w="20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65%</w:t>
            </w:r>
          </w:p>
        </w:tc>
      </w:tr>
      <w:tr>
        <w:tblPrEx>
          <w:shd w:val="clear" w:color="auto" w:fill="auto"/>
          <w:tblCellMar>
            <w:top w:w="0" w:type="dxa"/>
            <w:left w:w="0" w:type="dxa"/>
            <w:bottom w:w="0" w:type="dxa"/>
            <w:right w:w="0" w:type="dxa"/>
          </w:tblCellMar>
        </w:tblPrEx>
        <w:trPr>
          <w:trHeight w:val="615" w:hRule="atLeast"/>
        </w:trPr>
        <w:tc>
          <w:tcPr>
            <w:tcW w:w="136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生态效益指标</w:t>
            </w:r>
          </w:p>
        </w:tc>
        <w:tc>
          <w:tcPr>
            <w:tcW w:w="4120"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提升环境满意度</w:t>
            </w:r>
          </w:p>
        </w:tc>
        <w:tc>
          <w:tcPr>
            <w:tcW w:w="20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45%</w:t>
            </w:r>
          </w:p>
        </w:tc>
      </w:tr>
    </w:tbl>
    <w:p>
      <w:pPr>
        <w:pStyle w:val="2"/>
        <w:numPr>
          <w:ilvl w:val="0"/>
          <w:numId w:val="0"/>
        </w:numPr>
        <w:ind w:leftChars="0"/>
        <w:rPr>
          <w:color w:val="auto"/>
        </w:r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各部门结合实际进行解释。</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对部门或单位预算中涉及的支出功能分类科目（明细到项级），结合部门实际，参照《</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年政府收支分类科目》的规范说明行解释。</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92699"/>
    <w:multiLevelType w:val="singleLevel"/>
    <w:tmpl w:val="0E89269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hMGJhOGI0Y2IyN2ZlMjgyNmQ4ZjNlN2RhNWY3YTMifQ=="/>
  </w:docVars>
  <w:rsids>
    <w:rsidRoot w:val="445E02C8"/>
    <w:rsid w:val="00603693"/>
    <w:rsid w:val="00787612"/>
    <w:rsid w:val="03CE26F7"/>
    <w:rsid w:val="046917E3"/>
    <w:rsid w:val="04EE7A30"/>
    <w:rsid w:val="06DC6DA2"/>
    <w:rsid w:val="073E0EC1"/>
    <w:rsid w:val="09A225E6"/>
    <w:rsid w:val="0B1D3604"/>
    <w:rsid w:val="0B97720E"/>
    <w:rsid w:val="0BCE68F5"/>
    <w:rsid w:val="0D94734D"/>
    <w:rsid w:val="0E5014F5"/>
    <w:rsid w:val="0E736EF4"/>
    <w:rsid w:val="104D37D9"/>
    <w:rsid w:val="10B73A4F"/>
    <w:rsid w:val="11662DE0"/>
    <w:rsid w:val="12135883"/>
    <w:rsid w:val="1561320E"/>
    <w:rsid w:val="165936C7"/>
    <w:rsid w:val="16F77997"/>
    <w:rsid w:val="17E500D5"/>
    <w:rsid w:val="19CF11C0"/>
    <w:rsid w:val="19EE6661"/>
    <w:rsid w:val="1AEB248D"/>
    <w:rsid w:val="1AF93DC6"/>
    <w:rsid w:val="1D087F3C"/>
    <w:rsid w:val="1F9768E3"/>
    <w:rsid w:val="1FD0112A"/>
    <w:rsid w:val="20515DAE"/>
    <w:rsid w:val="207A536C"/>
    <w:rsid w:val="20B71DA0"/>
    <w:rsid w:val="216E231D"/>
    <w:rsid w:val="2A4865C4"/>
    <w:rsid w:val="2CBD63E2"/>
    <w:rsid w:val="2D6068D8"/>
    <w:rsid w:val="3038091A"/>
    <w:rsid w:val="30D86B84"/>
    <w:rsid w:val="31915C7D"/>
    <w:rsid w:val="325E71CC"/>
    <w:rsid w:val="326D79FF"/>
    <w:rsid w:val="338D65F1"/>
    <w:rsid w:val="33A5649F"/>
    <w:rsid w:val="33C9630C"/>
    <w:rsid w:val="34733621"/>
    <w:rsid w:val="34E27145"/>
    <w:rsid w:val="3827508F"/>
    <w:rsid w:val="38394DCE"/>
    <w:rsid w:val="3A4013F4"/>
    <w:rsid w:val="3B313BE5"/>
    <w:rsid w:val="3B986CBE"/>
    <w:rsid w:val="3E612D76"/>
    <w:rsid w:val="3F4F6B31"/>
    <w:rsid w:val="3F5F2902"/>
    <w:rsid w:val="3FFE2FA6"/>
    <w:rsid w:val="400B29A4"/>
    <w:rsid w:val="423E0E3F"/>
    <w:rsid w:val="42D7484C"/>
    <w:rsid w:val="445E02C8"/>
    <w:rsid w:val="4747018C"/>
    <w:rsid w:val="47575BFF"/>
    <w:rsid w:val="485066C4"/>
    <w:rsid w:val="48CD3C22"/>
    <w:rsid w:val="4A436EFB"/>
    <w:rsid w:val="4B1B3C95"/>
    <w:rsid w:val="4B1C3019"/>
    <w:rsid w:val="4B253CDE"/>
    <w:rsid w:val="4BFE5488"/>
    <w:rsid w:val="4C6C4C16"/>
    <w:rsid w:val="4CBB5C5C"/>
    <w:rsid w:val="4DD7467B"/>
    <w:rsid w:val="4F2A3266"/>
    <w:rsid w:val="50816E3B"/>
    <w:rsid w:val="52F60DC8"/>
    <w:rsid w:val="569F1F43"/>
    <w:rsid w:val="56F3156D"/>
    <w:rsid w:val="572E4089"/>
    <w:rsid w:val="5A0C287D"/>
    <w:rsid w:val="5B5D70DA"/>
    <w:rsid w:val="5CF72C26"/>
    <w:rsid w:val="5FA32B37"/>
    <w:rsid w:val="603D3301"/>
    <w:rsid w:val="60F11696"/>
    <w:rsid w:val="616C638F"/>
    <w:rsid w:val="66034DC1"/>
    <w:rsid w:val="66563C4B"/>
    <w:rsid w:val="6661665F"/>
    <w:rsid w:val="6714102F"/>
    <w:rsid w:val="68307DAB"/>
    <w:rsid w:val="68BC2D86"/>
    <w:rsid w:val="6A466B1B"/>
    <w:rsid w:val="6B292EAC"/>
    <w:rsid w:val="6BA8784E"/>
    <w:rsid w:val="6D7F4F1B"/>
    <w:rsid w:val="6DBF5AA3"/>
    <w:rsid w:val="6F5E47A3"/>
    <w:rsid w:val="6FD4065B"/>
    <w:rsid w:val="71206171"/>
    <w:rsid w:val="71724DA6"/>
    <w:rsid w:val="7205132A"/>
    <w:rsid w:val="76266C86"/>
    <w:rsid w:val="78516298"/>
    <w:rsid w:val="799A5F38"/>
    <w:rsid w:val="7AE21921"/>
    <w:rsid w:val="7CB80511"/>
    <w:rsid w:val="7F776CA0"/>
    <w:rsid w:val="7FC60E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character" w:customStyle="1" w:styleId="6">
    <w:name w:val="16"/>
    <w:basedOn w:val="5"/>
    <w:qFormat/>
    <w:uiPriority w:val="0"/>
    <w:rPr>
      <w:rFonts w:hint="default" w:ascii="Times New Roman" w:hAnsi="Times New Roman" w:cs="Times New Roman"/>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6862</Words>
  <Characters>8803</Characters>
  <Lines>0</Lines>
  <Paragraphs>0</Paragraphs>
  <TotalTime>15</TotalTime>
  <ScaleCrop>false</ScaleCrop>
  <LinksUpToDate>false</LinksUpToDate>
  <CharactersWithSpaces>9225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Administrator</cp:lastModifiedBy>
  <dcterms:modified xsi:type="dcterms:W3CDTF">2024-05-30T03:15:41Z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6B0E9ABE64404A80A68D276580349BB5_13</vt:lpwstr>
  </property>
</Properties>
</file>