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88" w:line="604" w:lineRule="exact"/>
        <w:ind w:left="900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3"/>
          <w:position w:val="3"/>
          <w:sz w:val="43"/>
          <w:szCs w:val="43"/>
        </w:rPr>
        <w:t>2022</w:t>
      </w:r>
      <w:r>
        <w:rPr>
          <w:rFonts w:ascii="宋体" w:hAnsi="宋体" w:eastAsia="宋体" w:cs="宋体"/>
          <w:spacing w:val="-75"/>
          <w:position w:val="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3"/>
          <w:position w:val="3"/>
          <w:sz w:val="43"/>
          <w:szCs w:val="43"/>
        </w:rPr>
        <w:t>年以来</w:t>
      </w:r>
      <w:r>
        <w:rPr>
          <w:rFonts w:ascii="宋体" w:hAnsi="宋体" w:eastAsia="宋体" w:cs="宋体"/>
          <w:spacing w:val="-89"/>
          <w:position w:val="3"/>
          <w:sz w:val="43"/>
          <w:szCs w:val="43"/>
        </w:rPr>
        <w:t xml:space="preserve"> </w:t>
      </w:r>
      <w:r>
        <w:rPr>
          <w:rFonts w:ascii="宋体" w:hAnsi="宋体" w:eastAsia="宋体" w:cs="宋体"/>
          <w:position w:val="3"/>
          <w:sz w:val="43"/>
          <w:szCs w:val="43"/>
        </w:rPr>
        <w:t>xxx</w:t>
      </w:r>
      <w:r>
        <w:rPr>
          <w:rFonts w:ascii="宋体" w:hAnsi="宋体" w:eastAsia="宋体" w:cs="宋体"/>
          <w:spacing w:val="-100"/>
          <w:position w:val="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3"/>
          <w:position w:val="3"/>
          <w:sz w:val="43"/>
          <w:szCs w:val="43"/>
        </w:rPr>
        <w:t>单位问题隐患整改情况汇总台账</w:t>
      </w:r>
    </w:p>
    <w:p>
      <w:pPr>
        <w:pStyle w:val="2"/>
        <w:spacing w:before="282" w:line="221" w:lineRule="auto"/>
        <w:ind w:left="132"/>
        <w:rPr>
          <w:sz w:val="31"/>
          <w:szCs w:val="31"/>
        </w:rPr>
      </w:pPr>
      <w:r>
        <w:rPr>
          <w:spacing w:val="4"/>
          <w:sz w:val="31"/>
          <w:szCs w:val="31"/>
        </w:rPr>
        <w:t>单位</w:t>
      </w:r>
      <w:r>
        <w:rPr>
          <w:spacing w:val="2"/>
          <w:sz w:val="31"/>
          <w:szCs w:val="31"/>
        </w:rPr>
        <w:t>：</w:t>
      </w:r>
      <w:r>
        <w:rPr>
          <w:sz w:val="31"/>
          <w:szCs w:val="31"/>
        </w:rPr>
        <w:t xml:space="preserve">                             </w:t>
      </w:r>
      <w:r>
        <w:rPr>
          <w:spacing w:val="4"/>
          <w:sz w:val="31"/>
          <w:szCs w:val="31"/>
        </w:rPr>
        <w:t>填报人：</w:t>
      </w:r>
      <w:r>
        <w:rPr>
          <w:spacing w:val="8"/>
          <w:sz w:val="31"/>
          <w:szCs w:val="31"/>
        </w:rPr>
        <w:t xml:space="preserve">                 </w:t>
      </w:r>
      <w:r>
        <w:rPr>
          <w:spacing w:val="4"/>
          <w:sz w:val="31"/>
          <w:szCs w:val="31"/>
        </w:rPr>
        <w:t>填报时间：</w:t>
      </w:r>
    </w:p>
    <w:p>
      <w:pPr>
        <w:spacing w:line="97" w:lineRule="exact"/>
      </w:pPr>
    </w:p>
    <w:tbl>
      <w:tblPr>
        <w:tblStyle w:val="5"/>
        <w:tblW w:w="132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751"/>
        <w:gridCol w:w="1689"/>
        <w:gridCol w:w="1893"/>
        <w:gridCol w:w="1792"/>
        <w:gridCol w:w="2169"/>
        <w:gridCol w:w="2214"/>
        <w:gridCol w:w="11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</w:trPr>
        <w:tc>
          <w:tcPr>
            <w:tcW w:w="13265" w:type="dxa"/>
            <w:gridSpan w:val="8"/>
            <w:vAlign w:val="top"/>
          </w:tcPr>
          <w:p>
            <w:pPr>
              <w:spacing w:before="158" w:line="372" w:lineRule="auto"/>
              <w:ind w:left="124" w:right="106" w:firstLine="643"/>
              <w:jc w:val="both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经梳理，本单位（</w:t>
            </w:r>
            <w:r>
              <w:rPr>
                <w:rFonts w:hint="eastAsia" w:ascii="仿宋" w:hAnsi="仿宋" w:eastAsia="仿宋" w:cs="仿宋"/>
                <w:spacing w:val="7"/>
                <w:sz w:val="31"/>
                <w:szCs w:val="31"/>
                <w:lang w:eastAsia="zh-CN"/>
              </w:rPr>
              <w:t>村委会</w:t>
            </w:r>
            <w:r>
              <w:rPr>
                <w:rFonts w:ascii="仿宋" w:hAnsi="仿宋" w:eastAsia="仿宋" w:cs="仿宋"/>
                <w:spacing w:val="7"/>
                <w:sz w:val="31"/>
                <w:szCs w:val="31"/>
              </w:rPr>
              <w:t>）共梳理汇总问题隐患  条，其中完成整改问题隐患  条，未完成 整改  条，需纳入县级调度问题隐患  条，市级调度问题隐患  条，未完成整改问题隐患清单</w:t>
            </w:r>
            <w:bookmarkStart w:id="0" w:name="_GoBack"/>
            <w:bookmarkEnd w:id="0"/>
          </w:p>
          <w:p>
            <w:pPr>
              <w:spacing w:line="222" w:lineRule="auto"/>
              <w:ind w:left="129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如下。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600" w:type="dxa"/>
            <w:textDirection w:val="tbRlV"/>
            <w:vAlign w:val="top"/>
          </w:tcPr>
          <w:p>
            <w:pPr>
              <w:spacing w:before="156" w:line="209" w:lineRule="auto"/>
              <w:ind w:left="33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5"/>
                <w:sz w:val="28"/>
                <w:szCs w:val="28"/>
              </w:rPr>
              <w:t>序</w:t>
            </w:r>
            <w:r>
              <w:rPr>
                <w:rFonts w:ascii="黑体" w:hAnsi="黑体" w:eastAsia="黑体" w:cs="黑体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5"/>
                <w:sz w:val="28"/>
                <w:szCs w:val="28"/>
              </w:rPr>
              <w:t>号</w:t>
            </w:r>
          </w:p>
        </w:tc>
        <w:tc>
          <w:tcPr>
            <w:tcW w:w="1751" w:type="dxa"/>
            <w:vAlign w:val="top"/>
          </w:tcPr>
          <w:p>
            <w:pPr>
              <w:pStyle w:val="6"/>
              <w:spacing w:line="241" w:lineRule="auto"/>
            </w:pPr>
          </w:p>
          <w:p>
            <w:pPr>
              <w:spacing w:before="91" w:line="256" w:lineRule="auto"/>
              <w:ind w:left="601" w:hanging="49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8"/>
                <w:sz w:val="28"/>
                <w:szCs w:val="28"/>
              </w:rPr>
              <w:t>企业（场所）</w:t>
            </w:r>
            <w:r>
              <w:rPr>
                <w:rFonts w:ascii="黑体" w:hAnsi="黑体" w:eastAsia="黑体" w:cs="黑体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名称</w:t>
            </w:r>
          </w:p>
        </w:tc>
        <w:tc>
          <w:tcPr>
            <w:tcW w:w="1689" w:type="dxa"/>
            <w:vAlign w:val="top"/>
          </w:tcPr>
          <w:p>
            <w:pPr>
              <w:pStyle w:val="6"/>
            </w:pPr>
          </w:p>
          <w:p>
            <w:pPr>
              <w:spacing w:before="91" w:line="257" w:lineRule="auto"/>
              <w:ind w:left="712" w:right="142" w:hanging="54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问题隐患详</w:t>
            </w:r>
            <w:r>
              <w:rPr>
                <w:rFonts w:ascii="黑体" w:hAnsi="黑体" w:eastAsia="黑体" w:cs="黑体"/>
                <w:sz w:val="28"/>
                <w:szCs w:val="28"/>
              </w:rPr>
              <w:t xml:space="preserve"> 情</w:t>
            </w:r>
          </w:p>
        </w:tc>
        <w:tc>
          <w:tcPr>
            <w:tcW w:w="1893" w:type="dxa"/>
            <w:vAlign w:val="top"/>
          </w:tcPr>
          <w:p>
            <w:pPr>
              <w:spacing w:before="332" w:line="256" w:lineRule="auto"/>
              <w:ind w:left="812" w:right="242" w:hanging="54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问题隐患来</w:t>
            </w:r>
            <w:r>
              <w:rPr>
                <w:rFonts w:ascii="黑体" w:hAnsi="黑体" w:eastAsia="黑体" w:cs="黑体"/>
                <w:sz w:val="28"/>
                <w:szCs w:val="28"/>
              </w:rPr>
              <w:t xml:space="preserve"> 源</w:t>
            </w:r>
          </w:p>
        </w:tc>
        <w:tc>
          <w:tcPr>
            <w:tcW w:w="1792" w:type="dxa"/>
            <w:vAlign w:val="top"/>
          </w:tcPr>
          <w:p>
            <w:pPr>
              <w:pStyle w:val="6"/>
              <w:spacing w:line="460" w:lineRule="auto"/>
            </w:pPr>
          </w:p>
          <w:p>
            <w:pPr>
              <w:spacing w:before="91" w:line="222" w:lineRule="auto"/>
              <w:ind w:left="34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反馈时间</w:t>
            </w:r>
          </w:p>
        </w:tc>
        <w:tc>
          <w:tcPr>
            <w:tcW w:w="2169" w:type="dxa"/>
            <w:vAlign w:val="top"/>
          </w:tcPr>
          <w:p>
            <w:pPr>
              <w:pStyle w:val="6"/>
              <w:spacing w:line="461" w:lineRule="auto"/>
            </w:pPr>
          </w:p>
          <w:p>
            <w:pPr>
              <w:spacing w:before="91" w:line="222" w:lineRule="auto"/>
              <w:ind w:left="39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未整改原因</w:t>
            </w:r>
          </w:p>
        </w:tc>
        <w:tc>
          <w:tcPr>
            <w:tcW w:w="2214" w:type="dxa"/>
            <w:vAlign w:val="top"/>
          </w:tcPr>
          <w:p>
            <w:pPr>
              <w:spacing w:before="332" w:line="256" w:lineRule="auto"/>
              <w:ind w:left="697" w:hanging="57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0"/>
                <w:sz w:val="28"/>
                <w:szCs w:val="28"/>
              </w:rPr>
              <w:t>是否列入市（县）</w:t>
            </w:r>
            <w:r>
              <w:rPr>
                <w:rFonts w:ascii="黑体" w:hAnsi="黑体" w:eastAsia="黑体" w:cs="黑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级调度</w:t>
            </w:r>
          </w:p>
        </w:tc>
        <w:tc>
          <w:tcPr>
            <w:tcW w:w="1157" w:type="dxa"/>
            <w:vAlign w:val="top"/>
          </w:tcPr>
          <w:p>
            <w:pPr>
              <w:spacing w:before="112" w:line="223" w:lineRule="auto"/>
              <w:ind w:left="17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是否属</w:t>
            </w:r>
          </w:p>
          <w:p>
            <w:pPr>
              <w:spacing w:before="103" w:line="225" w:lineRule="auto"/>
              <w:ind w:left="16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于重大</w:t>
            </w:r>
          </w:p>
          <w:p>
            <w:pPr>
              <w:spacing w:before="97" w:line="211" w:lineRule="auto"/>
              <w:ind w:left="31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9"/>
                <w:sz w:val="28"/>
                <w:szCs w:val="28"/>
              </w:rPr>
              <w:t>隐患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600" w:type="dxa"/>
            <w:textDirection w:val="tbRlV"/>
            <w:vAlign w:val="top"/>
          </w:tcPr>
          <w:p>
            <w:pPr>
              <w:spacing w:before="168" w:line="215" w:lineRule="auto"/>
              <w:ind w:left="51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49"/>
                <w:sz w:val="31"/>
                <w:szCs w:val="31"/>
              </w:rPr>
              <w:t>示例</w:t>
            </w:r>
          </w:p>
        </w:tc>
        <w:tc>
          <w:tcPr>
            <w:tcW w:w="1751" w:type="dxa"/>
            <w:vAlign w:val="top"/>
          </w:tcPr>
          <w:p>
            <w:pPr>
              <w:pStyle w:val="6"/>
            </w:pPr>
          </w:p>
        </w:tc>
        <w:tc>
          <w:tcPr>
            <w:tcW w:w="1689" w:type="dxa"/>
            <w:vAlign w:val="top"/>
          </w:tcPr>
          <w:p>
            <w:pPr>
              <w:spacing w:before="248" w:line="443" w:lineRule="exact"/>
              <w:ind w:left="1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position w:val="2"/>
                <w:sz w:val="31"/>
                <w:szCs w:val="31"/>
              </w:rPr>
              <w:t>*</w:t>
            </w:r>
          </w:p>
        </w:tc>
        <w:tc>
          <w:tcPr>
            <w:tcW w:w="1893" w:type="dxa"/>
            <w:vAlign w:val="top"/>
          </w:tcPr>
          <w:p>
            <w:pPr>
              <w:spacing w:before="51" w:line="221" w:lineRule="auto"/>
              <w:ind w:left="131" w:right="185" w:hanging="1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4"/>
                <w:sz w:val="31"/>
                <w:szCs w:val="31"/>
              </w:rPr>
              <w:t>市安委会督</w:t>
            </w:r>
            <w:r>
              <w:rPr>
                <w:rFonts w:ascii="仿宋" w:hAnsi="仿宋" w:eastAsia="仿宋" w:cs="仿宋"/>
                <w:spacing w:val="1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z w:val="31"/>
                <w:szCs w:val="31"/>
              </w:rPr>
              <w:t>导反馈</w:t>
            </w:r>
          </w:p>
        </w:tc>
        <w:tc>
          <w:tcPr>
            <w:tcW w:w="1792" w:type="dxa"/>
            <w:vAlign w:val="top"/>
          </w:tcPr>
          <w:p>
            <w:pPr>
              <w:spacing w:before="48" w:line="222" w:lineRule="auto"/>
              <w:ind w:left="115" w:right="163" w:firstLine="5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"/>
                <w:sz w:val="31"/>
                <w:szCs w:val="31"/>
              </w:rPr>
              <w:t>2022</w:t>
            </w:r>
            <w:r>
              <w:rPr>
                <w:rFonts w:ascii="宋体" w:hAnsi="宋体" w:eastAsia="宋体" w:cs="宋体"/>
                <w:spacing w:val="-56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31"/>
                <w:szCs w:val="31"/>
              </w:rPr>
              <w:t>年</w:t>
            </w:r>
            <w:r>
              <w:rPr>
                <w:rFonts w:ascii="宋体" w:hAnsi="宋体" w:eastAsia="宋体" w:cs="宋体"/>
                <w:spacing w:val="1"/>
                <w:sz w:val="31"/>
                <w:szCs w:val="31"/>
              </w:rPr>
              <w:t>*</w:t>
            </w:r>
            <w:r>
              <w:rPr>
                <w:rFonts w:ascii="仿宋" w:hAnsi="仿宋" w:eastAsia="仿宋" w:cs="仿宋"/>
                <w:spacing w:val="1"/>
                <w:sz w:val="31"/>
                <w:szCs w:val="31"/>
              </w:rPr>
              <w:t>月</w:t>
            </w:r>
            <w:r>
              <w:rPr>
                <w:rFonts w:ascii="仿宋" w:hAnsi="仿宋" w:eastAsia="仿宋" w:cs="仿宋"/>
                <w:sz w:val="31"/>
                <w:szCs w:val="3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31"/>
                <w:szCs w:val="31"/>
              </w:rPr>
              <w:t>*</w:t>
            </w:r>
            <w:r>
              <w:rPr>
                <w:rFonts w:ascii="仿宋" w:hAnsi="仿宋" w:eastAsia="仿宋" w:cs="仿宋"/>
                <w:spacing w:val="1"/>
                <w:sz w:val="31"/>
                <w:szCs w:val="31"/>
              </w:rPr>
              <w:t>日</w:t>
            </w:r>
          </w:p>
        </w:tc>
        <w:tc>
          <w:tcPr>
            <w:tcW w:w="2169" w:type="dxa"/>
            <w:vAlign w:val="top"/>
          </w:tcPr>
          <w:p>
            <w:pPr>
              <w:pStyle w:val="6"/>
            </w:pPr>
          </w:p>
        </w:tc>
        <w:tc>
          <w:tcPr>
            <w:tcW w:w="2214" w:type="dxa"/>
            <w:vAlign w:val="top"/>
          </w:tcPr>
          <w:p>
            <w:pPr>
              <w:pStyle w:val="6"/>
            </w:pPr>
          </w:p>
        </w:tc>
        <w:tc>
          <w:tcPr>
            <w:tcW w:w="115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600" w:type="dxa"/>
            <w:vAlign w:val="top"/>
          </w:tcPr>
          <w:p>
            <w:pPr>
              <w:pStyle w:val="6"/>
            </w:pPr>
          </w:p>
        </w:tc>
        <w:tc>
          <w:tcPr>
            <w:tcW w:w="1751" w:type="dxa"/>
            <w:vAlign w:val="top"/>
          </w:tcPr>
          <w:p>
            <w:pPr>
              <w:pStyle w:val="6"/>
            </w:pPr>
          </w:p>
        </w:tc>
        <w:tc>
          <w:tcPr>
            <w:tcW w:w="1689" w:type="dxa"/>
            <w:vAlign w:val="top"/>
          </w:tcPr>
          <w:p>
            <w:pPr>
              <w:pStyle w:val="6"/>
            </w:pPr>
          </w:p>
        </w:tc>
        <w:tc>
          <w:tcPr>
            <w:tcW w:w="1893" w:type="dxa"/>
            <w:vAlign w:val="top"/>
          </w:tcPr>
          <w:p>
            <w:pPr>
              <w:pStyle w:val="6"/>
            </w:pPr>
          </w:p>
        </w:tc>
        <w:tc>
          <w:tcPr>
            <w:tcW w:w="1792" w:type="dxa"/>
            <w:vAlign w:val="top"/>
          </w:tcPr>
          <w:p>
            <w:pPr>
              <w:pStyle w:val="6"/>
            </w:pPr>
          </w:p>
        </w:tc>
        <w:tc>
          <w:tcPr>
            <w:tcW w:w="2169" w:type="dxa"/>
            <w:vAlign w:val="top"/>
          </w:tcPr>
          <w:p>
            <w:pPr>
              <w:pStyle w:val="6"/>
            </w:pPr>
          </w:p>
        </w:tc>
        <w:tc>
          <w:tcPr>
            <w:tcW w:w="2214" w:type="dxa"/>
            <w:vAlign w:val="top"/>
          </w:tcPr>
          <w:p>
            <w:pPr>
              <w:pStyle w:val="6"/>
            </w:pPr>
          </w:p>
        </w:tc>
        <w:tc>
          <w:tcPr>
            <w:tcW w:w="1157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600" w:type="dxa"/>
            <w:vAlign w:val="top"/>
          </w:tcPr>
          <w:p>
            <w:pPr>
              <w:pStyle w:val="6"/>
            </w:pPr>
          </w:p>
        </w:tc>
        <w:tc>
          <w:tcPr>
            <w:tcW w:w="1751" w:type="dxa"/>
            <w:vAlign w:val="top"/>
          </w:tcPr>
          <w:p>
            <w:pPr>
              <w:pStyle w:val="6"/>
            </w:pPr>
          </w:p>
        </w:tc>
        <w:tc>
          <w:tcPr>
            <w:tcW w:w="1689" w:type="dxa"/>
            <w:vAlign w:val="top"/>
          </w:tcPr>
          <w:p>
            <w:pPr>
              <w:pStyle w:val="6"/>
            </w:pPr>
          </w:p>
        </w:tc>
        <w:tc>
          <w:tcPr>
            <w:tcW w:w="1893" w:type="dxa"/>
            <w:vAlign w:val="top"/>
          </w:tcPr>
          <w:p>
            <w:pPr>
              <w:pStyle w:val="6"/>
            </w:pPr>
          </w:p>
        </w:tc>
        <w:tc>
          <w:tcPr>
            <w:tcW w:w="1792" w:type="dxa"/>
            <w:vAlign w:val="top"/>
          </w:tcPr>
          <w:p>
            <w:pPr>
              <w:pStyle w:val="6"/>
            </w:pPr>
          </w:p>
        </w:tc>
        <w:tc>
          <w:tcPr>
            <w:tcW w:w="2169" w:type="dxa"/>
            <w:vAlign w:val="top"/>
          </w:tcPr>
          <w:p>
            <w:pPr>
              <w:pStyle w:val="6"/>
            </w:pPr>
          </w:p>
        </w:tc>
        <w:tc>
          <w:tcPr>
            <w:tcW w:w="2214" w:type="dxa"/>
            <w:vAlign w:val="top"/>
          </w:tcPr>
          <w:p>
            <w:pPr>
              <w:pStyle w:val="6"/>
            </w:pPr>
          </w:p>
        </w:tc>
        <w:tc>
          <w:tcPr>
            <w:tcW w:w="1157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before="82" w:line="241" w:lineRule="auto"/>
        <w:ind w:left="720" w:right="514" w:hanging="590"/>
        <w:rPr>
          <w:sz w:val="28"/>
          <w:szCs w:val="28"/>
        </w:rPr>
      </w:pPr>
      <w:r>
        <w:rPr>
          <w:spacing w:val="-3"/>
          <w:sz w:val="28"/>
          <w:szCs w:val="28"/>
        </w:rPr>
        <w:t>注：</w:t>
      </w:r>
      <w:r>
        <w:rPr>
          <w:spacing w:val="-7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以上台账只需填报未完成整改问题隐患清单，其中各部门单位要梳理</w:t>
      </w:r>
      <w:r>
        <w:rPr>
          <w:spacing w:val="-3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"/>
          <w:sz w:val="28"/>
          <w:szCs w:val="28"/>
        </w:rPr>
        <w:t>1</w:t>
      </w:r>
      <w:r>
        <w:rPr>
          <w:rFonts w:ascii="宋体" w:hAnsi="宋体" w:eastAsia="宋体" w:cs="宋体"/>
          <w:spacing w:val="-56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个以上需县级层面以及</w:t>
      </w:r>
      <w:r>
        <w:rPr>
          <w:spacing w:val="-3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"/>
          <w:sz w:val="28"/>
          <w:szCs w:val="28"/>
        </w:rPr>
        <w:t>1</w:t>
      </w:r>
      <w:r>
        <w:rPr>
          <w:rFonts w:ascii="宋体" w:hAnsi="宋体" w:eastAsia="宋体" w:cs="宋体"/>
          <w:spacing w:val="-56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个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以上需市级层面协调解决的问题隐患。</w:t>
      </w:r>
    </w:p>
    <w:p>
      <w:pPr>
        <w:spacing w:line="241" w:lineRule="auto"/>
        <w:rPr>
          <w:sz w:val="28"/>
          <w:szCs w:val="28"/>
        </w:rPr>
        <w:sectPr>
          <w:footerReference r:id="rId5" w:type="default"/>
          <w:pgSz w:w="16839" w:h="11906"/>
          <w:pgMar w:top="1012" w:right="1582" w:bottom="1838" w:left="1985" w:header="0" w:footer="1558" w:gutter="0"/>
          <w:cols w:space="720" w:num="1"/>
        </w:sectPr>
      </w:pPr>
    </w:p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=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2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0YjUzZGNiOWM3YjJjMTY0YjhjYTg3NTJlZGJjNzEifQ=="/>
  </w:docVars>
  <w:rsids>
    <w:rsidRoot w:val="38E61378"/>
    <w:rsid w:val="38E61378"/>
    <w:rsid w:val="6EF3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2024-01-03T02:42:00Z</dcterms:created>
  <dc:creator>Li(￣o￣) . z Z</dc:creator>
  <cp:lastModifiedBy>Li(￣o￣) . z Z</cp:lastModifiedBy>
  <dcterms:modified xsi:type="dcterms:W3CDTF">2024-01-03T02:54:11Z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039AB0F2F4AC4A4EAA9934673244BE89_11</vt:lpwstr>
  </property>
</Properties>
</file>