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CAC66">
      <w:pPr>
        <w:widowControl/>
        <w:spacing w:line="580" w:lineRule="exact"/>
        <w:jc w:val="center"/>
        <w:rPr>
          <w:rFonts w:hint="eastAsia" w:ascii="方正小标宋简体" w:hAnsi="方正小标宋简体" w:eastAsia="方正小标宋简体" w:cs="方正小标宋简体"/>
          <w:sz w:val="44"/>
          <w:szCs w:val="44"/>
          <w:lang w:eastAsia="zh-CN"/>
        </w:rPr>
      </w:pPr>
      <w:bookmarkStart w:id="1" w:name="_GoBack"/>
      <w:bookmarkEnd w:id="1"/>
      <w:r>
        <w:rPr>
          <w:rFonts w:hint="eastAsia" w:ascii="方正小标宋简体" w:hAnsi="方正小标宋简体" w:eastAsia="方正小标宋简体" w:cs="方正小标宋简体"/>
          <w:sz w:val="44"/>
          <w:szCs w:val="44"/>
          <w:lang w:eastAsia="zh-CN"/>
        </w:rPr>
        <w:t>均村乡</w:t>
      </w:r>
      <w:r>
        <w:rPr>
          <w:rFonts w:hint="eastAsia" w:ascii="方正小标宋简体" w:hAnsi="方正小标宋简体" w:eastAsia="方正小标宋简体" w:cs="方正小标宋简体"/>
          <w:sz w:val="44"/>
          <w:szCs w:val="44"/>
        </w:rPr>
        <w:t>农</w:t>
      </w:r>
      <w:r>
        <w:rPr>
          <w:rFonts w:hint="eastAsia" w:ascii="方正小标宋简体" w:hAnsi="方正小标宋简体" w:eastAsia="方正小标宋简体" w:cs="方正小标宋简体"/>
          <w:sz w:val="44"/>
          <w:szCs w:val="44"/>
          <w:lang w:val="en-US" w:eastAsia="zh-CN"/>
        </w:rPr>
        <w:t>村</w:t>
      </w:r>
      <w:r>
        <w:rPr>
          <w:rFonts w:hint="eastAsia" w:ascii="方正小标宋简体" w:hAnsi="方正小标宋简体" w:eastAsia="方正小标宋简体" w:cs="方正小标宋简体"/>
          <w:sz w:val="44"/>
          <w:szCs w:val="44"/>
        </w:rPr>
        <w:t>建房规范管理实施方案</w:t>
      </w:r>
    </w:p>
    <w:p w14:paraId="752C7BF6">
      <w:pPr>
        <w:widowControl/>
        <w:spacing w:line="580" w:lineRule="exact"/>
        <w:ind w:firstLine="880" w:firstLineChars="200"/>
        <w:rPr>
          <w:rFonts w:hint="eastAsia" w:ascii="方正小标宋简体" w:hAnsi="方正小标宋简体" w:eastAsia="方正小标宋简体" w:cs="方正小标宋简体"/>
          <w:sz w:val="44"/>
          <w:szCs w:val="44"/>
          <w:lang w:eastAsia="zh-CN"/>
        </w:rPr>
      </w:pPr>
    </w:p>
    <w:p w14:paraId="4BE503F8">
      <w:pPr>
        <w:widowControl/>
        <w:spacing w:line="580" w:lineRule="exact"/>
        <w:ind w:firstLine="640" w:firstLineChars="200"/>
        <w:rPr>
          <w:rFonts w:ascii="方正小标宋简体" w:hAnsi="方正小标宋简体" w:eastAsia="方正小标宋简体" w:cs="方正小标宋简体"/>
          <w:sz w:val="32"/>
          <w:szCs w:val="32"/>
        </w:rPr>
      </w:pPr>
      <w:r>
        <w:rPr>
          <w:rStyle w:val="17"/>
          <w:rFonts w:hint="eastAsia" w:ascii="仿宋_GB2312" w:hAnsi="仿宋_GB2312" w:eastAsia="仿宋_GB2312" w:cs="仿宋_GB2312"/>
          <w:sz w:val="32"/>
          <w:szCs w:val="32"/>
        </w:rPr>
        <w:t>为严格落实耕地保护政策，坚决打击违法用地、违规建房和私自买卖集体土地行为，不断加强农村土地利用和建房管理，根据《中华人民共和国土地管理法》《中华人民共和国城乡规划法》《江西省实施〈中华人民共和国土地管理法〉办法》等相关法律规定，依据《江西省农村村民自建房管理办法》《赣州市农村住房建设管理条例》及《兴国县农村宅基地规范管理工作实施意见》</w:t>
      </w:r>
      <w:r>
        <w:rPr>
          <w:rFonts w:hint="eastAsia" w:ascii="仿宋_GB2312" w:hAnsi="Times New Roman" w:eastAsia="仿宋_GB2312" w:cs="仿宋_GB2312"/>
          <w:kern w:val="0"/>
          <w:sz w:val="32"/>
          <w:szCs w:val="32"/>
        </w:rPr>
        <w:t>等法律法规</w:t>
      </w:r>
      <w:r>
        <w:rPr>
          <w:rStyle w:val="17"/>
          <w:rFonts w:hint="eastAsia" w:ascii="仿宋_GB2312" w:hAnsi="仿宋_GB2312" w:eastAsia="仿宋_GB2312" w:cs="仿宋_GB2312"/>
          <w:sz w:val="32"/>
          <w:szCs w:val="32"/>
        </w:rPr>
        <w:t>，结合我乡实际，制定本方案。</w:t>
      </w:r>
    </w:p>
    <w:p w14:paraId="078AD24C">
      <w:pPr>
        <w:spacing w:line="580" w:lineRule="exact"/>
        <w:ind w:left="669"/>
        <w:outlineLvl w:val="0"/>
        <w:rPr>
          <w:rStyle w:val="17"/>
          <w:rFonts w:ascii="黑体" w:hAnsi="黑体" w:eastAsia="黑体" w:cs="黑体"/>
          <w:sz w:val="32"/>
          <w:szCs w:val="32"/>
        </w:rPr>
      </w:pPr>
      <w:r>
        <w:rPr>
          <w:rStyle w:val="17"/>
          <w:rFonts w:hint="eastAsia" w:ascii="黑体" w:hAnsi="黑体" w:eastAsia="黑体" w:cs="黑体"/>
          <w:sz w:val="32"/>
          <w:szCs w:val="32"/>
        </w:rPr>
        <w:t>一、农村建房基本原则</w:t>
      </w:r>
    </w:p>
    <w:p w14:paraId="58F6D81C">
      <w:pPr>
        <w:widowControl/>
        <w:spacing w:line="580" w:lineRule="exact"/>
        <w:ind w:firstLine="643" w:firstLineChars="200"/>
        <w:jc w:val="left"/>
        <w:rPr>
          <w:rStyle w:val="17"/>
          <w:rFonts w:ascii="仿宋_GB2312" w:hAnsi="仿宋_GB2312" w:eastAsia="仿宋_GB2312" w:cs="仿宋_GB2312"/>
          <w:sz w:val="32"/>
          <w:szCs w:val="32"/>
        </w:rPr>
      </w:pPr>
      <w:r>
        <w:rPr>
          <w:rStyle w:val="17"/>
          <w:rFonts w:hint="eastAsia" w:ascii="楷体_GB2312" w:hAnsi="楷体_GB2312" w:eastAsia="楷体_GB2312" w:cs="楷体_GB2312"/>
          <w:b/>
          <w:bCs/>
          <w:sz w:val="32"/>
          <w:szCs w:val="32"/>
        </w:rPr>
        <w:t>(一)符合规划原则。</w:t>
      </w:r>
      <w:r>
        <w:rPr>
          <w:rStyle w:val="17"/>
          <w:rFonts w:hint="eastAsia" w:ascii="仿宋_GB2312" w:hAnsi="仿宋_GB2312" w:eastAsia="仿宋_GB2312" w:cs="仿宋_GB2312"/>
          <w:sz w:val="32"/>
          <w:szCs w:val="32"/>
        </w:rPr>
        <w:t>严格落实土地用途管理，农村村民建住宅应当符合各级国土空间规划、村庄规划，不得占用永久基本农田，并尽量使用原有的宅基地和村内空闲地。涉及占用农用地的，应当依法先行办理农用地转用手续，以</w:t>
      </w:r>
      <w:r>
        <w:rPr>
          <w:rStyle w:val="17"/>
          <w:rFonts w:hint="eastAsia" w:ascii="仿宋_GB2312" w:hAnsi="仿宋_GB2312" w:eastAsia="仿宋_GB2312" w:cs="仿宋_GB2312"/>
          <w:sz w:val="32"/>
          <w:szCs w:val="32"/>
          <w:lang w:val="en-US"/>
        </w:rPr>
        <w:t>村</w:t>
      </w:r>
      <w:r>
        <w:rPr>
          <w:rStyle w:val="17"/>
          <w:rFonts w:hint="eastAsia" w:ascii="仿宋_GB2312" w:hAnsi="仿宋_GB2312" w:eastAsia="仿宋_GB2312" w:cs="仿宋_GB2312"/>
          <w:sz w:val="32"/>
          <w:szCs w:val="32"/>
        </w:rPr>
        <w:t>为单位，依法落实占补平衡。不符合规划要求的，不得批准建房。</w:t>
      </w:r>
      <w:r>
        <w:rPr>
          <w:rStyle w:val="17"/>
          <w:rFonts w:hint="eastAsia" w:ascii="仿宋_GB2312" w:hAnsi="仿宋_GB2312" w:eastAsia="仿宋_GB2312" w:cs="仿宋_GB2312"/>
          <w:sz w:val="32"/>
          <w:szCs w:val="32"/>
        </w:rPr>
        <w:drawing>
          <wp:anchor distT="0" distB="0" distL="0" distR="0" simplePos="0" relativeHeight="251660288" behindDoc="1" locked="0" layoutInCell="1" allowOverlap="1">
            <wp:simplePos x="0" y="0"/>
            <wp:positionH relativeFrom="column">
              <wp:posOffset>3451225</wp:posOffset>
            </wp:positionH>
            <wp:positionV relativeFrom="paragraph">
              <wp:posOffset>251460</wp:posOffset>
            </wp:positionV>
            <wp:extent cx="1530350" cy="15621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5"/>
                    <a:stretch>
                      <a:fillRect/>
                    </a:stretch>
                  </pic:blipFill>
                  <pic:spPr>
                    <a:xfrm>
                      <a:off x="0" y="0"/>
                      <a:ext cx="1530342" cy="1562089"/>
                    </a:xfrm>
                    <a:prstGeom prst="rect">
                      <a:avLst/>
                    </a:prstGeom>
                  </pic:spPr>
                </pic:pic>
              </a:graphicData>
            </a:graphic>
          </wp:anchor>
        </w:drawing>
      </w:r>
      <w:r>
        <w:rPr>
          <w:rStyle w:val="17"/>
          <w:rFonts w:hint="eastAsia" w:ascii="仿宋_GB2312" w:hAnsi="仿宋_GB2312" w:eastAsia="仿宋_GB2312" w:cs="仿宋_GB2312"/>
          <w:sz w:val="32"/>
          <w:szCs w:val="32"/>
        </w:rPr>
        <w:t>编制国土空间规划、村庄规划应当统筹合理安排宅基地用地，改善农民居住环境和条件。</w:t>
      </w:r>
    </w:p>
    <w:p w14:paraId="4C822A12">
      <w:pPr>
        <w:widowControl/>
        <w:spacing w:line="580" w:lineRule="exact"/>
        <w:ind w:firstLine="643" w:firstLineChars="200"/>
        <w:jc w:val="left"/>
        <w:rPr>
          <w:rStyle w:val="17"/>
          <w:rFonts w:hint="eastAsia" w:ascii="仿宋_GB2312" w:hAnsi="仿宋_GB2312" w:eastAsia="仿宋_GB2312" w:cs="仿宋_GB2312"/>
          <w:sz w:val="32"/>
          <w:szCs w:val="32"/>
        </w:rPr>
      </w:pPr>
      <w:r>
        <w:rPr>
          <w:rStyle w:val="17"/>
          <w:rFonts w:hint="eastAsia" w:ascii="楷体_GB2312" w:hAnsi="楷体_GB2312" w:eastAsia="楷体_GB2312" w:cs="楷体_GB2312"/>
          <w:b/>
          <w:bCs/>
          <w:sz w:val="32"/>
          <w:szCs w:val="32"/>
        </w:rPr>
        <w:t>(二)先批后建原则。</w:t>
      </w:r>
      <w:r>
        <w:rPr>
          <w:rStyle w:val="17"/>
          <w:rFonts w:hint="eastAsia" w:ascii="仿宋_GB2312" w:hAnsi="仿宋_GB2312" w:eastAsia="仿宋_GB2312" w:cs="仿宋_GB2312"/>
          <w:sz w:val="32"/>
          <w:szCs w:val="32"/>
        </w:rPr>
        <w:t>严格把控宅基地申请人资格条件关，依法落实“一户一宅”规定，确保户有所居，农村村民一户只能拥有一处宅基地。严厉禁止未批先建、超面积占用宅基地等违法违规行为。经批准异地建造住宅的或集中安置的，应严格按照“建新拆旧”要求，将原宅基地交还农村集体经济组织。农村村民出卖、出租、赠与住宅后，再申请宅基地的不予批准。</w:t>
      </w:r>
    </w:p>
    <w:p w14:paraId="33809893">
      <w:pPr>
        <w:widowControl/>
        <w:spacing w:line="580" w:lineRule="exact"/>
        <w:ind w:firstLine="643" w:firstLineChars="200"/>
        <w:jc w:val="left"/>
        <w:rPr>
          <w:rStyle w:val="17"/>
          <w:rFonts w:hint="eastAsia" w:ascii="仿宋_GB2312" w:hAnsi="仿宋_GB2312" w:eastAsia="仿宋_GB2312" w:cs="仿宋_GB2312"/>
          <w:sz w:val="32"/>
          <w:szCs w:val="32"/>
        </w:rPr>
      </w:pPr>
      <w:r>
        <w:rPr>
          <w:rStyle w:val="17"/>
          <w:rFonts w:hint="eastAsia" w:ascii="楷体_GB2312" w:hAnsi="楷体_GB2312" w:eastAsia="楷体_GB2312" w:cs="楷体_GB2312"/>
          <w:b/>
          <w:bCs/>
          <w:sz w:val="32"/>
          <w:szCs w:val="32"/>
        </w:rPr>
        <w:t>(三)面积法定原则。</w:t>
      </w:r>
      <w:r>
        <w:rPr>
          <w:rStyle w:val="17"/>
          <w:rFonts w:hint="eastAsia" w:ascii="仿宋_GB2312" w:hAnsi="仿宋_GB2312" w:eastAsia="仿宋_GB2312" w:cs="仿宋_GB2312"/>
          <w:sz w:val="32"/>
          <w:szCs w:val="32"/>
        </w:rPr>
        <w:t>村民自建房是指村民在宅基地上建设的自住房屋，包括新建、改建、扩建、翻建的住宅；农村宅基地是农村村民用于建造住宅及其附属设施的集体建设用地，包括住房、附属用房和庭院等用地。严格控制宅基地和住房建筑面积，占用原有宅基地和村内空闲地的，每户宅基地不得超过一百八十平方米；确需占用耕地的，每户宅基地不得超过一百二十平方米；因地形条件限制、居住分散而占用荒山、荒坡的，每户宅基地不得超过二百四十平方米。农村住房建设每户建筑面积不得超过三百五十平方米，住房层数不得超过三层，住房檐口高度不得超过十一米。</w:t>
      </w:r>
    </w:p>
    <w:p w14:paraId="1A3C3A1C">
      <w:pPr>
        <w:pStyle w:val="3"/>
        <w:spacing w:line="580" w:lineRule="exact"/>
        <w:ind w:firstLine="640" w:firstLineChars="200"/>
        <w:outlineLvl w:val="0"/>
        <w:rPr>
          <w:rStyle w:val="17"/>
          <w:rFonts w:ascii="黑体" w:hAnsi="黑体" w:eastAsia="黑体" w:cs="黑体"/>
          <w:sz w:val="32"/>
          <w:szCs w:val="32"/>
        </w:rPr>
      </w:pPr>
      <w:r>
        <w:rPr>
          <w:rStyle w:val="17"/>
          <w:rFonts w:hint="eastAsia" w:ascii="黑体" w:hAnsi="黑体" w:eastAsia="黑体" w:cs="黑体"/>
          <w:sz w:val="32"/>
          <w:szCs w:val="32"/>
        </w:rPr>
        <w:t>二、优化农村建房审批流程</w:t>
      </w:r>
    </w:p>
    <w:p w14:paraId="2E260514">
      <w:pPr>
        <w:pStyle w:val="3"/>
        <w:spacing w:line="580" w:lineRule="exact"/>
        <w:ind w:firstLine="604" w:firstLineChars="200"/>
        <w:outlineLvl w:val="0"/>
        <w:rPr>
          <w:rStyle w:val="17"/>
          <w:rFonts w:ascii="仿宋_GB2312" w:hAnsi="仿宋_GB2312" w:eastAsia="仿宋_GB2312" w:cs="仿宋_GB2312"/>
          <w:spacing w:val="-9"/>
          <w:sz w:val="32"/>
          <w:szCs w:val="32"/>
        </w:rPr>
      </w:pPr>
      <w:r>
        <w:rPr>
          <w:rStyle w:val="17"/>
          <w:rFonts w:hint="eastAsia" w:ascii="仿宋_GB2312" w:hAnsi="仿宋_GB2312" w:eastAsia="仿宋_GB2312" w:cs="仿宋_GB2312"/>
          <w:spacing w:val="-9"/>
          <w:sz w:val="32"/>
          <w:szCs w:val="32"/>
        </w:rPr>
        <w:t>各村（社区）要严格按照《兴国县农村村民申请宅基地建房办事指南》（兴宅办发〔2024〕1 号）规定的程序及要求，指导村民申请宅基地建房，进一步规范农村建房审批流程，具体程序及步骤见（附件1）。</w:t>
      </w:r>
    </w:p>
    <w:p w14:paraId="09C41297">
      <w:pPr>
        <w:pStyle w:val="3"/>
        <w:spacing w:line="580" w:lineRule="exact"/>
        <w:ind w:firstLine="640" w:firstLineChars="200"/>
        <w:rPr>
          <w:rStyle w:val="17"/>
          <w:rFonts w:ascii="黑体" w:hAnsi="黑体" w:eastAsia="黑体" w:cs="黑体"/>
          <w:sz w:val="32"/>
          <w:szCs w:val="32"/>
        </w:rPr>
      </w:pPr>
      <w:r>
        <w:rPr>
          <w:rStyle w:val="17"/>
          <w:rFonts w:hint="eastAsia" w:ascii="黑体" w:hAnsi="黑体" w:eastAsia="黑体" w:cs="黑体"/>
          <w:sz w:val="32"/>
          <w:szCs w:val="32"/>
        </w:rPr>
        <w:t>三、加强农村建房监管</w:t>
      </w:r>
    </w:p>
    <w:p w14:paraId="05B022EB">
      <w:pPr>
        <w:spacing w:line="580" w:lineRule="exact"/>
        <w:ind w:firstLine="643" w:firstLineChars="200"/>
        <w:rPr>
          <w:rFonts w:ascii="仿宋" w:hAnsi="仿宋" w:eastAsia="仿宋" w:cs="仿宋"/>
          <w:sz w:val="32"/>
          <w:szCs w:val="32"/>
        </w:rPr>
      </w:pPr>
      <w:r>
        <w:rPr>
          <w:rStyle w:val="17"/>
          <w:rFonts w:hint="eastAsia" w:ascii="楷体_GB2312" w:hAnsi="楷体_GB2312" w:eastAsia="楷体_GB2312" w:cs="楷体_GB2312"/>
          <w:b/>
          <w:bCs/>
          <w:sz w:val="32"/>
          <w:szCs w:val="32"/>
        </w:rPr>
        <w:t>（一）加强农</w:t>
      </w:r>
      <w:r>
        <w:rPr>
          <w:rStyle w:val="17"/>
          <w:rFonts w:hint="eastAsia" w:ascii="楷体_GB2312" w:hAnsi="楷体_GB2312" w:eastAsia="楷体_GB2312" w:cs="楷体_GB2312"/>
          <w:b/>
          <w:bCs/>
          <w:sz w:val="32"/>
          <w:szCs w:val="32"/>
          <w:lang w:val="en-US"/>
        </w:rPr>
        <w:t>村</w:t>
      </w:r>
      <w:r>
        <w:rPr>
          <w:rStyle w:val="17"/>
          <w:rFonts w:hint="eastAsia" w:ascii="楷体_GB2312" w:hAnsi="楷体_GB2312" w:eastAsia="楷体_GB2312" w:cs="楷体_GB2312"/>
          <w:b/>
          <w:bCs/>
          <w:sz w:val="32"/>
          <w:szCs w:val="32"/>
        </w:rPr>
        <w:t>建房源头管控。</w:t>
      </w:r>
      <w:r>
        <w:rPr>
          <w:rStyle w:val="17"/>
          <w:rFonts w:hint="eastAsia" w:ascii="仿宋_GB2312" w:hAnsi="仿宋_GB2312" w:eastAsia="仿宋_GB2312" w:cs="仿宋_GB2312"/>
          <w:b/>
          <w:bCs/>
          <w:sz w:val="32"/>
          <w:szCs w:val="32"/>
        </w:rPr>
        <w:t>一是</w:t>
      </w:r>
      <w:r>
        <w:rPr>
          <w:rStyle w:val="17"/>
          <w:rFonts w:hint="eastAsia" w:ascii="仿宋_GB2312" w:hAnsi="仿宋_GB2312" w:eastAsia="仿宋_GB2312" w:cs="仿宋_GB2312"/>
          <w:sz w:val="32"/>
          <w:szCs w:val="32"/>
        </w:rPr>
        <w:t>基本条件方面，年满18周岁，户口在本集体经济组织、符合“一户一宅”的村民等均可申请建房，根据《公路安全保护条例》第十一条规定公路建筑控制区的范围，从公路用地外缘起向外的距离标准为：1.国道不少于20米；2.省道不少于15米；3.县道不少于10米；4.乡道不少于5米；5.村道不少于3米。</w:t>
      </w:r>
      <w:r>
        <w:rPr>
          <w:rStyle w:val="17"/>
          <w:rFonts w:hint="eastAsia" w:ascii="仿宋_GB2312" w:hAnsi="仿宋_GB2312" w:eastAsia="仿宋_GB2312" w:cs="仿宋_GB2312"/>
          <w:b/>
          <w:bCs/>
          <w:sz w:val="32"/>
          <w:szCs w:val="32"/>
        </w:rPr>
        <w:t>二是</w:t>
      </w:r>
      <w:r>
        <w:rPr>
          <w:rStyle w:val="17"/>
          <w:rFonts w:hint="eastAsia" w:ascii="仿宋_GB2312" w:hAnsi="仿宋_GB2312" w:eastAsia="仿宋_GB2312" w:cs="仿宋_GB2312"/>
          <w:sz w:val="32"/>
          <w:szCs w:val="32"/>
        </w:rPr>
        <w:t>地质灾害防治方面，对于存在地质灾害安全隐患，隐患未消除的，一律不予审批建房。</w:t>
      </w:r>
      <w:r>
        <w:rPr>
          <w:rStyle w:val="17"/>
          <w:rFonts w:hint="eastAsia" w:ascii="仿宋_GB2312" w:hAnsi="仿宋_GB2312" w:eastAsia="仿宋_GB2312" w:cs="仿宋_GB2312"/>
          <w:sz w:val="32"/>
          <w:szCs w:val="32"/>
          <w:lang w:val="en-US"/>
        </w:rPr>
        <w:t>对</w:t>
      </w:r>
      <w:r>
        <w:rPr>
          <w:rStyle w:val="17"/>
          <w:rFonts w:hint="eastAsia" w:ascii="仿宋_GB2312" w:hAnsi="仿宋_GB2312" w:eastAsia="仿宋_GB2312" w:cs="仿宋_GB2312"/>
          <w:sz w:val="32"/>
          <w:szCs w:val="32"/>
        </w:rPr>
        <w:t>屋后墙与坡脚距离小于3米、屋后坡高大于6米、坡度大于4</w:t>
      </w:r>
      <w:r>
        <w:rPr>
          <w:rStyle w:val="17"/>
          <w:rFonts w:ascii="仿宋_GB2312" w:hAnsi="仿宋_GB2312" w:eastAsia="仿宋_GB2312" w:cs="仿宋_GB2312"/>
          <w:sz w:val="32"/>
          <w:szCs w:val="32"/>
        </w:rPr>
        <w:t>5</w:t>
      </w:r>
      <w:r>
        <w:rPr>
          <w:rStyle w:val="17"/>
          <w:rFonts w:hint="eastAsia" w:ascii="仿宋_GB2312" w:hAnsi="仿宋_GB2312" w:eastAsia="仿宋_GB2312" w:cs="仿宋_GB2312"/>
          <w:sz w:val="32"/>
          <w:szCs w:val="32"/>
        </w:rPr>
        <w:t>度的临坡切坡建房，必须严格落实“先切坡，后建房”刚性要求，</w:t>
      </w:r>
      <w:r>
        <w:rPr>
          <w:rFonts w:hint="eastAsia" w:ascii="仿宋_GB2312" w:hAnsi="仿宋" w:eastAsia="仿宋_GB2312" w:cs="仿宋"/>
          <w:sz w:val="32"/>
          <w:szCs w:val="32"/>
        </w:rPr>
        <w:t>指导村民选择自然环境好、符合安全要求、适宜建设的区域建房，禁止在高山、陡坡等区域切坡建房、禁止在河堤边、库区旁以及松土区或不稳定的岩层斜坡体上切坡建房。实行地质灾害危险性</w:t>
      </w:r>
      <w:r>
        <w:rPr>
          <w:rFonts w:hint="eastAsia" w:ascii="仿宋_GB2312" w:hAnsi="仿宋" w:eastAsia="仿宋_GB2312" w:cs="仿宋"/>
          <w:sz w:val="32"/>
          <w:szCs w:val="32"/>
          <w:lang w:val="en-US" w:eastAsia="zh-CN"/>
        </w:rPr>
        <w:t>告知</w:t>
      </w:r>
      <w:r>
        <w:rPr>
          <w:rFonts w:hint="eastAsia" w:ascii="仿宋_GB2312" w:hAnsi="仿宋" w:eastAsia="仿宋_GB2312" w:cs="仿宋"/>
          <w:sz w:val="32"/>
          <w:szCs w:val="32"/>
        </w:rPr>
        <w:t>制度，</w:t>
      </w:r>
      <w:r>
        <w:rPr>
          <w:rFonts w:hint="eastAsia" w:ascii="仿宋_GB2312" w:hAnsi="仿宋" w:eastAsia="仿宋_GB2312" w:cs="仿宋"/>
          <w:sz w:val="32"/>
          <w:szCs w:val="32"/>
          <w:lang w:eastAsia="zh-CN"/>
        </w:rPr>
        <w:t>乡</w:t>
      </w:r>
      <w:r>
        <w:rPr>
          <w:rFonts w:hint="eastAsia" w:ascii="仿宋_GB2312" w:hAnsi="仿宋" w:eastAsia="仿宋_GB2312" w:cs="仿宋"/>
          <w:sz w:val="32"/>
          <w:szCs w:val="32"/>
          <w:lang w:val="en-US" w:eastAsia="zh-CN"/>
        </w:rPr>
        <w:t>宅改办人员</w:t>
      </w:r>
      <w:r>
        <w:rPr>
          <w:rFonts w:hint="eastAsia" w:ascii="仿宋_GB2312" w:hAnsi="仿宋" w:eastAsia="仿宋_GB2312" w:cs="仿宋"/>
          <w:sz w:val="32"/>
          <w:szCs w:val="32"/>
        </w:rPr>
        <w:t>对切坡建房选址</w:t>
      </w:r>
      <w:r>
        <w:rPr>
          <w:rFonts w:hint="eastAsia" w:ascii="仿宋_GB2312" w:hAnsi="仿宋" w:eastAsia="仿宋_GB2312" w:cs="仿宋"/>
          <w:sz w:val="32"/>
          <w:szCs w:val="32"/>
          <w:lang w:val="en-US" w:eastAsia="zh-CN"/>
        </w:rPr>
        <w:t>现场踏勘，现场</w:t>
      </w:r>
      <w:r>
        <w:rPr>
          <w:rFonts w:hint="eastAsia" w:ascii="仿宋_GB2312" w:hAnsi="仿宋" w:eastAsia="仿宋_GB2312" w:cs="仿宋"/>
          <w:sz w:val="32"/>
          <w:szCs w:val="32"/>
        </w:rPr>
        <w:t>提出切坡建房适宜性意见，</w:t>
      </w:r>
      <w:r>
        <w:rPr>
          <w:rFonts w:hint="eastAsia" w:ascii="仿宋_GB2312" w:hAnsi="仿宋" w:eastAsia="仿宋_GB2312" w:cs="仿宋"/>
          <w:sz w:val="32"/>
          <w:szCs w:val="32"/>
          <w:lang w:val="en-US" w:eastAsia="zh-CN"/>
        </w:rPr>
        <w:t>填写</w:t>
      </w:r>
      <w:r>
        <w:rPr>
          <w:rFonts w:hint="eastAsia" w:ascii="仿宋_GB2312" w:hAnsi="仿宋" w:eastAsia="仿宋_GB2312" w:cs="仿宋"/>
          <w:sz w:val="32"/>
          <w:szCs w:val="32"/>
        </w:rPr>
        <w:t>地质灾害危险性</w:t>
      </w:r>
      <w:r>
        <w:rPr>
          <w:rFonts w:hint="eastAsia" w:ascii="仿宋_GB2312" w:hAnsi="仿宋" w:eastAsia="仿宋_GB2312" w:cs="仿宋"/>
          <w:sz w:val="32"/>
          <w:szCs w:val="32"/>
          <w:lang w:val="en-US" w:eastAsia="zh-CN"/>
        </w:rPr>
        <w:t>知书</w:t>
      </w:r>
      <w:r>
        <w:rPr>
          <w:rFonts w:hint="eastAsia" w:ascii="仿宋_GB2312" w:hAnsi="Times New Roman" w:eastAsia="仿宋_GB2312" w:cs="仿宋_GB2312"/>
          <w:kern w:val="0"/>
          <w:sz w:val="32"/>
          <w:szCs w:val="32"/>
        </w:rPr>
        <w:t>（具体见附件</w:t>
      </w:r>
      <w:r>
        <w:rPr>
          <w:rFonts w:hint="eastAsia" w:ascii="仿宋_GB2312" w:hAnsi="Times New Roman" w:eastAsia="仿宋_GB2312" w:cs="仿宋_GB2312"/>
          <w:kern w:val="0"/>
          <w:sz w:val="32"/>
          <w:szCs w:val="32"/>
          <w:lang w:val="en-US" w:eastAsia="zh-CN"/>
        </w:rPr>
        <w:t>2</w:t>
      </w:r>
      <w:r>
        <w:rPr>
          <w:rFonts w:hint="eastAsia" w:ascii="仿宋_GB2312" w:hAnsi="Times New Roman" w:eastAsia="仿宋_GB2312" w:cs="仿宋_GB2312"/>
          <w:kern w:val="0"/>
          <w:sz w:val="32"/>
          <w:szCs w:val="32"/>
        </w:rPr>
        <w:t>）</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指导农户先治坡后建房，消除地质灾害隐患后方可按程序审批及动工建设，严格控制新的地质灾害隐患产生。</w:t>
      </w:r>
    </w:p>
    <w:p w14:paraId="316166D2">
      <w:pPr>
        <w:adjustRightInd w:val="0"/>
        <w:spacing w:line="580" w:lineRule="exact"/>
        <w:ind w:firstLine="643" w:firstLineChars="200"/>
        <w:jc w:val="left"/>
        <w:rPr>
          <w:rStyle w:val="17"/>
          <w:rFonts w:ascii="仿宋_GB2312" w:hAnsi="仿宋_GB2312" w:eastAsia="仿宋_GB2312" w:cs="仿宋_GB2312"/>
          <w:sz w:val="32"/>
          <w:szCs w:val="32"/>
        </w:rPr>
      </w:pPr>
      <w:r>
        <w:rPr>
          <w:rStyle w:val="17"/>
          <w:rFonts w:hint="eastAsia" w:ascii="楷体_GB2312" w:hAnsi="楷体_GB2312" w:eastAsia="楷体_GB2312" w:cs="楷体_GB2312"/>
          <w:b/>
          <w:bCs/>
          <w:sz w:val="32"/>
          <w:szCs w:val="32"/>
        </w:rPr>
        <w:t>（二）严格用地建房全过程管理。</w:t>
      </w:r>
      <w:r>
        <w:rPr>
          <w:rFonts w:hint="eastAsia" w:ascii="仿宋_GB2312" w:hAnsi="Times New Roman" w:eastAsia="仿宋_GB2312" w:cs="仿宋_GB2312"/>
          <w:kern w:val="0"/>
          <w:sz w:val="32"/>
          <w:szCs w:val="32"/>
          <w:lang w:val="en-US"/>
        </w:rPr>
        <w:t>乡执法队</w:t>
      </w:r>
      <w:r>
        <w:rPr>
          <w:rFonts w:hint="eastAsia" w:ascii="仿宋_GB2312" w:hAnsi="Times New Roman" w:eastAsia="仿宋_GB2312" w:cs="仿宋_GB2312"/>
          <w:kern w:val="0"/>
          <w:sz w:val="32"/>
          <w:szCs w:val="32"/>
          <w:lang w:val="en-US" w:eastAsia="zh-CN"/>
        </w:rPr>
        <w:t>、宅改办</w:t>
      </w:r>
      <w:r>
        <w:rPr>
          <w:rFonts w:hint="eastAsia" w:ascii="仿宋_GB2312" w:hAnsi="Times New Roman" w:eastAsia="仿宋_GB2312" w:cs="仿宋_GB2312"/>
          <w:kern w:val="0"/>
          <w:sz w:val="32"/>
          <w:szCs w:val="32"/>
        </w:rPr>
        <w:t>及各村、社区要开展常态化巡查执法，加强农村建房的全流程监管，严格落实宅基地申请审查到场、批准后丈量批放到场、住宅建成后核查到场、建房现场要有公示牌的“三到场一公示”要求。指导村民委员会加强日常巡查，及时发现、制止和上报农村住房建设违法违规情况，做好施工过程监管情况记录。对于违法违规建房的，由</w:t>
      </w:r>
      <w:r>
        <w:rPr>
          <w:rFonts w:hint="eastAsia" w:ascii="仿宋_GB2312" w:hAnsi="Times New Roman" w:eastAsia="仿宋_GB2312" w:cs="仿宋_GB2312"/>
          <w:kern w:val="0"/>
          <w:sz w:val="32"/>
          <w:szCs w:val="32"/>
          <w:lang w:eastAsia="zh-CN"/>
        </w:rPr>
        <w:t>乡</w:t>
      </w:r>
      <w:r>
        <w:rPr>
          <w:rFonts w:hint="eastAsia" w:ascii="仿宋_GB2312" w:hAnsi="Times New Roman" w:eastAsia="仿宋_GB2312" w:cs="仿宋_GB2312"/>
          <w:kern w:val="0"/>
          <w:sz w:val="32"/>
          <w:szCs w:val="32"/>
          <w:lang w:val="en-US" w:eastAsia="zh-CN"/>
        </w:rPr>
        <w:t>执法队</w:t>
      </w:r>
      <w:r>
        <w:rPr>
          <w:rFonts w:hint="eastAsia" w:ascii="仿宋_GB2312" w:hAnsi="Times New Roman" w:eastAsia="仿宋_GB2312" w:cs="仿宋_GB2312"/>
          <w:kern w:val="0"/>
          <w:sz w:val="32"/>
          <w:szCs w:val="32"/>
        </w:rPr>
        <w:t>责令停止建设、限期整改；逾期不整改的，依法予以拆除。对新增乱占耕地建房行为实行“零容忍”，发现一宗，查处一宗，逐宗跟踪督办，确保整改到位。</w:t>
      </w:r>
      <w:r>
        <w:rPr>
          <w:rFonts w:hint="eastAsia" w:ascii="仿宋_GB2312" w:hAnsi="Times New Roman" w:eastAsia="仿宋_GB2312" w:cs="仿宋_GB2312"/>
          <w:kern w:val="0"/>
          <w:sz w:val="32"/>
          <w:szCs w:val="32"/>
          <w:lang w:eastAsia="zh-CN"/>
        </w:rPr>
        <w:t>乡</w:t>
      </w:r>
      <w:r>
        <w:rPr>
          <w:rFonts w:hint="eastAsia" w:ascii="仿宋_GB2312" w:hAnsi="Times New Roman" w:eastAsia="仿宋_GB2312" w:cs="仿宋_GB2312"/>
          <w:kern w:val="0"/>
          <w:sz w:val="32"/>
          <w:szCs w:val="32"/>
        </w:rPr>
        <w:t>、村两级要建立巡查台账，详细填写《兴国县农村宅基地建房监管巡查情况明细表》（详见附件</w:t>
      </w:r>
      <w:r>
        <w:rPr>
          <w:rFonts w:hint="eastAsia" w:ascii="仿宋_GB2312" w:hAnsi="Times New Roman" w:eastAsia="仿宋_GB2312" w:cs="仿宋_GB2312"/>
          <w:kern w:val="0"/>
          <w:sz w:val="32"/>
          <w:szCs w:val="32"/>
          <w:lang w:val="en-US" w:eastAsia="zh-CN"/>
        </w:rPr>
        <w:t>3</w:t>
      </w:r>
      <w:r>
        <w:rPr>
          <w:rFonts w:hint="eastAsia" w:ascii="仿宋_GB2312" w:hAnsi="Times New Roman" w:eastAsia="仿宋_GB2312" w:cs="仿宋_GB2312"/>
          <w:kern w:val="0"/>
          <w:sz w:val="32"/>
          <w:szCs w:val="32"/>
        </w:rPr>
        <w:t>）</w:t>
      </w:r>
      <w:r>
        <w:rPr>
          <w:rFonts w:hint="eastAsia" w:ascii="仿宋_GB2312" w:hAnsi="Times New Roman" w:eastAsia="仿宋_GB2312" w:cs="仿宋_GB2312"/>
          <w:kern w:val="0"/>
          <w:sz w:val="32"/>
          <w:szCs w:val="32"/>
          <w:lang w:val="en-US" w:eastAsia="zh-CN"/>
        </w:rPr>
        <w:t>和《均村乡“两违”治理工作巡查表》</w:t>
      </w:r>
      <w:r>
        <w:rPr>
          <w:rFonts w:hint="eastAsia" w:ascii="仿宋_GB2312" w:hAnsi="Times New Roman" w:eastAsia="仿宋_GB2312" w:cs="仿宋_GB2312"/>
          <w:kern w:val="0"/>
          <w:sz w:val="32"/>
          <w:szCs w:val="32"/>
        </w:rPr>
        <w:t>（详见附件</w:t>
      </w:r>
      <w:r>
        <w:rPr>
          <w:rFonts w:hint="eastAsia" w:ascii="仿宋_GB2312" w:hAnsi="Times New Roman" w:eastAsia="仿宋_GB2312" w:cs="仿宋_GB2312"/>
          <w:kern w:val="0"/>
          <w:sz w:val="32"/>
          <w:szCs w:val="32"/>
          <w:lang w:val="en-US" w:eastAsia="zh-CN"/>
        </w:rPr>
        <w:t>4</w:t>
      </w:r>
      <w:r>
        <w:rPr>
          <w:rFonts w:hint="eastAsia" w:ascii="仿宋_GB2312" w:hAnsi="Times New Roman" w:eastAsia="仿宋_GB2312" w:cs="仿宋_GB2312"/>
          <w:kern w:val="0"/>
          <w:sz w:val="32"/>
          <w:szCs w:val="32"/>
        </w:rPr>
        <w:t>）。</w:t>
      </w:r>
    </w:p>
    <w:p w14:paraId="2BE2004C">
      <w:pPr>
        <w:widowControl/>
        <w:spacing w:line="580" w:lineRule="exact"/>
        <w:ind w:firstLine="643" w:firstLineChars="200"/>
        <w:rPr>
          <w:rStyle w:val="17"/>
          <w:rFonts w:ascii="仿宋_GB2312" w:hAnsi="仿宋_GB2312" w:eastAsia="仿宋_GB2312" w:cs="仿宋_GB2312"/>
          <w:sz w:val="32"/>
          <w:szCs w:val="32"/>
        </w:rPr>
      </w:pPr>
      <w:r>
        <w:rPr>
          <w:rStyle w:val="17"/>
          <w:rFonts w:hint="eastAsia" w:ascii="楷体_GB2312" w:hAnsi="楷体_GB2312" w:eastAsia="楷体_GB2312" w:cs="楷体_GB2312"/>
          <w:b/>
          <w:bCs/>
          <w:sz w:val="32"/>
          <w:szCs w:val="32"/>
        </w:rPr>
        <w:t>（三）强化建设标准和质量监管。</w:t>
      </w:r>
      <w:r>
        <w:rPr>
          <w:rStyle w:val="17"/>
          <w:rFonts w:hint="eastAsia" w:ascii="仿宋_GB2312" w:hAnsi="仿宋_GB2312" w:eastAsia="仿宋_GB2312" w:cs="仿宋_GB2312"/>
          <w:sz w:val="32"/>
          <w:szCs w:val="32"/>
        </w:rPr>
        <w:t>严格控制建房标准，强化建设质量和建筑风格管理。结合我县民房建设特点及客家风貌，制定一批农民住房建设方案，提供一批设计图纸供农户选择，</w:t>
      </w:r>
      <w:r>
        <w:rPr>
          <w:rStyle w:val="17"/>
          <w:rFonts w:hint="eastAsia" w:ascii="仿宋_GB2312" w:hAnsi="仿宋_GB2312" w:eastAsia="仿宋_GB2312" w:cs="仿宋_GB2312"/>
          <w:sz w:val="32"/>
          <w:szCs w:val="32"/>
          <w:lang w:val="en-US"/>
        </w:rPr>
        <w:t>原则上</w:t>
      </w:r>
      <w:r>
        <w:rPr>
          <w:rStyle w:val="17"/>
          <w:rFonts w:hint="eastAsia" w:ascii="仿宋_GB2312" w:hAnsi="仿宋_GB2312" w:eastAsia="仿宋_GB2312" w:cs="仿宋_GB2312"/>
          <w:sz w:val="32"/>
          <w:szCs w:val="32"/>
        </w:rPr>
        <w:t>每户建房占地面积不得超过120平方米，建筑层数不得超过3层，总建筑面积不得超过350平方米，建筑高度不得超过1</w:t>
      </w:r>
      <w:r>
        <w:rPr>
          <w:rStyle w:val="17"/>
          <w:rFonts w:ascii="仿宋_GB2312" w:hAnsi="仿宋_GB2312" w:eastAsia="仿宋_GB2312" w:cs="仿宋_GB2312"/>
          <w:sz w:val="32"/>
          <w:szCs w:val="32"/>
        </w:rPr>
        <w:t>1</w:t>
      </w:r>
      <w:r>
        <w:rPr>
          <w:rStyle w:val="17"/>
          <w:rFonts w:hint="eastAsia" w:ascii="仿宋_GB2312" w:hAnsi="仿宋_GB2312" w:eastAsia="仿宋_GB2312" w:cs="仿宋_GB2312"/>
          <w:sz w:val="32"/>
          <w:szCs w:val="32"/>
        </w:rPr>
        <w:t>米。同时配合县住建、就业部门牵头做好全乡农村建筑个体工匠技能培训，提高农村建房施工质量。通过加强农村建房质量安全巡查，有效预防质量安全事故发生。</w:t>
      </w:r>
    </w:p>
    <w:p w14:paraId="3AA23C5C">
      <w:pPr>
        <w:widowControl/>
        <w:spacing w:line="580" w:lineRule="exact"/>
        <w:ind w:firstLine="643" w:firstLineChars="200"/>
        <w:rPr>
          <w:rStyle w:val="17"/>
          <w:rFonts w:ascii="仿宋_GB2312" w:hAnsi="仿宋_GB2312" w:eastAsia="仿宋_GB2312" w:cs="仿宋_GB2312"/>
          <w:sz w:val="32"/>
          <w:szCs w:val="32"/>
        </w:rPr>
      </w:pPr>
      <w:r>
        <w:rPr>
          <w:rStyle w:val="17"/>
          <w:rFonts w:hint="eastAsia" w:ascii="楷体_GB2312" w:hAnsi="楷体_GB2312" w:eastAsia="楷体_GB2312" w:cs="楷体_GB2312"/>
          <w:b/>
          <w:bCs/>
          <w:sz w:val="32"/>
          <w:szCs w:val="32"/>
        </w:rPr>
        <w:t>（四）强化农村建房网格化监管。</w:t>
      </w:r>
      <w:r>
        <w:rPr>
          <w:rStyle w:val="17"/>
          <w:rFonts w:hint="eastAsia" w:ascii="仿宋_GB2312" w:hAnsi="仿宋_GB2312" w:eastAsia="仿宋_GB2312" w:cs="仿宋_GB2312"/>
          <w:sz w:val="32"/>
          <w:szCs w:val="32"/>
        </w:rPr>
        <w:t>进一步压实各村农民建房监督管理的主体责任，按照属地管理原则，对农村建房实行网格化管理，</w:t>
      </w:r>
      <w:r>
        <w:rPr>
          <w:rStyle w:val="17"/>
          <w:rFonts w:hint="eastAsia" w:ascii="仿宋_GB2312" w:hAnsi="仿宋_GB2312" w:eastAsia="仿宋_GB2312" w:cs="仿宋_GB2312"/>
          <w:sz w:val="32"/>
          <w:szCs w:val="32"/>
          <w:lang w:val="en-US"/>
        </w:rPr>
        <w:t>包片村干部为网格员、村书记和驻村干部为副网格长、</w:t>
      </w:r>
      <w:r>
        <w:rPr>
          <w:rStyle w:val="17"/>
          <w:rFonts w:hint="eastAsia" w:ascii="仿宋_GB2312" w:hAnsi="仿宋_GB2312" w:eastAsia="仿宋_GB2312" w:cs="仿宋_GB2312"/>
          <w:sz w:val="32"/>
          <w:szCs w:val="32"/>
        </w:rPr>
        <w:t>驻村领导</w:t>
      </w:r>
      <w:r>
        <w:rPr>
          <w:rStyle w:val="17"/>
          <w:rFonts w:hint="eastAsia" w:ascii="仿宋_GB2312" w:hAnsi="仿宋_GB2312" w:eastAsia="仿宋_GB2312" w:cs="仿宋_GB2312"/>
          <w:sz w:val="32"/>
          <w:szCs w:val="32"/>
          <w:lang w:val="en-US"/>
        </w:rPr>
        <w:t>为网格长，确保责任到人，不留死角。</w:t>
      </w:r>
      <w:r>
        <w:rPr>
          <w:rStyle w:val="17"/>
          <w:rFonts w:hint="eastAsia" w:ascii="仿宋_GB2312" w:hAnsi="仿宋_GB2312" w:eastAsia="仿宋_GB2312" w:cs="仿宋_GB2312"/>
          <w:sz w:val="32"/>
          <w:szCs w:val="32"/>
        </w:rPr>
        <w:t>农村建房网格员负责巡查网格区域内农村建房执行到位情况，对接到举报或日常巡查过程中发现的各类违法违规建房行为及时、坚决予以制止，若无法制止的，应将具体情况报送乡执法队进行处理。</w:t>
      </w:r>
    </w:p>
    <w:p w14:paraId="69FD7EC6">
      <w:pPr>
        <w:widowControl/>
        <w:spacing w:line="580" w:lineRule="exact"/>
        <w:ind w:firstLine="643" w:firstLineChars="200"/>
        <w:rPr>
          <w:rStyle w:val="17"/>
          <w:rFonts w:hint="eastAsia" w:ascii="仿宋_GB2312" w:hAnsi="仿宋_GB2312" w:eastAsia="仿宋_GB2312" w:cs="仿宋_GB2312"/>
          <w:sz w:val="32"/>
          <w:szCs w:val="32"/>
          <w:lang w:val="en-US"/>
        </w:rPr>
      </w:pPr>
      <w:r>
        <w:rPr>
          <w:rStyle w:val="17"/>
          <w:rFonts w:hint="eastAsia" w:ascii="楷体_GB2312" w:hAnsi="楷体_GB2312" w:eastAsia="楷体_GB2312" w:cs="楷体_GB2312"/>
          <w:b/>
          <w:bCs/>
          <w:sz w:val="32"/>
          <w:szCs w:val="32"/>
        </w:rPr>
        <w:t>（五）加大农村建房执法力度。</w:t>
      </w:r>
      <w:r>
        <w:rPr>
          <w:rStyle w:val="17"/>
          <w:rFonts w:hint="eastAsia" w:ascii="仿宋_GB2312" w:hAnsi="仿宋_GB2312" w:eastAsia="仿宋_GB2312" w:cs="仿宋_GB2312"/>
          <w:sz w:val="32"/>
          <w:szCs w:val="32"/>
        </w:rPr>
        <w:t>在农村建房供水、供电、供砂石、供商业混凝土等重要环节进行严格把控。凡是农村建房对象必须凭《乡村建设规划许可证》《农村宅基地批准书》，相关站所才可供水、供电、供砂石、供商业混凝土等出具许可证明。建立农村乱占耕地群众有奖举报制度，对群众举报违法占用耕地建房、挖塘养鱼、修坟造墓等行为</w:t>
      </w:r>
      <w:r>
        <w:rPr>
          <w:rStyle w:val="17"/>
          <w:rFonts w:hint="eastAsia" w:ascii="仿宋_GB2312" w:hAnsi="仿宋_GB2312" w:eastAsia="仿宋_GB2312" w:cs="仿宋_GB2312"/>
          <w:sz w:val="32"/>
          <w:szCs w:val="32"/>
          <w:lang w:val="en-US"/>
        </w:rPr>
        <w:t>进行奖励。</w:t>
      </w:r>
    </w:p>
    <w:p w14:paraId="62252624">
      <w:pPr>
        <w:pStyle w:val="3"/>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四、明确违法用地和违规建房处罚标准</w:t>
      </w:r>
    </w:p>
    <w:p w14:paraId="534BEDD9">
      <w:pPr>
        <w:pStyle w:val="3"/>
        <w:spacing w:line="580" w:lineRule="exact"/>
        <w:ind w:firstLine="321" w:firstLineChars="100"/>
        <w:rPr>
          <w:rStyle w:val="17"/>
          <w:rFonts w:ascii="仿宋" w:hAnsi="仿宋" w:eastAsia="仿宋" w:cs="仿宋"/>
          <w:sz w:val="32"/>
          <w:szCs w:val="32"/>
        </w:rPr>
      </w:pPr>
      <w:r>
        <w:rPr>
          <w:rFonts w:hint="eastAsia" w:ascii="楷体_GB2312" w:hAnsi="楷体_GB2312" w:eastAsia="楷体_GB2312" w:cs="楷体_GB2312"/>
          <w:b/>
          <w:bCs/>
          <w:sz w:val="32"/>
          <w:szCs w:val="32"/>
        </w:rPr>
        <w:t>（一）对全</w:t>
      </w:r>
      <w:r>
        <w:rPr>
          <w:rFonts w:hint="eastAsia" w:ascii="楷体_GB2312" w:hAnsi="楷体_GB2312" w:eastAsia="楷体_GB2312" w:cs="楷体_GB2312"/>
          <w:b/>
          <w:bCs/>
          <w:sz w:val="32"/>
          <w:szCs w:val="32"/>
          <w:lang w:eastAsia="zh-CN"/>
        </w:rPr>
        <w:t>乡</w:t>
      </w:r>
      <w:r>
        <w:rPr>
          <w:rFonts w:hint="eastAsia" w:ascii="楷体_GB2312" w:hAnsi="楷体_GB2312" w:eastAsia="楷体_GB2312" w:cs="楷体_GB2312"/>
          <w:b/>
          <w:bCs/>
          <w:sz w:val="32"/>
          <w:szCs w:val="32"/>
        </w:rPr>
        <w:t>范围内所发生的未批先建，批少建多，批东建西，转变土地属性，违反</w:t>
      </w:r>
      <w:r>
        <w:rPr>
          <w:rFonts w:hint="eastAsia" w:ascii="楷体_GB2312" w:hAnsi="楷体_GB2312" w:eastAsia="楷体_GB2312" w:cs="楷体_GB2312"/>
          <w:b/>
          <w:bCs/>
          <w:sz w:val="32"/>
          <w:szCs w:val="32"/>
          <w:lang w:eastAsia="zh-CN"/>
        </w:rPr>
        <w:t>乡</w:t>
      </w:r>
      <w:r>
        <w:rPr>
          <w:rFonts w:hint="eastAsia" w:ascii="楷体_GB2312" w:hAnsi="楷体_GB2312" w:eastAsia="楷体_GB2312" w:cs="楷体_GB2312"/>
          <w:b/>
          <w:bCs/>
          <w:sz w:val="32"/>
          <w:szCs w:val="32"/>
        </w:rPr>
        <w:t>、村规划的违法用地和违规建房，将按以下标准进行处罚：</w:t>
      </w:r>
    </w:p>
    <w:p w14:paraId="3B2B912D">
      <w:pPr>
        <w:widowControl/>
        <w:spacing w:line="58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1</w:t>
      </w:r>
      <w:r>
        <w:rPr>
          <w:rStyle w:val="17"/>
          <w:rFonts w:ascii="仿宋_GB2312" w:hAnsi="仿宋_GB2312" w:eastAsia="仿宋_GB2312" w:cs="仿宋_GB2312"/>
          <w:sz w:val="32"/>
          <w:szCs w:val="32"/>
        </w:rPr>
        <w:t>.</w:t>
      </w:r>
      <w:r>
        <w:rPr>
          <w:rStyle w:val="17"/>
          <w:rFonts w:hint="eastAsia" w:ascii="仿宋_GB2312" w:hAnsi="仿宋_GB2312" w:eastAsia="仿宋_GB2312" w:cs="仿宋_GB2312"/>
          <w:sz w:val="32"/>
          <w:szCs w:val="32"/>
        </w:rPr>
        <w:t>农村村民符合用地申请条件，</w:t>
      </w:r>
      <w:r>
        <w:rPr>
          <w:rStyle w:val="17"/>
          <w:rFonts w:hint="eastAsia" w:ascii="仿宋_GB2312" w:hAnsi="仿宋_GB2312" w:eastAsia="仿宋_GB2312" w:cs="仿宋_GB2312"/>
          <w:color w:val="000000" w:themeColor="text1"/>
          <w:sz w:val="32"/>
          <w:szCs w:val="32"/>
          <w14:textFill>
            <w14:solidFill>
              <w14:schemeClr w14:val="tx1"/>
            </w14:solidFill>
          </w14:textFill>
        </w:rPr>
        <w:t>2020年7月3日前占用耕地的违法用地行为，</w:t>
      </w:r>
      <w:r>
        <w:rPr>
          <w:rFonts w:hint="eastAsia" w:ascii="仿宋_GB2312" w:hAnsi="仿宋_GB2312" w:eastAsia="仿宋_GB2312" w:cs="仿宋_GB2312"/>
          <w:color w:val="000000"/>
          <w:kern w:val="0"/>
          <w:sz w:val="32"/>
          <w:szCs w:val="32"/>
          <w:lang w:bidi="ar"/>
        </w:rPr>
        <w:t>按照“尊重历史、区别对待、有序推进”的原则，分类施策整治，依法处理并完善手续</w:t>
      </w:r>
      <w:r>
        <w:rPr>
          <w:rStyle w:val="17"/>
          <w:rFonts w:hint="eastAsia" w:ascii="仿宋_GB2312" w:hAnsi="仿宋_GB2312" w:eastAsia="仿宋_GB2312" w:cs="仿宋_GB2312"/>
          <w:color w:val="000000" w:themeColor="text1"/>
          <w:sz w:val="32"/>
          <w:szCs w:val="32"/>
          <w14:textFill>
            <w14:solidFill>
              <w14:schemeClr w14:val="tx1"/>
            </w14:solidFill>
          </w14:textFill>
        </w:rPr>
        <w:t>。</w:t>
      </w:r>
      <w:r>
        <w:rPr>
          <w:rStyle w:val="17"/>
          <w:rFonts w:hint="eastAsia" w:ascii="仿宋_GB2312" w:hAnsi="仿宋_GB2312" w:eastAsia="仿宋_GB2312" w:cs="仿宋_GB2312"/>
          <w:sz w:val="32"/>
          <w:szCs w:val="32"/>
        </w:rPr>
        <w:t>未经批准占用一般农田但又符合规划的建设行为，按处罚标准处罚后，再补交耕地开垦费。</w:t>
      </w:r>
    </w:p>
    <w:p w14:paraId="45338350">
      <w:pPr>
        <w:widowControl/>
        <w:spacing w:line="58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2</w:t>
      </w:r>
      <w:r>
        <w:rPr>
          <w:rStyle w:val="17"/>
          <w:rFonts w:ascii="仿宋_GB2312" w:hAnsi="仿宋_GB2312" w:eastAsia="仿宋_GB2312" w:cs="仿宋_GB2312"/>
          <w:sz w:val="32"/>
          <w:szCs w:val="32"/>
        </w:rPr>
        <w:t>.</w:t>
      </w:r>
      <w:r>
        <w:rPr>
          <w:rStyle w:val="17"/>
          <w:rFonts w:hint="eastAsia" w:ascii="仿宋_GB2312" w:hAnsi="仿宋_GB2312" w:eastAsia="仿宋_GB2312" w:cs="仿宋_GB2312"/>
          <w:sz w:val="32"/>
          <w:szCs w:val="32"/>
        </w:rPr>
        <w:t>农村村民符合用地申请条件，但未经批准使用林地及空闲地等的</w:t>
      </w:r>
      <w:r>
        <w:rPr>
          <w:rStyle w:val="17"/>
          <w:rFonts w:hint="eastAsia" w:ascii="仿宋_GB2312" w:hAnsi="仿宋_GB2312" w:eastAsia="仿宋_GB2312" w:cs="仿宋_GB2312"/>
          <w:sz w:val="32"/>
          <w:szCs w:val="32"/>
          <w:lang w:val="en-US"/>
        </w:rPr>
        <w:t>违法</w:t>
      </w:r>
      <w:r>
        <w:rPr>
          <w:rStyle w:val="17"/>
          <w:rFonts w:hint="eastAsia" w:ascii="仿宋_GB2312" w:hAnsi="仿宋_GB2312" w:eastAsia="仿宋_GB2312" w:cs="仿宋_GB2312"/>
          <w:sz w:val="32"/>
          <w:szCs w:val="32"/>
        </w:rPr>
        <w:t>建设行为，按处罚标准进行处罚。</w:t>
      </w:r>
    </w:p>
    <w:p w14:paraId="59F7F583">
      <w:pPr>
        <w:widowControl/>
        <w:spacing w:line="58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3</w:t>
      </w:r>
      <w:r>
        <w:rPr>
          <w:rStyle w:val="17"/>
          <w:rFonts w:ascii="仿宋_GB2312" w:hAnsi="仿宋_GB2312" w:eastAsia="仿宋_GB2312" w:cs="仿宋_GB2312"/>
          <w:sz w:val="32"/>
          <w:szCs w:val="32"/>
        </w:rPr>
        <w:t>.</w:t>
      </w:r>
      <w:r>
        <w:rPr>
          <w:rStyle w:val="17"/>
          <w:rFonts w:hint="eastAsia" w:ascii="仿宋_GB2312" w:hAnsi="仿宋_GB2312" w:eastAsia="仿宋_GB2312" w:cs="仿宋_GB2312"/>
          <w:sz w:val="32"/>
          <w:szCs w:val="32"/>
        </w:rPr>
        <w:t>对非法占用土地的，依照《土地管理法实施条例》第五十七条，罚款为每平方米100元以上1000元以下。超面积建房的，超出部分按处罚标准处理后，再补办用地手续。</w:t>
      </w:r>
    </w:p>
    <w:p w14:paraId="0B162BB8">
      <w:pPr>
        <w:widowControl/>
        <w:spacing w:line="580" w:lineRule="exact"/>
        <w:ind w:firstLine="643" w:firstLineChars="200"/>
        <w:rPr>
          <w:rStyle w:val="17"/>
          <w:rFonts w:ascii="楷体_GB2312" w:hAnsi="楷体_GB2312" w:eastAsia="楷体_GB2312" w:cs="楷体_GB2312"/>
          <w:b/>
          <w:sz w:val="32"/>
          <w:szCs w:val="32"/>
        </w:rPr>
      </w:pPr>
      <w:r>
        <w:rPr>
          <w:rStyle w:val="17"/>
          <w:rFonts w:hint="eastAsia" w:ascii="楷体_GB2312" w:hAnsi="楷体_GB2312" w:eastAsia="楷体_GB2312" w:cs="楷体_GB2312"/>
          <w:b/>
          <w:sz w:val="32"/>
          <w:szCs w:val="32"/>
        </w:rPr>
        <w:t>（二）以下几种情形不能作补办处理</w:t>
      </w:r>
    </w:p>
    <w:p w14:paraId="3EFC7909">
      <w:pPr>
        <w:widowControl/>
        <w:spacing w:line="580" w:lineRule="exact"/>
        <w:ind w:firstLine="640" w:firstLineChars="200"/>
        <w:rPr>
          <w:rStyle w:val="17"/>
          <w:rFonts w:ascii="仿宋_GB2312" w:hAnsi="仿宋_GB2312" w:eastAsia="仿宋_GB2312" w:cs="仿宋_GB2312"/>
          <w:color w:val="000000" w:themeColor="text1"/>
          <w:sz w:val="32"/>
          <w:szCs w:val="32"/>
          <w14:textFill>
            <w14:solidFill>
              <w14:schemeClr w14:val="tx1"/>
            </w14:solidFill>
          </w14:textFill>
        </w:rPr>
      </w:pPr>
      <w:r>
        <w:rPr>
          <w:rStyle w:val="17"/>
          <w:rFonts w:hint="eastAsia" w:ascii="仿宋_GB2312" w:hAnsi="仿宋_GB2312" w:eastAsia="仿宋_GB2312" w:cs="仿宋_GB2312"/>
          <w:sz w:val="32"/>
          <w:szCs w:val="32"/>
        </w:rPr>
        <w:t>1</w:t>
      </w:r>
      <w:r>
        <w:rPr>
          <w:rStyle w:val="17"/>
          <w:rFonts w:ascii="仿宋_GB2312" w:hAnsi="仿宋_GB2312" w:eastAsia="仿宋_GB2312" w:cs="仿宋_GB2312"/>
          <w:sz w:val="32"/>
          <w:szCs w:val="32"/>
        </w:rPr>
        <w:t>.</w:t>
      </w:r>
      <w:r>
        <w:rPr>
          <w:rStyle w:val="17"/>
          <w:rFonts w:hint="eastAsia" w:ascii="仿宋_GB2312" w:hAnsi="仿宋_GB2312" w:eastAsia="仿宋_GB2312" w:cs="仿宋_GB2312"/>
          <w:color w:val="000000" w:themeColor="text1"/>
          <w:sz w:val="32"/>
          <w:szCs w:val="32"/>
          <w:lang w:val="en-US"/>
          <w14:textFill>
            <w14:solidFill>
              <w14:schemeClr w14:val="tx1"/>
            </w14:solidFill>
          </w14:textFill>
        </w:rPr>
        <w:t>本方案实施</w:t>
      </w:r>
      <w:r>
        <w:rPr>
          <w:rStyle w:val="17"/>
          <w:rFonts w:hint="eastAsia" w:ascii="仿宋_GB2312" w:hAnsi="仿宋_GB2312" w:eastAsia="仿宋_GB2312" w:cs="仿宋_GB2312"/>
          <w:color w:val="000000" w:themeColor="text1"/>
          <w:sz w:val="32"/>
          <w:szCs w:val="32"/>
          <w14:textFill>
            <w14:solidFill>
              <w14:schemeClr w14:val="tx1"/>
            </w14:solidFill>
          </w14:textFill>
        </w:rPr>
        <w:t>后</w:t>
      </w:r>
      <w:r>
        <w:rPr>
          <w:rStyle w:val="17"/>
          <w:rFonts w:hint="eastAsia" w:ascii="仿宋_GB2312" w:hAnsi="仿宋_GB2312" w:eastAsia="仿宋_GB2312" w:cs="仿宋_GB2312"/>
          <w:color w:val="000000" w:themeColor="text1"/>
          <w:sz w:val="32"/>
          <w:szCs w:val="32"/>
          <w:lang w:val="en-US"/>
          <w14:textFill>
            <w14:solidFill>
              <w14:schemeClr w14:val="tx1"/>
            </w14:solidFill>
          </w14:textFill>
        </w:rPr>
        <w:t>违法</w:t>
      </w:r>
      <w:r>
        <w:rPr>
          <w:rStyle w:val="17"/>
          <w:rFonts w:hint="eastAsia" w:ascii="仿宋_GB2312" w:hAnsi="仿宋_GB2312" w:eastAsia="仿宋_GB2312" w:cs="仿宋_GB2312"/>
          <w:color w:val="000000" w:themeColor="text1"/>
          <w:sz w:val="32"/>
          <w:szCs w:val="32"/>
          <w14:textFill>
            <w14:solidFill>
              <w14:schemeClr w14:val="tx1"/>
            </w14:solidFill>
          </w14:textFill>
        </w:rPr>
        <w:t>占用耕地进行建设行为的，一律作拆除复耕处理。</w:t>
      </w:r>
    </w:p>
    <w:p w14:paraId="4CBB63EC">
      <w:pPr>
        <w:widowControl/>
        <w:spacing w:line="580" w:lineRule="exact"/>
        <w:ind w:firstLine="640" w:firstLineChars="200"/>
        <w:rPr>
          <w:rStyle w:val="17"/>
          <w:rFonts w:ascii="仿宋_GB2312" w:hAnsi="仿宋_GB2312" w:eastAsia="仿宋_GB2312" w:cs="仿宋_GB2312"/>
          <w:color w:val="000000" w:themeColor="text1"/>
          <w:sz w:val="32"/>
          <w:szCs w:val="32"/>
          <w14:textFill>
            <w14:solidFill>
              <w14:schemeClr w14:val="tx1"/>
            </w14:solidFill>
          </w14:textFill>
        </w:rPr>
      </w:pPr>
      <w:r>
        <w:rPr>
          <w:rStyle w:val="17"/>
          <w:rFonts w:hint="eastAsia" w:ascii="仿宋_GB2312" w:hAnsi="仿宋_GB2312" w:eastAsia="仿宋_GB2312" w:cs="仿宋_GB2312"/>
          <w:sz w:val="32"/>
          <w:szCs w:val="32"/>
        </w:rPr>
        <w:t>2</w:t>
      </w:r>
      <w:r>
        <w:rPr>
          <w:rStyle w:val="17"/>
          <w:rFonts w:ascii="仿宋_GB2312" w:hAnsi="仿宋_GB2312" w:eastAsia="仿宋_GB2312" w:cs="仿宋_GB2312"/>
          <w:sz w:val="32"/>
          <w:szCs w:val="32"/>
        </w:rPr>
        <w:t>.</w:t>
      </w:r>
      <w:r>
        <w:rPr>
          <w:rStyle w:val="17"/>
          <w:rFonts w:hint="eastAsia" w:ascii="仿宋_GB2312" w:hAnsi="仿宋_GB2312" w:eastAsia="仿宋_GB2312" w:cs="仿宋_GB2312"/>
          <w:color w:val="000000" w:themeColor="text1"/>
          <w:sz w:val="32"/>
          <w:szCs w:val="32"/>
          <w14:textFill>
            <w14:solidFill>
              <w14:schemeClr w14:val="tx1"/>
            </w14:solidFill>
          </w14:textFill>
        </w:rPr>
        <w:t>非法买卖土地进行建设的。</w:t>
      </w:r>
    </w:p>
    <w:p w14:paraId="743FDD34">
      <w:pPr>
        <w:widowControl/>
        <w:spacing w:line="580" w:lineRule="exact"/>
        <w:ind w:firstLine="640" w:firstLineChars="200"/>
        <w:rPr>
          <w:rStyle w:val="17"/>
          <w:rFonts w:ascii="仿宋_GB2312" w:hAnsi="仿宋_GB2312" w:eastAsia="仿宋_GB2312" w:cs="仿宋_GB2312"/>
          <w:color w:val="000000" w:themeColor="text1"/>
          <w:sz w:val="32"/>
          <w:szCs w:val="32"/>
          <w14:textFill>
            <w14:solidFill>
              <w14:schemeClr w14:val="tx1"/>
            </w14:solidFill>
          </w14:textFill>
        </w:rPr>
      </w:pPr>
      <w:r>
        <w:rPr>
          <w:rStyle w:val="17"/>
          <w:rFonts w:ascii="仿宋_GB2312" w:hAnsi="仿宋_GB2312" w:eastAsia="仿宋_GB2312" w:cs="仿宋_GB2312"/>
          <w:sz w:val="32"/>
          <w:szCs w:val="32"/>
        </w:rPr>
        <w:t>3.</w:t>
      </w:r>
      <w:r>
        <w:rPr>
          <w:rStyle w:val="17"/>
          <w:rFonts w:hint="eastAsia" w:ascii="仿宋_GB2312" w:hAnsi="仿宋_GB2312" w:eastAsia="仿宋_GB2312" w:cs="仿宋_GB2312"/>
          <w:color w:val="000000" w:themeColor="text1"/>
          <w:sz w:val="32"/>
          <w:szCs w:val="32"/>
          <w14:textFill>
            <w14:solidFill>
              <w14:schemeClr w14:val="tx1"/>
            </w14:solidFill>
          </w14:textFill>
        </w:rPr>
        <w:t>严重影响圩乡规划及村庄规划进行建设的行为。</w:t>
      </w:r>
    </w:p>
    <w:p w14:paraId="6D724A45">
      <w:pPr>
        <w:pStyle w:val="3"/>
        <w:spacing w:line="580" w:lineRule="exact"/>
        <w:ind w:firstLine="640"/>
        <w:rPr>
          <w:rStyle w:val="17"/>
          <w:rFonts w:ascii="仿宋_GB2312" w:hAnsi="仿宋_GB2312" w:eastAsia="仿宋_GB2312" w:cs="仿宋_GB2312"/>
          <w:color w:val="000000" w:themeColor="text1"/>
          <w:sz w:val="32"/>
          <w:szCs w:val="32"/>
          <w14:textFill>
            <w14:solidFill>
              <w14:schemeClr w14:val="tx1"/>
            </w14:solidFill>
          </w14:textFill>
        </w:rPr>
      </w:pPr>
      <w:r>
        <w:rPr>
          <w:rStyle w:val="17"/>
          <w:rFonts w:ascii="仿宋_GB2312" w:hAnsi="仿宋_GB2312" w:eastAsia="仿宋_GB2312" w:cs="仿宋_GB2312"/>
          <w:sz w:val="32"/>
          <w:szCs w:val="32"/>
        </w:rPr>
        <w:t>4.</w:t>
      </w:r>
      <w:r>
        <w:rPr>
          <w:rStyle w:val="17"/>
          <w:rFonts w:hint="eastAsia" w:ascii="仿宋_GB2312" w:hAnsi="仿宋_GB2312" w:eastAsia="仿宋_GB2312" w:cs="仿宋_GB2312"/>
          <w:color w:val="000000" w:themeColor="text1"/>
          <w:sz w:val="32"/>
          <w:szCs w:val="32"/>
          <w14:textFill>
            <w14:solidFill>
              <w14:schemeClr w14:val="tx1"/>
            </w14:solidFill>
          </w14:textFill>
        </w:rPr>
        <w:t>违法用地和建设存在严重矛盾纠纷且无法调解的。</w:t>
      </w:r>
    </w:p>
    <w:p w14:paraId="54D4A790">
      <w:pPr>
        <w:pStyle w:val="3"/>
        <w:spacing w:line="580" w:lineRule="exact"/>
        <w:ind w:firstLine="640" w:firstLineChars="200"/>
        <w:rPr>
          <w:rStyle w:val="17"/>
          <w:rFonts w:ascii="黑体" w:hAnsi="黑体" w:eastAsia="黑体" w:cs="黑体"/>
          <w:b/>
          <w:bCs/>
          <w:sz w:val="32"/>
          <w:szCs w:val="32"/>
        </w:rPr>
      </w:pPr>
      <w:r>
        <w:rPr>
          <w:rStyle w:val="17"/>
          <w:rFonts w:hint="eastAsia" w:ascii="黑体" w:hAnsi="黑体" w:eastAsia="黑体" w:cs="黑体"/>
          <w:sz w:val="32"/>
          <w:szCs w:val="32"/>
        </w:rPr>
        <w:t>五、严格考核管理</w:t>
      </w:r>
    </w:p>
    <w:p w14:paraId="5DC45215">
      <w:pPr>
        <w:pStyle w:val="3"/>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农</w:t>
      </w:r>
      <w:r>
        <w:rPr>
          <w:rFonts w:hint="eastAsia" w:ascii="仿宋_GB2312" w:hAnsi="仿宋_GB2312" w:eastAsia="仿宋_GB2312" w:cs="仿宋_GB2312"/>
          <w:sz w:val="32"/>
          <w:szCs w:val="32"/>
          <w:lang w:val="en-US" w:eastAsia="zh-CN"/>
        </w:rPr>
        <w:t>村</w:t>
      </w:r>
      <w:r>
        <w:rPr>
          <w:rFonts w:hint="eastAsia" w:ascii="仿宋_GB2312" w:hAnsi="仿宋_GB2312" w:eastAsia="仿宋_GB2312" w:cs="仿宋_GB2312"/>
          <w:sz w:val="32"/>
          <w:szCs w:val="32"/>
        </w:rPr>
        <w:t>建房监管实行“属地管理”，驻村领导、驻村干部及村“两委”负有直接责任。</w:t>
      </w:r>
      <w:r>
        <w:rPr>
          <w:rStyle w:val="17"/>
          <w:rFonts w:hint="eastAsia" w:ascii="仿宋_GB2312" w:hAnsi="仿宋_GB2312" w:eastAsia="仿宋_GB2312" w:cs="仿宋_GB2312"/>
          <w:color w:val="000000" w:themeColor="text1"/>
          <w:sz w:val="32"/>
          <w:szCs w:val="32"/>
          <w14:textFill>
            <w14:solidFill>
              <w14:schemeClr w14:val="tx1"/>
            </w14:solidFill>
          </w14:textFill>
        </w:rPr>
        <w:t>“两违”治理必须做到早发现、早制止、早报告，</w:t>
      </w:r>
      <w:r>
        <w:rPr>
          <w:rFonts w:hint="eastAsia" w:ascii="仿宋_GB2312" w:hAnsi="仿宋_GB2312" w:eastAsia="仿宋_GB2312" w:cs="仿宋_GB2312"/>
          <w:sz w:val="32"/>
          <w:szCs w:val="32"/>
        </w:rPr>
        <w:t>为有效遏制新增乱占耕地建房及</w:t>
      </w:r>
      <w:r>
        <w:rPr>
          <w:rFonts w:hint="eastAsia" w:ascii="仿宋_GB2312" w:hAnsi="仿宋_GB2312" w:eastAsia="仿宋_GB2312" w:cs="仿宋_GB2312"/>
          <w:w w:val="97"/>
          <w:sz w:val="32"/>
          <w:szCs w:val="32"/>
        </w:rPr>
        <w:t>“超高超大”“未批先建”“批少建多”“批东建西”</w:t>
      </w:r>
      <w:r>
        <w:rPr>
          <w:rFonts w:hint="eastAsia" w:ascii="仿宋_GB2312" w:hAnsi="仿宋_GB2312" w:eastAsia="仿宋_GB2312" w:cs="仿宋_GB2312"/>
          <w:sz w:val="32"/>
          <w:szCs w:val="32"/>
        </w:rPr>
        <w:t>等违法违规建房行为，严格落实耕地保护政策，</w:t>
      </w:r>
      <w:r>
        <w:rPr>
          <w:rFonts w:hint="eastAsia" w:ascii="仿宋_GB2312" w:hAnsi="仿宋_GB2312" w:eastAsia="仿宋_GB2312" w:cs="仿宋_GB2312"/>
          <w:sz w:val="32"/>
          <w:szCs w:val="32"/>
          <w:lang w:val="en-US" w:eastAsia="zh-CN"/>
        </w:rPr>
        <w:t>对违反规定乱占耕地建房按照</w:t>
      </w:r>
      <w:r>
        <w:rPr>
          <w:rFonts w:hint="eastAsia" w:ascii="仿宋_GB2312" w:hAnsi="仿宋_GB2312" w:eastAsia="仿宋_GB2312" w:cs="仿宋_GB2312"/>
          <w:sz w:val="32"/>
          <w:szCs w:val="32"/>
        </w:rPr>
        <w:t>《关于进一步加强耕地保护工作的若干措施》（兴办字〔</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61</w:t>
      </w:r>
      <w:r>
        <w:rPr>
          <w:rFonts w:hint="eastAsia" w:ascii="仿宋_GB2312" w:hAnsi="仿宋_GB2312" w:eastAsia="仿宋_GB2312" w:cs="仿宋_GB2312"/>
          <w:sz w:val="32"/>
          <w:szCs w:val="32"/>
        </w:rPr>
        <w:t>号）精神</w:t>
      </w:r>
      <w:r>
        <w:rPr>
          <w:rFonts w:hint="eastAsia" w:ascii="仿宋_GB2312" w:hAnsi="仿宋_GB2312" w:eastAsia="仿宋_GB2312" w:cs="仿宋_GB2312"/>
          <w:sz w:val="32"/>
          <w:szCs w:val="32"/>
          <w:lang w:val="en-US" w:eastAsia="zh-CN"/>
        </w:rPr>
        <w:t>进行处理。</w:t>
      </w:r>
    </w:p>
    <w:p w14:paraId="61EAC37C">
      <w:pPr>
        <w:pStyle w:val="3"/>
        <w:numPr>
          <w:ilvl w:val="0"/>
          <w:numId w:val="0"/>
        </w:num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对发现未取得审批手续、乱占耕地、不符合规划、存在安全隐患切坡建房等行为，按照发现一起处罚一起的原则，直接扣减所涉</w:t>
      </w:r>
      <w:r>
        <w:rPr>
          <w:rFonts w:hint="eastAsia" w:ascii="仿宋_GB2312" w:hAnsi="仿宋_GB2312" w:eastAsia="仿宋_GB2312" w:cs="仿宋_GB2312"/>
          <w:sz w:val="32"/>
          <w:szCs w:val="32"/>
          <w:lang w:val="en-US" w:eastAsia="zh-CN"/>
        </w:rPr>
        <w:t>村</w:t>
      </w:r>
      <w:r>
        <w:rPr>
          <w:rFonts w:hint="eastAsia" w:ascii="仿宋_GB2312" w:hAnsi="仿宋_GB2312" w:eastAsia="仿宋_GB2312" w:cs="仿宋_GB2312"/>
          <w:sz w:val="32"/>
          <w:szCs w:val="32"/>
        </w:rPr>
        <w:t>每宗2万元</w:t>
      </w:r>
      <w:r>
        <w:rPr>
          <w:rFonts w:hint="eastAsia" w:ascii="仿宋_GB2312" w:hAnsi="仿宋_GB2312" w:eastAsia="仿宋_GB2312" w:cs="仿宋_GB2312"/>
          <w:sz w:val="32"/>
          <w:szCs w:val="32"/>
          <w:lang w:eastAsia="zh-CN"/>
        </w:rPr>
        <w:t>。</w:t>
      </w:r>
    </w:p>
    <w:p w14:paraId="4D5EFBE5">
      <w:pPr>
        <w:pStyle w:val="3"/>
        <w:numPr>
          <w:ilvl w:val="0"/>
          <w:numId w:val="0"/>
        </w:num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严格落实耕地保护党政同责、一票否决、终身追责，对新增乱占耕地违法行为按下列方式进行处理:</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eastAsia="zh-CN"/>
        </w:rPr>
        <w:t>凡认定新增农村乱占耕地建房问题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宗或卫片图斑认定占用耕地违法面积超过</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 xml:space="preserve"> 亩的，对农业农村工作负责人、</w:t>
      </w:r>
      <w:r>
        <w:rPr>
          <w:rFonts w:hint="eastAsia" w:ascii="仿宋_GB2312" w:hAnsi="仿宋_GB2312" w:eastAsia="仿宋_GB2312" w:cs="仿宋_GB2312"/>
          <w:sz w:val="32"/>
          <w:szCs w:val="32"/>
          <w:lang w:val="en-US" w:eastAsia="zh-CN"/>
        </w:rPr>
        <w:t>驻村干部、</w:t>
      </w:r>
      <w:r>
        <w:rPr>
          <w:rFonts w:hint="eastAsia" w:ascii="仿宋_GB2312" w:hAnsi="仿宋_GB2312" w:eastAsia="仿宋_GB2312" w:cs="仿宋_GB2312"/>
          <w:sz w:val="32"/>
          <w:szCs w:val="32"/>
          <w:lang w:eastAsia="zh-CN"/>
        </w:rPr>
        <w:t>所在村党支部书记、</w:t>
      </w:r>
      <w:r>
        <w:rPr>
          <w:rFonts w:hint="eastAsia" w:ascii="仿宋_GB2312" w:hAnsi="仿宋_GB2312" w:eastAsia="仿宋_GB2312" w:cs="仿宋_GB2312"/>
          <w:sz w:val="32"/>
          <w:szCs w:val="32"/>
          <w:lang w:val="en-US" w:eastAsia="zh-CN"/>
        </w:rPr>
        <w:t>包片村干部</w:t>
      </w:r>
      <w:r>
        <w:rPr>
          <w:rFonts w:hint="eastAsia" w:ascii="仿宋_GB2312" w:hAnsi="仿宋_GB2312" w:eastAsia="仿宋_GB2312" w:cs="仿宋_GB2312"/>
          <w:sz w:val="32"/>
          <w:szCs w:val="32"/>
          <w:lang w:eastAsia="zh-CN"/>
        </w:rPr>
        <w:t>予以免职，</w:t>
      </w:r>
      <w:r>
        <w:rPr>
          <w:rFonts w:hint="eastAsia" w:ascii="仿宋_GB2312" w:hAnsi="仿宋_GB2312" w:eastAsia="仿宋_GB2312" w:cs="仿宋_GB2312"/>
          <w:sz w:val="32"/>
          <w:szCs w:val="32"/>
          <w:lang w:val="en-US" w:eastAsia="zh-CN"/>
        </w:rPr>
        <w:t>建议县自然资源局对</w:t>
      </w:r>
      <w:r>
        <w:rPr>
          <w:rFonts w:hint="eastAsia" w:ascii="仿宋_GB2312" w:hAnsi="仿宋_GB2312" w:eastAsia="仿宋_GB2312" w:cs="仿宋_GB2312"/>
          <w:sz w:val="32"/>
          <w:szCs w:val="32"/>
          <w:lang w:eastAsia="zh-CN"/>
        </w:rPr>
        <w:t>自然资源分中心主任</w:t>
      </w:r>
      <w:r>
        <w:rPr>
          <w:rFonts w:hint="eastAsia" w:ascii="仿宋_GB2312" w:hAnsi="仿宋_GB2312" w:eastAsia="仿宋_GB2312" w:cs="仿宋_GB2312"/>
          <w:sz w:val="32"/>
          <w:szCs w:val="32"/>
          <w:lang w:val="en-US" w:eastAsia="zh-CN"/>
        </w:rPr>
        <w:t>予以免职</w:t>
      </w:r>
      <w:r>
        <w:rPr>
          <w:rFonts w:hint="eastAsia" w:ascii="仿宋_GB2312" w:hAnsi="仿宋_GB2312" w:eastAsia="仿宋_GB2312" w:cs="仿宋_GB2312"/>
          <w:sz w:val="32"/>
          <w:szCs w:val="32"/>
          <w:lang w:eastAsia="zh-CN"/>
        </w:rPr>
        <w:t>、并对乡分管领导进行约谈;</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eastAsia="zh-CN"/>
        </w:rPr>
        <w:t>凡认定新增农村乱占耕地建房问题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宗或卫片图斑认定占用耕地违法面积超过</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亩的，对分管领导和驻村领导</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sz w:val="32"/>
          <w:szCs w:val="32"/>
        </w:rPr>
        <w:t>《关于进一步加强耕地保护工作的若干措施》（兴办字〔</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61</w:t>
      </w:r>
      <w:r>
        <w:rPr>
          <w:rFonts w:hint="eastAsia" w:ascii="仿宋_GB2312" w:hAnsi="仿宋_GB2312" w:eastAsia="仿宋_GB2312" w:cs="仿宋_GB2312"/>
          <w:sz w:val="32"/>
          <w:szCs w:val="32"/>
        </w:rPr>
        <w:t>号）精神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由县纪委监委进行处理</w:t>
      </w:r>
      <w:r>
        <w:rPr>
          <w:rFonts w:hint="eastAsia" w:ascii="仿宋_GB2312" w:hAnsi="仿宋_GB2312" w:eastAsia="仿宋_GB2312" w:cs="仿宋_GB2312"/>
          <w:sz w:val="32"/>
          <w:szCs w:val="32"/>
          <w:lang w:eastAsia="zh-CN"/>
        </w:rPr>
        <w:t>，违法图斑下发后在15日内完成整改的可免于组织处理。</w:t>
      </w:r>
    </w:p>
    <w:p w14:paraId="45128D09">
      <w:pPr>
        <w:pStyle w:val="3"/>
        <w:numPr>
          <w:ilvl w:val="0"/>
          <w:numId w:val="0"/>
        </w:num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3.对卫片监测、自然资源督查和审计等过程中发现的新增耕地"非农化" "非粮化"违法行为，在自然资源和农业农村部门下达整改期限内未整改到位或无法整改，作为违法用地上报的，将视情移交纪委依法依规依纪对相关责任人员进行问责。</w:t>
      </w:r>
    </w:p>
    <w:p w14:paraId="0A1F5C0E">
      <w:pPr>
        <w:spacing w:line="580" w:lineRule="exact"/>
        <w:ind w:left="900" w:leftChars="200" w:hanging="480" w:hangingChars="150"/>
        <w:rPr>
          <w:rFonts w:ascii="仿宋_GB2312" w:hAnsi="仿宋_GB2312" w:eastAsia="仿宋_GB2312" w:cs="仿宋_GB2312"/>
          <w:sz w:val="32"/>
          <w:szCs w:val="32"/>
        </w:rPr>
      </w:pPr>
    </w:p>
    <w:p w14:paraId="61779288">
      <w:pPr>
        <w:spacing w:line="580" w:lineRule="exact"/>
        <w:ind w:left="900" w:leftChars="200" w:hanging="480" w:hangingChars="150"/>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农村村民申请宅基地建房指南</w:t>
      </w:r>
    </w:p>
    <w:p w14:paraId="289BB6DE">
      <w:pPr>
        <w:spacing w:line="580" w:lineRule="exact"/>
        <w:ind w:left="735" w:leftChars="350"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 w:eastAsia="仿宋_GB2312" w:cs="仿宋"/>
          <w:sz w:val="32"/>
          <w:szCs w:val="32"/>
        </w:rPr>
        <w:t>地质灾害危险性</w:t>
      </w:r>
      <w:r>
        <w:rPr>
          <w:rFonts w:hint="eastAsia" w:ascii="仿宋_GB2312" w:hAnsi="仿宋" w:eastAsia="仿宋_GB2312" w:cs="仿宋"/>
          <w:sz w:val="32"/>
          <w:szCs w:val="32"/>
          <w:lang w:val="en-US" w:eastAsia="zh-CN"/>
        </w:rPr>
        <w:t>告知书</w:t>
      </w:r>
    </w:p>
    <w:p w14:paraId="4CCE8504">
      <w:pPr>
        <w:spacing w:line="580" w:lineRule="exact"/>
        <w:ind w:left="735" w:leftChars="35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.兴国县农村宅基地建房监管巡查情况明细表</w:t>
      </w:r>
    </w:p>
    <w:p w14:paraId="40385524">
      <w:pPr>
        <w:spacing w:line="580" w:lineRule="exact"/>
        <w:ind w:left="735" w:leftChars="35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ascii="仿宋_GB2312" w:hAnsi="仿宋_GB2312" w:eastAsia="仿宋_GB2312" w:cs="仿宋_GB2312"/>
          <w:sz w:val="32"/>
          <w:szCs w:val="32"/>
        </w:rPr>
        <w:t>.</w:t>
      </w:r>
      <w:r>
        <w:rPr>
          <w:rFonts w:hint="eastAsia" w:ascii="仿宋_GB2312" w:hAnsi="Times New Roman" w:eastAsia="仿宋_GB2312" w:cs="仿宋_GB2312"/>
          <w:kern w:val="0"/>
          <w:sz w:val="32"/>
          <w:szCs w:val="32"/>
          <w:lang w:val="en-US" w:eastAsia="zh-CN"/>
        </w:rPr>
        <w:t>均村乡“两违”治理工作巡查表</w:t>
      </w:r>
    </w:p>
    <w:p w14:paraId="73EE7893">
      <w:pPr>
        <w:widowControl/>
        <w:spacing w:line="580" w:lineRule="exact"/>
        <w:jc w:val="left"/>
        <w:rPr>
          <w:rFonts w:ascii="黑体" w:hAnsi="黑体" w:eastAsia="黑体"/>
          <w:sz w:val="32"/>
          <w:szCs w:val="32"/>
        </w:rPr>
      </w:pPr>
    </w:p>
    <w:p w14:paraId="161A071C">
      <w:pPr>
        <w:widowControl/>
        <w:spacing w:line="580" w:lineRule="exact"/>
        <w:jc w:val="left"/>
        <w:rPr>
          <w:rFonts w:ascii="黑体" w:hAnsi="黑体" w:eastAsia="黑体"/>
          <w:sz w:val="32"/>
          <w:szCs w:val="32"/>
        </w:rPr>
      </w:pPr>
    </w:p>
    <w:p w14:paraId="0E60573A">
      <w:pPr>
        <w:widowControl/>
        <w:spacing w:line="580" w:lineRule="exact"/>
        <w:jc w:val="left"/>
        <w:rPr>
          <w:rFonts w:ascii="黑体" w:hAnsi="黑体" w:eastAsia="黑体"/>
          <w:sz w:val="32"/>
          <w:szCs w:val="32"/>
        </w:rPr>
      </w:pPr>
    </w:p>
    <w:p w14:paraId="0B457536">
      <w:pPr>
        <w:widowControl/>
        <w:spacing w:line="580" w:lineRule="exact"/>
        <w:jc w:val="left"/>
        <w:rPr>
          <w:rFonts w:ascii="黑体" w:hAnsi="黑体" w:eastAsia="黑体"/>
          <w:sz w:val="32"/>
          <w:szCs w:val="32"/>
        </w:rPr>
      </w:pPr>
    </w:p>
    <w:p w14:paraId="4E7CC43C">
      <w:pPr>
        <w:widowControl/>
        <w:spacing w:line="580" w:lineRule="exact"/>
        <w:jc w:val="left"/>
        <w:rPr>
          <w:rFonts w:ascii="黑体" w:hAnsi="黑体" w:eastAsia="黑体"/>
          <w:sz w:val="32"/>
          <w:szCs w:val="32"/>
        </w:rPr>
      </w:pPr>
    </w:p>
    <w:p w14:paraId="7C26A6A8">
      <w:pPr>
        <w:widowControl/>
        <w:spacing w:line="580" w:lineRule="exact"/>
        <w:jc w:val="left"/>
        <w:rPr>
          <w:rFonts w:ascii="黑体" w:hAnsi="黑体" w:eastAsia="黑体"/>
          <w:sz w:val="32"/>
          <w:szCs w:val="32"/>
        </w:rPr>
      </w:pPr>
    </w:p>
    <w:p w14:paraId="1C70E17E">
      <w:pPr>
        <w:widowControl/>
        <w:spacing w:line="580" w:lineRule="exact"/>
        <w:jc w:val="left"/>
        <w:rPr>
          <w:rFonts w:ascii="黑体" w:hAnsi="黑体" w:eastAsia="黑体"/>
          <w:sz w:val="32"/>
          <w:szCs w:val="32"/>
        </w:rPr>
      </w:pPr>
    </w:p>
    <w:p w14:paraId="6D5E5F23">
      <w:pPr>
        <w:widowControl/>
        <w:spacing w:line="580" w:lineRule="exact"/>
        <w:jc w:val="left"/>
        <w:rPr>
          <w:rFonts w:ascii="黑体" w:hAnsi="黑体" w:eastAsia="黑体"/>
          <w:sz w:val="32"/>
          <w:szCs w:val="32"/>
        </w:rPr>
      </w:pPr>
    </w:p>
    <w:p w14:paraId="10AD7674">
      <w:pPr>
        <w:widowControl/>
        <w:spacing w:line="580" w:lineRule="exact"/>
        <w:jc w:val="left"/>
        <w:rPr>
          <w:rFonts w:ascii="黑体" w:hAnsi="黑体" w:eastAsia="黑体"/>
          <w:sz w:val="32"/>
          <w:szCs w:val="32"/>
        </w:rPr>
      </w:pPr>
    </w:p>
    <w:p w14:paraId="42250024">
      <w:pPr>
        <w:widowControl/>
        <w:spacing w:line="580" w:lineRule="exact"/>
        <w:jc w:val="left"/>
        <w:rPr>
          <w:rFonts w:ascii="黑体" w:hAnsi="黑体" w:eastAsia="黑体"/>
          <w:sz w:val="32"/>
          <w:szCs w:val="32"/>
        </w:rPr>
      </w:pPr>
    </w:p>
    <w:p w14:paraId="3C44AA38">
      <w:pPr>
        <w:widowControl/>
        <w:spacing w:line="580" w:lineRule="exact"/>
        <w:jc w:val="left"/>
        <w:rPr>
          <w:rFonts w:ascii="黑体" w:hAnsi="黑体" w:eastAsia="黑体"/>
          <w:sz w:val="32"/>
          <w:szCs w:val="32"/>
        </w:rPr>
      </w:pPr>
      <w:r>
        <w:rPr>
          <w:rFonts w:hint="eastAsia" w:ascii="黑体" w:hAnsi="黑体" w:eastAsia="黑体"/>
          <w:sz w:val="32"/>
          <w:szCs w:val="32"/>
        </w:rPr>
        <w:t>附件1：</w:t>
      </w:r>
    </w:p>
    <w:p w14:paraId="78DA399D">
      <w:pPr>
        <w:pStyle w:val="5"/>
        <w:spacing w:line="580" w:lineRule="exact"/>
        <w:ind w:hanging="535"/>
        <w:jc w:val="center"/>
        <w:rPr>
          <w:rFonts w:hint="eastAsia" w:ascii="方正小标宋简体" w:hAnsi="方正小标宋简体" w:eastAsia="方正小标宋简体" w:cs="方正小标宋简体"/>
          <w:b w:val="0"/>
          <w:bCs/>
          <w:szCs w:val="44"/>
        </w:rPr>
      </w:pPr>
      <w:bookmarkStart w:id="0" w:name="_Hlk171710896"/>
      <w:r>
        <w:rPr>
          <w:rFonts w:hint="eastAsia" w:ascii="方正小标宋简体" w:hAnsi="方正小标宋简体" w:eastAsia="方正小标宋简体" w:cs="方正小标宋简体"/>
          <w:b w:val="0"/>
          <w:bCs/>
          <w:szCs w:val="44"/>
        </w:rPr>
        <w:t>农村村民申请宅基地建房指南</w:t>
      </w:r>
      <w:bookmarkEnd w:id="0"/>
    </w:p>
    <w:p w14:paraId="02468B93"/>
    <w:p w14:paraId="245CFB5E">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（一）农户申请</w:t>
      </w:r>
    </w:p>
    <w:p w14:paraId="20300D6E">
      <w:pPr>
        <w:spacing w:line="580" w:lineRule="exact"/>
        <w:ind w:firstLine="640" w:firstLineChars="200"/>
        <w:rPr>
          <w:rFonts w:ascii="仿宋_GB2312" w:eastAsia="仿宋_GB2312"/>
          <w:sz w:val="32"/>
          <w:szCs w:val="32"/>
        </w:rPr>
      </w:pPr>
      <w:r>
        <w:rPr>
          <w:rFonts w:hint="eastAsia" w:ascii="仿宋_GB2312" w:eastAsia="仿宋_GB2312"/>
          <w:sz w:val="32"/>
          <w:szCs w:val="32"/>
        </w:rPr>
        <w:t>农村村民（本村集体经济组织成员）以户为单位向组集体提交宅基地建房申请书，申请书须写清家庭基本情况、现住房情况、申请理由、拟申请建房具体地址、四至（需注明与永久性参照物的距离）、宅基地总面积（其中住房占地面积、附属房占地面积、庭院占地面积）、建筑面积、建筑层数、建筑高度和建房有相关农户签字同意的建房意见，同时携带户口簿、申请人身份证原件等，交组集体审查。</w:t>
      </w:r>
    </w:p>
    <w:p w14:paraId="37B7770D">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（二）组级审查</w:t>
      </w:r>
    </w:p>
    <w:p w14:paraId="229B123C">
      <w:pPr>
        <w:spacing w:line="580" w:lineRule="exact"/>
        <w:ind w:firstLine="640" w:firstLineChars="200"/>
        <w:rPr>
          <w:rFonts w:ascii="仿宋_GB2312" w:eastAsia="仿宋_GB2312"/>
          <w:sz w:val="32"/>
          <w:szCs w:val="32"/>
        </w:rPr>
      </w:pPr>
      <w:r>
        <w:rPr>
          <w:rFonts w:hint="eastAsia" w:ascii="仿宋_GB2312" w:eastAsia="仿宋_GB2312"/>
          <w:sz w:val="32"/>
          <w:szCs w:val="32"/>
        </w:rPr>
        <w:t>1.组集体收到宅基地建房申请书后，由本组组长进行组级审查，要认真甄别该户农村村民是否本组村民，在本村是否有住房，是否符合“一户一宅”，结合申请人的实际情况对宅基地资格权进行初步审查。（注：国家行政事业单位及国有企业录用的正式在编人员或离退休人员，根据国家相关规定没有宅基地资格权，不可以申请宅基地建房）。</w:t>
      </w:r>
    </w:p>
    <w:p w14:paraId="22B76AD9">
      <w:pPr>
        <w:spacing w:line="58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.经初步审查，有宅基地资格权的，本组组长应十日内到现场查看选址权属（土地）是否有争议、相邻权利人是否有意见；经初步审查，没有宅基地资格权的，要及时反馈不符合情形，并做好政策解释工作。</w:t>
      </w:r>
    </w:p>
    <w:p w14:paraId="0655EFE5">
      <w:pPr>
        <w:spacing w:line="58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初步审查宅基地资格权和现场查看选址权属（土地）合格的，召开村民小组会议进行讨论，讨论通过后，将申请人相关信息、建房理由、拟申请建房用地位置、四至、拟建房宅基地总面积、拟建房层高和建筑面积等情况在本组范围内公示，公示期不少于7天。</w:t>
      </w:r>
    </w:p>
    <w:p w14:paraId="1F27D149">
      <w:pPr>
        <w:spacing w:line="58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.组级公示无异议或异议不成立的，组长在宅基地建房申请书上签署同意建房意见，并交还申请人。</w:t>
      </w:r>
    </w:p>
    <w:p w14:paraId="16909DD5">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（三）村级审查</w:t>
      </w:r>
    </w:p>
    <w:p w14:paraId="6D2EC116">
      <w:pPr>
        <w:spacing w:line="580" w:lineRule="exact"/>
        <w:ind w:firstLine="640" w:firstLineChars="200"/>
        <w:rPr>
          <w:rFonts w:ascii="仿宋_GB2312" w:eastAsia="仿宋_GB2312"/>
          <w:sz w:val="32"/>
          <w:szCs w:val="32"/>
        </w:rPr>
      </w:pPr>
      <w:r>
        <w:rPr>
          <w:rFonts w:hint="eastAsia" w:ascii="仿宋_GB2312" w:eastAsia="仿宋_GB2312"/>
          <w:sz w:val="32"/>
          <w:szCs w:val="32"/>
        </w:rPr>
        <w:t>1.申请人将上述材料提交村民委员会审查，收到材料后，根据申请人身份证及户口簿信息，核查申请人是否为本村村集体经济组织成员，结合公安系统户籍与现实情况核查申请人是否有宅基地资格权，家庭成员在本村是否有房屋、是否符合“一户一宅”等情况。</w:t>
      </w:r>
    </w:p>
    <w:p w14:paraId="6D8AF2F0">
      <w:pPr>
        <w:spacing w:line="580" w:lineRule="exact"/>
        <w:ind w:firstLine="640" w:firstLineChars="200"/>
        <w:rPr>
          <w:rFonts w:ascii="仿宋_GB2312" w:eastAsia="仿宋_GB2312"/>
          <w:sz w:val="32"/>
          <w:szCs w:val="32"/>
        </w:rPr>
      </w:pPr>
      <w:r>
        <w:rPr>
          <w:rFonts w:hint="eastAsia" w:ascii="仿宋_GB2312" w:eastAsia="仿宋_GB2312"/>
          <w:sz w:val="32"/>
          <w:szCs w:val="32"/>
        </w:rPr>
        <w:t>2.如以上条件不符合的，应及时反馈不符合情形，并做好政策解释工作；如符合条件，应指导申请人规范填写《农村宅基地和建房（规划许可）申请表》《农村宅基地使用承诺书》等相关表格。</w:t>
      </w:r>
    </w:p>
    <w:p w14:paraId="3262974C">
      <w:pPr>
        <w:spacing w:line="58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.村民委员会应在7个工作日内派人员根据《农村宅基地和建房（规划许可）申请表》内容，实地申请建房选址现场查看，详细询问本组组长申请人家庭情况、了解用地建房相邻权利意见等。</w:t>
      </w:r>
    </w:p>
    <w:p w14:paraId="029ED323">
      <w:pPr>
        <w:spacing w:line="58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选址查看无异议后，村小组长在《农村宅基地和建房（规划许可）申请表》签字确认，村民委员会在7个工作日内召开审查会议，研究讨论申请人宅基地资格权、户籍信息、家庭成员房屋情况、实地查看建房选址情况、相邻权利人意见、地类等内容，审查会议通过的。在村民委员会张榜公示7天，并将公示图片存档。</w:t>
      </w:r>
    </w:p>
    <w:p w14:paraId="05114882">
      <w:pPr>
        <w:spacing w:line="58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审查未通过或公示异议成立的，应当以书面形式及时反馈不符合情形，并做好政策解释工作；公示期满无异议或异议不成立的，村民委员会出具《农村宅基地资格权证明》，同时在《农村宅基地和建房（规划许可）申请表》签署审查意见、负责人签名、填写签署时间并加盖公章。</w:t>
      </w:r>
    </w:p>
    <w:p w14:paraId="5F626993">
      <w:pPr>
        <w:spacing w:line="58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.村级审查结束后，及时将填写完善的申请材料提交</w:t>
      </w:r>
      <w:r>
        <w:rPr>
          <w:rFonts w:hint="eastAsia" w:ascii="仿宋_GB2312" w:eastAsia="仿宋_GB2312"/>
          <w:sz w:val="32"/>
          <w:szCs w:val="32"/>
          <w:lang w:eastAsia="zh-CN"/>
        </w:rPr>
        <w:t>乡</w:t>
      </w:r>
      <w:r>
        <w:rPr>
          <w:rFonts w:hint="eastAsia" w:ascii="仿宋_GB2312" w:eastAsia="仿宋_GB2312"/>
          <w:sz w:val="32"/>
          <w:szCs w:val="32"/>
        </w:rPr>
        <w:t>宅改专班进行审核。</w:t>
      </w:r>
    </w:p>
    <w:p w14:paraId="11C54DD6">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（四）乡审批</w:t>
      </w:r>
    </w:p>
    <w:p w14:paraId="6A12BB5D">
      <w:pPr>
        <w:spacing w:line="58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乡</w:t>
      </w:r>
      <w:r>
        <w:rPr>
          <w:rFonts w:hint="eastAsia" w:ascii="仿宋_GB2312" w:eastAsia="仿宋_GB2312"/>
          <w:sz w:val="32"/>
          <w:szCs w:val="32"/>
        </w:rPr>
        <w:t>宅改专班收到村委会提交的农户申请宅基地建房资料齐全的（不齐全的及时退回补全，并一次性告之需完善的资料内容），7个工作日内组织工作人员到农户选址现场进行实地选址踏勘（</w:t>
      </w:r>
      <w:r>
        <w:rPr>
          <w:rFonts w:hint="eastAsia" w:ascii="黑体" w:hAnsi="黑体" w:eastAsia="黑体" w:cs="黑体"/>
          <w:sz w:val="32"/>
          <w:szCs w:val="32"/>
        </w:rPr>
        <w:t>一到场</w:t>
      </w:r>
      <w:r>
        <w:rPr>
          <w:rFonts w:hint="eastAsia" w:ascii="仿宋_GB2312" w:eastAsia="仿宋_GB2312"/>
          <w:sz w:val="32"/>
          <w:szCs w:val="32"/>
        </w:rPr>
        <w:t>），主要审查农户提交的材料是否真实有效、拟用地建房是否符合村庄规划、地类是否符合、是否征求了用地建房相邻权利人意见等，现场选址踏勘合格的，绘制与实际相符的宅基地坐落平面位置图，平面图四至必须标明与永久性参照物的具体距离，填写《农村宅基地建房三到场登记表》。</w:t>
      </w:r>
    </w:p>
    <w:p w14:paraId="1FD0CABD">
      <w:pPr>
        <w:spacing w:line="58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乡</w:t>
      </w:r>
      <w:r>
        <w:rPr>
          <w:rFonts w:hint="eastAsia" w:ascii="仿宋_GB2312" w:eastAsia="仿宋_GB2312"/>
          <w:sz w:val="32"/>
          <w:szCs w:val="32"/>
        </w:rPr>
        <w:t>工作专班应在7个工作日内召开农村宅基地建房审批联审联办会议，对申请建房农户情况进行研究讨论，专班各岗位部门负责人根据职责分工，在《农村宅基地和建房（规划许可）审批表》审查意见中签署审查意见并签名。农业农村岗核实申请人是否为本村集体经济组织成员提出意见并签名（签署意见：经审查申请人是XX村集体经济组织成员，具有宅基地资格权或经审查申请人不是XX村集体经济组织成员，不具有宅基地资格权）；自然资源岗根据地类情况核实是否为建设用地提出意见并签名（签署意见：经审查申请人申请的宗地为建设用地同意建房、经审查申请人申请的宗地为农用地需办理农转用手续后方可建房或此宗地块为基本农田不得建房等意见）；林业岗根据地类核实是否占用林地提出意见并签名（签署意见：经审查申请人申请的宗地非林地同意建房、经审查申请人申请的宗地林地需办理林地备案手续后再办理农转用后方可建房，或经审查申请人申请的宗地为公益林不得建房等意见）；其他岗位根据职责进行核实后提出相关意见并签名。</w:t>
      </w:r>
    </w:p>
    <w:p w14:paraId="7AD830AC">
      <w:pPr>
        <w:spacing w:line="580" w:lineRule="exact"/>
        <w:ind w:firstLine="640" w:firstLineChars="200"/>
        <w:rPr>
          <w:rFonts w:ascii="仿宋_GB2312" w:eastAsia="仿宋_GB2312"/>
          <w:sz w:val="32"/>
          <w:szCs w:val="32"/>
        </w:rPr>
      </w:pPr>
      <w:r>
        <w:rPr>
          <w:rFonts w:hint="eastAsia" w:ascii="仿宋_GB2312" w:eastAsia="仿宋_GB2312"/>
          <w:sz w:val="32"/>
          <w:szCs w:val="32"/>
        </w:rPr>
        <w:t>3.涉及占用农用地，办理农用地转用手续后（占用林地的还需提供林地备案材料），方可提交专班会讨论，同时将农用地转用批复文件存档。</w:t>
      </w:r>
    </w:p>
    <w:p w14:paraId="7B7DE9EB">
      <w:pPr>
        <w:spacing w:line="580" w:lineRule="exact"/>
        <w:ind w:firstLine="640" w:firstLineChars="200"/>
        <w:rPr>
          <w:rFonts w:ascii="仿宋_GB2312" w:eastAsia="仿宋_GB2312"/>
          <w:sz w:val="32"/>
          <w:szCs w:val="32"/>
        </w:rPr>
      </w:pPr>
      <w:r>
        <w:rPr>
          <w:rFonts w:hint="eastAsia" w:ascii="仿宋_GB2312" w:eastAsia="仿宋_GB2312"/>
          <w:sz w:val="32"/>
          <w:szCs w:val="32"/>
        </w:rPr>
        <w:t>4.联审联办会议讨论通过的，由专班负责人综合各部门意见，提出审查意见并签名填写审查时间；</w:t>
      </w:r>
      <w:r>
        <w:rPr>
          <w:rFonts w:hint="eastAsia" w:ascii="仿宋_GB2312" w:eastAsia="仿宋_GB2312"/>
          <w:sz w:val="32"/>
          <w:szCs w:val="32"/>
          <w:lang w:eastAsia="zh-CN"/>
        </w:rPr>
        <w:t>乡</w:t>
      </w:r>
      <w:r>
        <w:rPr>
          <w:rFonts w:hint="eastAsia" w:ascii="仿宋_GB2312" w:eastAsia="仿宋_GB2312"/>
          <w:sz w:val="32"/>
          <w:szCs w:val="32"/>
        </w:rPr>
        <w:t>工作专班审核通过的，由专班负责人在7个工作日内将审核材料提交</w:t>
      </w:r>
      <w:r>
        <w:rPr>
          <w:rFonts w:hint="eastAsia" w:ascii="仿宋_GB2312" w:eastAsia="仿宋_GB2312"/>
          <w:sz w:val="32"/>
          <w:szCs w:val="32"/>
          <w:lang w:eastAsia="zh-CN"/>
        </w:rPr>
        <w:t>乡</w:t>
      </w:r>
      <w:r>
        <w:rPr>
          <w:rFonts w:hint="eastAsia" w:ascii="仿宋_GB2312" w:eastAsia="仿宋_GB2312"/>
          <w:sz w:val="32"/>
          <w:szCs w:val="32"/>
        </w:rPr>
        <w:t>长办公会审批；</w:t>
      </w:r>
    </w:p>
    <w:p w14:paraId="2752109B">
      <w:pPr>
        <w:spacing w:line="580" w:lineRule="exact"/>
        <w:ind w:firstLine="640" w:firstLineChars="200"/>
        <w:rPr>
          <w:rFonts w:ascii="仿宋_GB2312" w:eastAsia="仿宋_GB2312"/>
          <w:sz w:val="32"/>
          <w:szCs w:val="32"/>
        </w:rPr>
      </w:pPr>
      <w:r>
        <w:rPr>
          <w:rFonts w:hint="eastAsia" w:ascii="仿宋_GB2312" w:eastAsia="仿宋_GB2312"/>
          <w:sz w:val="32"/>
          <w:szCs w:val="32"/>
        </w:rPr>
        <w:t>5.联审联办会议未通过的，及时通知当事人，并说明理由，同时建立好台账。</w:t>
      </w:r>
    </w:p>
    <w:p w14:paraId="5C678C48">
      <w:pPr>
        <w:spacing w:line="580" w:lineRule="exact"/>
        <w:ind w:firstLine="640" w:firstLineChars="200"/>
        <w:rPr>
          <w:rFonts w:ascii="仿宋_GB2312" w:eastAsia="仿宋_GB2312"/>
          <w:sz w:val="32"/>
          <w:szCs w:val="32"/>
        </w:rPr>
      </w:pPr>
      <w:r>
        <w:rPr>
          <w:rFonts w:hint="eastAsia" w:ascii="仿宋_GB2312" w:eastAsia="仿宋_GB2312"/>
          <w:sz w:val="32"/>
          <w:szCs w:val="32"/>
        </w:rPr>
        <w:t>6.</w:t>
      </w:r>
      <w:r>
        <w:rPr>
          <w:rFonts w:hint="eastAsia" w:ascii="仿宋_GB2312" w:eastAsia="仿宋_GB2312"/>
          <w:sz w:val="32"/>
          <w:szCs w:val="32"/>
          <w:lang w:eastAsia="zh-CN"/>
        </w:rPr>
        <w:t>乡</w:t>
      </w:r>
      <w:r>
        <w:rPr>
          <w:rFonts w:hint="eastAsia" w:ascii="仿宋_GB2312" w:eastAsia="仿宋_GB2312"/>
          <w:sz w:val="32"/>
          <w:szCs w:val="32"/>
        </w:rPr>
        <w:t>人民政府根据宅改专班提交的审核材料，召开</w:t>
      </w:r>
      <w:r>
        <w:rPr>
          <w:rFonts w:hint="eastAsia" w:ascii="仿宋_GB2312" w:eastAsia="仿宋_GB2312"/>
          <w:sz w:val="32"/>
          <w:szCs w:val="32"/>
          <w:lang w:eastAsia="zh-CN"/>
        </w:rPr>
        <w:t>乡</w:t>
      </w:r>
      <w:r>
        <w:rPr>
          <w:rFonts w:hint="eastAsia" w:ascii="仿宋_GB2312" w:eastAsia="仿宋_GB2312"/>
          <w:sz w:val="32"/>
          <w:szCs w:val="32"/>
        </w:rPr>
        <w:t>长办公会议进行讨论审批，会议通过的，根据会议决定，在《农村宅基地和建房（规划许可）审批表》签署审批意见、并加盖</w:t>
      </w:r>
      <w:r>
        <w:rPr>
          <w:rFonts w:hint="eastAsia" w:ascii="仿宋_GB2312" w:eastAsia="仿宋_GB2312"/>
          <w:sz w:val="32"/>
          <w:szCs w:val="32"/>
          <w:lang w:eastAsia="zh-CN"/>
        </w:rPr>
        <w:t>乡</w:t>
      </w:r>
      <w:r>
        <w:rPr>
          <w:rFonts w:hint="eastAsia" w:ascii="仿宋_GB2312" w:eastAsia="仿宋_GB2312"/>
          <w:sz w:val="32"/>
          <w:szCs w:val="32"/>
        </w:rPr>
        <w:t>人民政府签章，</w:t>
      </w:r>
      <w:r>
        <w:rPr>
          <w:rFonts w:hint="eastAsia" w:ascii="仿宋_GB2312" w:eastAsia="仿宋_GB2312"/>
          <w:sz w:val="32"/>
          <w:szCs w:val="32"/>
          <w:lang w:eastAsia="zh-CN"/>
        </w:rPr>
        <w:t>乡</w:t>
      </w:r>
      <w:r>
        <w:rPr>
          <w:rFonts w:hint="eastAsia" w:ascii="仿宋_GB2312" w:eastAsia="仿宋_GB2312"/>
          <w:sz w:val="32"/>
          <w:szCs w:val="32"/>
        </w:rPr>
        <w:t>人民政府下发审批文件至相关村及</w:t>
      </w:r>
      <w:r>
        <w:rPr>
          <w:rFonts w:hint="eastAsia" w:ascii="仿宋_GB2312" w:eastAsia="仿宋_GB2312"/>
          <w:sz w:val="32"/>
          <w:szCs w:val="32"/>
          <w:lang w:eastAsia="zh-CN"/>
        </w:rPr>
        <w:t>乡</w:t>
      </w:r>
      <w:r>
        <w:rPr>
          <w:rFonts w:hint="eastAsia" w:ascii="仿宋_GB2312" w:eastAsia="仿宋_GB2312"/>
          <w:sz w:val="32"/>
          <w:szCs w:val="32"/>
        </w:rPr>
        <w:t>执法队，并将审批结果在建房申请人所在村集体经济组织范围内予以公告，公告期不少于7日，并保存公告图片存档，公告期满后，</w:t>
      </w:r>
      <w:r>
        <w:rPr>
          <w:rFonts w:hint="eastAsia" w:ascii="仿宋_GB2312" w:eastAsia="仿宋_GB2312"/>
          <w:sz w:val="32"/>
          <w:szCs w:val="32"/>
          <w:lang w:eastAsia="zh-CN"/>
        </w:rPr>
        <w:t>乡</w:t>
      </w:r>
      <w:r>
        <w:rPr>
          <w:rFonts w:hint="eastAsia" w:ascii="仿宋_GB2312" w:eastAsia="仿宋_GB2312"/>
          <w:sz w:val="32"/>
          <w:szCs w:val="32"/>
        </w:rPr>
        <w:t>宅改专班根据</w:t>
      </w:r>
      <w:r>
        <w:rPr>
          <w:rFonts w:hint="eastAsia" w:ascii="仿宋_GB2312" w:eastAsia="仿宋_GB2312"/>
          <w:sz w:val="32"/>
          <w:szCs w:val="32"/>
          <w:lang w:eastAsia="zh-CN"/>
        </w:rPr>
        <w:t>乡</w:t>
      </w:r>
      <w:r>
        <w:rPr>
          <w:rFonts w:hint="eastAsia" w:ascii="仿宋_GB2312" w:eastAsia="仿宋_GB2312"/>
          <w:sz w:val="32"/>
          <w:szCs w:val="32"/>
        </w:rPr>
        <w:t>审批内容核发“一证一书”（《乡村建设规划许可证》《农村宅基地批准书》），《农村宅基地批准书》必须按编号顺序使用，并建立台账。由村干部负责与</w:t>
      </w:r>
      <w:r>
        <w:rPr>
          <w:rFonts w:hint="eastAsia" w:ascii="仿宋_GB2312" w:eastAsia="仿宋_GB2312"/>
          <w:sz w:val="32"/>
          <w:szCs w:val="32"/>
          <w:lang w:eastAsia="zh-CN"/>
        </w:rPr>
        <w:t>乡</w:t>
      </w:r>
      <w:r>
        <w:rPr>
          <w:rFonts w:hint="eastAsia" w:ascii="仿宋_GB2312" w:eastAsia="仿宋_GB2312"/>
          <w:sz w:val="32"/>
          <w:szCs w:val="32"/>
        </w:rPr>
        <w:t>宅改专班工作人员联系，通知农户到</w:t>
      </w:r>
      <w:r>
        <w:rPr>
          <w:rFonts w:hint="eastAsia" w:ascii="仿宋_GB2312" w:eastAsia="仿宋_GB2312"/>
          <w:sz w:val="32"/>
          <w:szCs w:val="32"/>
          <w:lang w:eastAsia="zh-CN"/>
        </w:rPr>
        <w:t>乡</w:t>
      </w:r>
      <w:r>
        <w:rPr>
          <w:rFonts w:hint="eastAsia" w:ascii="仿宋_GB2312" w:eastAsia="仿宋_GB2312"/>
          <w:sz w:val="32"/>
          <w:szCs w:val="32"/>
        </w:rPr>
        <w:t>领取“一证一书”。</w:t>
      </w:r>
      <w:r>
        <w:rPr>
          <w:rFonts w:hint="eastAsia" w:ascii="仿宋_GB2312" w:eastAsia="仿宋_GB2312"/>
          <w:sz w:val="32"/>
          <w:szCs w:val="32"/>
          <w:lang w:eastAsia="zh-CN"/>
        </w:rPr>
        <w:t>乡</w:t>
      </w:r>
      <w:r>
        <w:rPr>
          <w:rFonts w:hint="eastAsia" w:ascii="仿宋_GB2312" w:eastAsia="仿宋_GB2312"/>
          <w:sz w:val="32"/>
          <w:szCs w:val="32"/>
        </w:rPr>
        <w:t>审查、审批未通过的，</w:t>
      </w:r>
      <w:r>
        <w:rPr>
          <w:rFonts w:hint="eastAsia" w:ascii="仿宋_GB2312" w:eastAsia="仿宋_GB2312"/>
          <w:sz w:val="32"/>
          <w:szCs w:val="32"/>
          <w:lang w:eastAsia="zh-CN"/>
        </w:rPr>
        <w:t>乡</w:t>
      </w:r>
      <w:r>
        <w:rPr>
          <w:rFonts w:hint="eastAsia" w:ascii="仿宋_GB2312" w:eastAsia="仿宋_GB2312"/>
          <w:sz w:val="32"/>
          <w:szCs w:val="32"/>
        </w:rPr>
        <w:t>工作专班工作人员及时书面告知申请人并说明理由，同时建立台账。</w:t>
      </w:r>
    </w:p>
    <w:p w14:paraId="7F9EAF57">
      <w:pPr>
        <w:spacing w:line="580" w:lineRule="exact"/>
        <w:ind w:firstLine="640" w:firstLineChars="200"/>
        <w:rPr>
          <w:rFonts w:ascii="仿宋_GB2312" w:eastAsia="仿宋_GB2312"/>
          <w:sz w:val="32"/>
          <w:szCs w:val="32"/>
        </w:rPr>
      </w:pPr>
      <w:r>
        <w:rPr>
          <w:rFonts w:hint="eastAsia" w:ascii="仿宋_GB2312" w:eastAsia="仿宋_GB2312"/>
          <w:sz w:val="32"/>
          <w:szCs w:val="32"/>
        </w:rPr>
        <w:t>7.</w:t>
      </w:r>
      <w:r>
        <w:rPr>
          <w:rFonts w:hint="eastAsia" w:ascii="仿宋_GB2312" w:eastAsia="仿宋_GB2312"/>
          <w:sz w:val="32"/>
          <w:szCs w:val="32"/>
          <w:lang w:eastAsia="zh-CN"/>
        </w:rPr>
        <w:t>乡</w:t>
      </w:r>
      <w:r>
        <w:rPr>
          <w:rFonts w:hint="eastAsia" w:ascii="仿宋_GB2312" w:eastAsia="仿宋_GB2312"/>
          <w:sz w:val="32"/>
          <w:szCs w:val="32"/>
        </w:rPr>
        <w:t>执法队和村民委员会根据</w:t>
      </w:r>
      <w:r>
        <w:rPr>
          <w:rFonts w:hint="eastAsia" w:ascii="仿宋_GB2312" w:eastAsia="仿宋_GB2312"/>
          <w:sz w:val="32"/>
          <w:szCs w:val="32"/>
          <w:lang w:eastAsia="zh-CN"/>
        </w:rPr>
        <w:t>乡</w:t>
      </w:r>
      <w:r>
        <w:rPr>
          <w:rFonts w:hint="eastAsia" w:ascii="仿宋_GB2312" w:eastAsia="仿宋_GB2312"/>
          <w:sz w:val="32"/>
          <w:szCs w:val="32"/>
        </w:rPr>
        <w:t>农村宅基地审批文件，有针对性地开展日常监管建房巡查。</w:t>
      </w:r>
    </w:p>
    <w:p w14:paraId="51CD39A7">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（五）施工放线</w:t>
      </w:r>
    </w:p>
    <w:p w14:paraId="1EB8B5E4">
      <w:pPr>
        <w:spacing w:line="580" w:lineRule="exact"/>
        <w:ind w:firstLine="640" w:firstLineChars="200"/>
        <w:rPr>
          <w:rFonts w:ascii="仿宋_GB2312" w:eastAsia="仿宋_GB2312"/>
          <w:sz w:val="32"/>
          <w:szCs w:val="32"/>
        </w:rPr>
      </w:pPr>
      <w:r>
        <w:rPr>
          <w:rFonts w:hint="eastAsia" w:ascii="仿宋_GB2312" w:eastAsia="仿宋_GB2312"/>
          <w:sz w:val="32"/>
          <w:szCs w:val="32"/>
        </w:rPr>
        <w:t>1.宅基地申请人取得《乡村建设规划许可证》《农村宅基地批准书》后，根据选定的开工时间，提前一周向</w:t>
      </w:r>
      <w:r>
        <w:rPr>
          <w:rFonts w:hint="eastAsia" w:ascii="仿宋_GB2312" w:eastAsia="仿宋_GB2312"/>
          <w:sz w:val="32"/>
          <w:szCs w:val="32"/>
          <w:lang w:eastAsia="zh-CN"/>
        </w:rPr>
        <w:t>乡</w:t>
      </w:r>
      <w:r>
        <w:rPr>
          <w:rFonts w:hint="eastAsia" w:ascii="仿宋_GB2312" w:eastAsia="仿宋_GB2312"/>
          <w:sz w:val="32"/>
          <w:szCs w:val="32"/>
        </w:rPr>
        <w:t>宅改专班提交放样申请书。</w:t>
      </w:r>
    </w:p>
    <w:p w14:paraId="07CDF238">
      <w:pPr>
        <w:spacing w:line="58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乡</w:t>
      </w:r>
      <w:r>
        <w:rPr>
          <w:rFonts w:hint="eastAsia" w:ascii="仿宋_GB2312" w:eastAsia="仿宋_GB2312"/>
          <w:sz w:val="32"/>
          <w:szCs w:val="32"/>
        </w:rPr>
        <w:t>宅改专班根据农户提交的纸质申请书确定的开工时间，丈量批放工作人员根据审批内容进行实地丈量批放宅基地，确定具体建房位置，负责钉桩、放线，填写《农村宅基地建房三到场登记表》（</w:t>
      </w:r>
      <w:r>
        <w:rPr>
          <w:rFonts w:hint="eastAsia" w:ascii="黑体" w:hAnsi="黑体" w:eastAsia="黑体" w:cs="黑体"/>
          <w:sz w:val="32"/>
          <w:szCs w:val="32"/>
        </w:rPr>
        <w:t>二到场</w:t>
      </w:r>
      <w:r>
        <w:rPr>
          <w:rFonts w:hint="eastAsia" w:ascii="仿宋_GB2312" w:eastAsia="仿宋_GB2312"/>
          <w:sz w:val="32"/>
          <w:szCs w:val="32"/>
        </w:rPr>
        <w:t>），并在现场张贴建房公示牌（一公示）。</w:t>
      </w:r>
    </w:p>
    <w:p w14:paraId="508EF826">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（六）安全施工</w:t>
      </w:r>
    </w:p>
    <w:p w14:paraId="00C7E872">
      <w:pPr>
        <w:spacing w:line="580" w:lineRule="exact"/>
        <w:ind w:firstLine="640" w:firstLineChars="200"/>
        <w:rPr>
          <w:rFonts w:ascii="仿宋_GB2312" w:eastAsia="仿宋_GB2312"/>
          <w:sz w:val="32"/>
          <w:szCs w:val="32"/>
        </w:rPr>
      </w:pPr>
      <w:r>
        <w:rPr>
          <w:rFonts w:hint="eastAsia" w:ascii="仿宋_GB2312" w:eastAsia="仿宋_GB2312"/>
          <w:sz w:val="32"/>
          <w:szCs w:val="32"/>
        </w:rPr>
        <w:t>1.村民必须取得《乡村建设规划许可证》《农村宅基地批准书》后，根据</w:t>
      </w:r>
      <w:r>
        <w:rPr>
          <w:rFonts w:hint="eastAsia" w:ascii="仿宋_GB2312" w:eastAsia="仿宋_GB2312"/>
          <w:sz w:val="32"/>
          <w:szCs w:val="32"/>
          <w:lang w:eastAsia="zh-CN"/>
        </w:rPr>
        <w:t>乡</w:t>
      </w:r>
      <w:r>
        <w:rPr>
          <w:rFonts w:hint="eastAsia" w:ascii="仿宋_GB2312" w:eastAsia="仿宋_GB2312"/>
          <w:sz w:val="32"/>
          <w:szCs w:val="32"/>
        </w:rPr>
        <w:t>宅改专班实地放样进行施工，不得改变放样位置。</w:t>
      </w:r>
    </w:p>
    <w:p w14:paraId="432626E2">
      <w:pPr>
        <w:spacing w:line="580" w:lineRule="exact"/>
        <w:ind w:firstLine="640" w:firstLineChars="200"/>
        <w:rPr>
          <w:rFonts w:ascii="仿宋_GB2312" w:eastAsia="仿宋_GB2312"/>
          <w:sz w:val="32"/>
          <w:szCs w:val="32"/>
        </w:rPr>
      </w:pPr>
      <w:r>
        <w:rPr>
          <w:rFonts w:hint="eastAsia" w:ascii="仿宋_GB2312" w:eastAsia="仿宋_GB2312"/>
          <w:sz w:val="32"/>
          <w:szCs w:val="32"/>
        </w:rPr>
        <w:t>2.建房施工前，村民应从乡村建设工匠名录中选择工匠或委托具有相应资质的施工单位施工，乡村建设工匠或施工单位应当按照建房审批文件、设计图纸、施工技术标准和操作规程等采取安全施工措施，同时做好施工现场安全防护工作。签订由政府提供的建设合同示范文本合同，施工合同报</w:t>
      </w:r>
      <w:r>
        <w:rPr>
          <w:rFonts w:hint="eastAsia" w:ascii="仿宋_GB2312" w:eastAsia="仿宋_GB2312"/>
          <w:sz w:val="32"/>
          <w:szCs w:val="32"/>
          <w:lang w:eastAsia="zh-CN"/>
        </w:rPr>
        <w:t>乡</w:t>
      </w:r>
      <w:r>
        <w:rPr>
          <w:rFonts w:hint="eastAsia" w:ascii="仿宋_GB2312" w:eastAsia="仿宋_GB2312"/>
          <w:sz w:val="32"/>
          <w:szCs w:val="32"/>
        </w:rPr>
        <w:t>宅改专班备案。</w:t>
      </w:r>
    </w:p>
    <w:p w14:paraId="3105769E">
      <w:pPr>
        <w:spacing w:line="580" w:lineRule="exact"/>
        <w:ind w:firstLine="640" w:firstLineChars="200"/>
        <w:rPr>
          <w:rFonts w:ascii="仿宋_GB2312" w:eastAsia="仿宋_GB2312"/>
          <w:sz w:val="32"/>
          <w:szCs w:val="32"/>
        </w:rPr>
      </w:pPr>
      <w:r>
        <w:rPr>
          <w:rFonts w:hint="eastAsia" w:ascii="仿宋_GB2312" w:eastAsia="仿宋_GB2312"/>
          <w:sz w:val="32"/>
          <w:szCs w:val="32"/>
        </w:rPr>
        <w:t>3.村民自建房设计应当注重建筑质量安全和</w:t>
      </w:r>
      <w:r>
        <w:rPr>
          <w:rFonts w:hint="eastAsia" w:ascii="仿宋_GB2312" w:eastAsia="仿宋_GB2312"/>
          <w:sz w:val="32"/>
          <w:szCs w:val="32"/>
          <w:lang w:eastAsia="zh-CN"/>
        </w:rPr>
        <w:t>乡</w:t>
      </w:r>
      <w:r>
        <w:rPr>
          <w:rFonts w:hint="eastAsia" w:ascii="仿宋_GB2312" w:eastAsia="仿宋_GB2312"/>
          <w:sz w:val="32"/>
          <w:szCs w:val="32"/>
        </w:rPr>
        <w:t>规划的风貌管控要求，建设二层以上的应当选用政府提供的农村住房设计通用图集或者委托具有相应资质的设计单位进行设计。</w:t>
      </w:r>
    </w:p>
    <w:p w14:paraId="11693740">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（七）竣工验收</w:t>
      </w:r>
    </w:p>
    <w:p w14:paraId="3B8E37A1">
      <w:pPr>
        <w:spacing w:line="580" w:lineRule="exact"/>
        <w:ind w:firstLine="640" w:firstLineChars="200"/>
        <w:rPr>
          <w:rFonts w:ascii="仿宋_GB2312" w:eastAsia="仿宋_GB2312"/>
          <w:sz w:val="32"/>
          <w:szCs w:val="32"/>
        </w:rPr>
      </w:pPr>
      <w:r>
        <w:rPr>
          <w:rFonts w:hint="eastAsia" w:ascii="仿宋_GB2312" w:eastAsia="仿宋_GB2312"/>
          <w:sz w:val="32"/>
          <w:szCs w:val="32"/>
        </w:rPr>
        <w:t>1.村民建房完工后，及时向</w:t>
      </w:r>
      <w:r>
        <w:rPr>
          <w:rFonts w:hint="eastAsia" w:ascii="仿宋_GB2312" w:eastAsia="仿宋_GB2312"/>
          <w:sz w:val="32"/>
          <w:szCs w:val="32"/>
          <w:lang w:eastAsia="zh-CN"/>
        </w:rPr>
        <w:t>乡</w:t>
      </w:r>
      <w:r>
        <w:rPr>
          <w:rFonts w:hint="eastAsia" w:ascii="仿宋_GB2312" w:eastAsia="仿宋_GB2312"/>
          <w:sz w:val="32"/>
          <w:szCs w:val="32"/>
        </w:rPr>
        <w:t>宅改专班工作人员提交加盖手印的手写稿竣工核查申请书。</w:t>
      </w:r>
    </w:p>
    <w:p w14:paraId="0125B1F5">
      <w:pPr>
        <w:spacing w:line="58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乡</w:t>
      </w:r>
      <w:r>
        <w:rPr>
          <w:rFonts w:hint="eastAsia" w:ascii="仿宋_GB2312" w:eastAsia="仿宋_GB2312"/>
          <w:sz w:val="32"/>
          <w:szCs w:val="32"/>
        </w:rPr>
        <w:t>宅改专班工作人员自收到申请之日起七个工作日内进行竣工核查，实地核查是否符合乡村建设规划许可和农村宅基地批准书的许可内容，核实合格的填写《农村宅基地建房三到场登记表》（</w:t>
      </w:r>
      <w:r>
        <w:rPr>
          <w:rFonts w:hint="eastAsia" w:ascii="黑体" w:hAnsi="黑体" w:eastAsia="黑体" w:cs="黑体"/>
          <w:sz w:val="32"/>
          <w:szCs w:val="32"/>
        </w:rPr>
        <w:t>三到场</w:t>
      </w:r>
      <w:r>
        <w:rPr>
          <w:rFonts w:hint="eastAsia" w:ascii="仿宋_GB2312" w:eastAsia="仿宋_GB2312"/>
          <w:sz w:val="32"/>
          <w:szCs w:val="32"/>
        </w:rPr>
        <w:t>），《农村宅基地和建房（规划许可）验收意见表》详细填写相关信息和实际使用宅基地总面积、住房占地面积、附属用房占地面积、庭院占地面积、住房建筑层数、高度，折旧退还宅基地等情况，绘制竣工平面简图，经办人审核签名，工作专班负责人提出验收意见并签名、填写验收时间并加盖</w:t>
      </w:r>
      <w:r>
        <w:rPr>
          <w:rFonts w:hint="eastAsia" w:ascii="仿宋_GB2312" w:eastAsia="仿宋_GB2312"/>
          <w:sz w:val="32"/>
          <w:szCs w:val="32"/>
          <w:lang w:eastAsia="zh-CN"/>
        </w:rPr>
        <w:t>乡</w:t>
      </w:r>
      <w:r>
        <w:rPr>
          <w:rFonts w:hint="eastAsia" w:ascii="仿宋_GB2312" w:eastAsia="仿宋_GB2312"/>
          <w:sz w:val="32"/>
          <w:szCs w:val="32"/>
        </w:rPr>
        <w:t>便民服务中心公章，核实合格后，</w:t>
      </w:r>
      <w:r>
        <w:rPr>
          <w:rFonts w:hint="eastAsia" w:ascii="仿宋_GB2312" w:eastAsia="仿宋_GB2312"/>
          <w:sz w:val="32"/>
          <w:szCs w:val="32"/>
          <w:lang w:eastAsia="zh-CN"/>
        </w:rPr>
        <w:t>乡</w:t>
      </w:r>
      <w:r>
        <w:rPr>
          <w:rFonts w:hint="eastAsia" w:ascii="仿宋_GB2312" w:eastAsia="仿宋_GB2312"/>
          <w:sz w:val="32"/>
          <w:szCs w:val="32"/>
        </w:rPr>
        <w:t>人民政府审核，提出验收意见，填写审核时间并加盖</w:t>
      </w:r>
      <w:r>
        <w:rPr>
          <w:rFonts w:hint="eastAsia" w:ascii="仿宋_GB2312" w:eastAsia="仿宋_GB2312"/>
          <w:sz w:val="32"/>
          <w:szCs w:val="32"/>
          <w:lang w:eastAsia="zh-CN"/>
        </w:rPr>
        <w:t>乡</w:t>
      </w:r>
      <w:r>
        <w:rPr>
          <w:rFonts w:hint="eastAsia" w:ascii="仿宋_GB2312" w:eastAsia="仿宋_GB2312"/>
          <w:sz w:val="32"/>
          <w:szCs w:val="32"/>
        </w:rPr>
        <w:t>人民政府公章。核实不合格的发放验收整改通知书，限期整改，整改到位后方可入住。</w:t>
      </w:r>
    </w:p>
    <w:p w14:paraId="76807A40">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（八）上报县级备案</w:t>
      </w:r>
    </w:p>
    <w:p w14:paraId="6989DA09">
      <w:pPr>
        <w:spacing w:line="580" w:lineRule="exact"/>
        <w:ind w:firstLine="640" w:firstLineChars="200"/>
        <w:rPr>
          <w:rFonts w:ascii="仿宋_GB2312" w:eastAsia="仿宋_GB2312"/>
          <w:sz w:val="32"/>
          <w:szCs w:val="32"/>
        </w:rPr>
      </w:pPr>
      <w:r>
        <w:rPr>
          <w:rFonts w:hint="eastAsia" w:ascii="仿宋_GB2312" w:eastAsia="仿宋_GB2312"/>
          <w:sz w:val="32"/>
          <w:szCs w:val="32"/>
          <w:lang w:eastAsia="zh-CN"/>
        </w:rPr>
        <w:t>乡</w:t>
      </w:r>
      <w:r>
        <w:rPr>
          <w:rFonts w:hint="eastAsia" w:ascii="仿宋_GB2312" w:eastAsia="仿宋_GB2312"/>
          <w:sz w:val="32"/>
          <w:szCs w:val="32"/>
        </w:rPr>
        <w:t>宅改专班业务员应根据《兴国县农村宅基地建房审批档案资料清单》，认真整理已审批的农村宅基地建房审批资料，每月及时报送至县农业农村局、县自然资源局备案（备案资料清单详见《兴国县农村宅基地建房审批档案资料清单》）</w:t>
      </w:r>
    </w:p>
    <w:p w14:paraId="02C73E59">
      <w:pPr>
        <w:widowControl/>
        <w:spacing w:line="580" w:lineRule="exact"/>
        <w:ind w:firstLine="643" w:firstLineChars="200"/>
        <w:rPr>
          <w:rStyle w:val="17"/>
          <w:rFonts w:ascii="楷体_GB2312" w:hAnsi="楷体_GB2312" w:eastAsia="楷体_GB2312" w:cs="楷体_GB2312"/>
          <w:b/>
          <w:bCs/>
          <w:sz w:val="32"/>
          <w:szCs w:val="32"/>
        </w:rPr>
      </w:pPr>
      <w:r>
        <w:rPr>
          <w:rStyle w:val="17"/>
          <w:rFonts w:hint="eastAsia" w:ascii="楷体_GB2312" w:hAnsi="楷体_GB2312" w:eastAsia="楷体_GB2312" w:cs="楷体_GB2312"/>
          <w:b/>
          <w:bCs/>
          <w:sz w:val="32"/>
          <w:szCs w:val="32"/>
        </w:rPr>
        <w:t>（九）确权发证</w:t>
      </w:r>
    </w:p>
    <w:p w14:paraId="3C1FAA1B">
      <w:pPr>
        <w:spacing w:line="580" w:lineRule="exact"/>
        <w:ind w:firstLine="640" w:firstLineChars="200"/>
        <w:rPr>
          <w:rFonts w:ascii="仿宋_GB2312" w:eastAsia="仿宋_GB2312"/>
          <w:sz w:val="32"/>
          <w:szCs w:val="32"/>
        </w:rPr>
      </w:pPr>
      <w:r>
        <w:rPr>
          <w:rFonts w:hint="eastAsia" w:ascii="仿宋_GB2312" w:eastAsia="仿宋_GB2312"/>
          <w:sz w:val="32"/>
          <w:szCs w:val="32"/>
        </w:rPr>
        <w:t>竣工验收合格后，建房村民依法向自然资源分中心申请办理不动产登记。</w:t>
      </w:r>
    </w:p>
    <w:p w14:paraId="31D8FEAC">
      <w:pPr>
        <w:pStyle w:val="7"/>
        <w:spacing w:line="240" w:lineRule="auto"/>
        <w:rPr>
          <w:rFonts w:hint="eastAsia"/>
          <w:sz w:val="32"/>
          <w:szCs w:val="32"/>
          <w:lang w:val="en-US" w:eastAsia="zh-CN"/>
        </w:rPr>
      </w:pPr>
    </w:p>
    <w:p w14:paraId="676C9666">
      <w:pPr>
        <w:spacing w:line="560" w:lineRule="exact"/>
        <w:ind w:firstLine="640" w:firstLineChars="200"/>
        <w:rPr>
          <w:rFonts w:ascii="仿宋_GB2312" w:eastAsia="仿宋_GB2312"/>
          <w:sz w:val="32"/>
          <w:szCs w:val="32"/>
        </w:rPr>
      </w:pPr>
    </w:p>
    <w:p w14:paraId="1B0A6EC5">
      <w:pPr>
        <w:spacing w:line="560" w:lineRule="exact"/>
        <w:ind w:firstLine="640" w:firstLineChars="200"/>
        <w:rPr>
          <w:rFonts w:ascii="仿宋_GB2312" w:eastAsia="仿宋_GB2312"/>
          <w:sz w:val="32"/>
          <w:szCs w:val="32"/>
        </w:rPr>
      </w:pPr>
    </w:p>
    <w:p w14:paraId="50F46D0C">
      <w:pPr>
        <w:sectPr>
          <w:footerReference r:id="rId3" w:type="default"/>
          <w:pgSz w:w="11906" w:h="16838"/>
          <w:pgMar w:top="1985" w:right="1587" w:bottom="2098" w:left="1474" w:header="851" w:footer="992" w:gutter="0"/>
          <w:pgNumType w:fmt="numberInDash"/>
          <w:cols w:space="0" w:num="1"/>
          <w:docGrid w:linePitch="312" w:charSpace="0"/>
        </w:sectPr>
      </w:pPr>
    </w:p>
    <w:p w14:paraId="65A68C23">
      <w:pPr>
        <w:widowControl/>
        <w:spacing w:line="480" w:lineRule="exact"/>
        <w:jc w:val="left"/>
        <w:rPr>
          <w:rFonts w:hint="eastAsia" w:ascii="黑体" w:hAnsi="黑体" w:eastAsia="黑体"/>
          <w:sz w:val="32"/>
          <w:szCs w:val="32"/>
        </w:rPr>
      </w:pPr>
    </w:p>
    <w:p w14:paraId="5A4C84CD">
      <w:pPr>
        <w:widowControl/>
        <w:spacing w:line="480" w:lineRule="exact"/>
        <w:jc w:val="left"/>
        <w:rPr>
          <w:rFonts w:hint="eastAsia" w:ascii="黑体" w:hAnsi="黑体" w:eastAsia="黑体"/>
          <w:sz w:val="32"/>
          <w:szCs w:val="32"/>
        </w:rPr>
      </w:pPr>
    </w:p>
    <w:p w14:paraId="08747F40">
      <w:pPr>
        <w:widowControl/>
        <w:spacing w:line="480" w:lineRule="exact"/>
        <w:jc w:val="left"/>
        <w:rPr>
          <w:rFonts w:hint="eastAsia" w:ascii="黑体" w:hAnsi="黑体" w:eastAsia="黑体"/>
          <w:sz w:val="32"/>
          <w:szCs w:val="32"/>
        </w:rPr>
      </w:pPr>
    </w:p>
    <w:p w14:paraId="2440B2D4">
      <w:pPr>
        <w:widowControl/>
        <w:spacing w:line="480" w:lineRule="exact"/>
        <w:jc w:val="left"/>
        <w:rPr>
          <w:rFonts w:hint="eastAsia" w:ascii="黑体" w:hAnsi="黑体" w:eastAsia="黑体"/>
          <w:sz w:val="32"/>
          <w:szCs w:val="32"/>
        </w:rPr>
      </w:pPr>
      <w:r>
        <w:rPr>
          <w:rFonts w:ascii="仿宋_GB2312" w:eastAsia="仿宋_GB2312"/>
          <w:sz w:val="32"/>
          <w:szCs w:val="32"/>
        </w:rPr>
        <w:drawing>
          <wp:anchor distT="0" distB="0" distL="114300" distR="114300" simplePos="0" relativeHeight="251661312" behindDoc="1" locked="0" layoutInCell="1" allowOverlap="1">
            <wp:simplePos x="0" y="0"/>
            <wp:positionH relativeFrom="margin">
              <wp:posOffset>-425450</wp:posOffset>
            </wp:positionH>
            <wp:positionV relativeFrom="paragraph">
              <wp:posOffset>215265</wp:posOffset>
            </wp:positionV>
            <wp:extent cx="6450965" cy="4565015"/>
            <wp:effectExtent l="0" t="0" r="6985" b="698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450965" cy="4565015"/>
                    </a:xfrm>
                    <a:prstGeom prst="rect">
                      <a:avLst/>
                    </a:prstGeom>
                    <a:noFill/>
                    <a:ln>
                      <a:noFill/>
                    </a:ln>
                  </pic:spPr>
                </pic:pic>
              </a:graphicData>
            </a:graphic>
          </wp:anchor>
        </w:drawing>
      </w:r>
    </w:p>
    <w:p w14:paraId="75598ADE">
      <w:pPr>
        <w:widowControl/>
        <w:spacing w:line="480" w:lineRule="exact"/>
        <w:jc w:val="left"/>
        <w:rPr>
          <w:rFonts w:hint="eastAsia" w:ascii="黑体" w:hAnsi="黑体" w:eastAsia="黑体"/>
          <w:sz w:val="32"/>
          <w:szCs w:val="32"/>
        </w:rPr>
      </w:pPr>
    </w:p>
    <w:p w14:paraId="7B56BB1A">
      <w:pPr>
        <w:widowControl/>
        <w:spacing w:line="480" w:lineRule="exact"/>
        <w:jc w:val="left"/>
        <w:rPr>
          <w:rFonts w:hint="eastAsia" w:ascii="黑体" w:hAnsi="黑体" w:eastAsia="黑体"/>
          <w:sz w:val="32"/>
          <w:szCs w:val="32"/>
        </w:rPr>
      </w:pPr>
    </w:p>
    <w:p w14:paraId="52584B6B">
      <w:pPr>
        <w:widowControl/>
        <w:spacing w:line="480" w:lineRule="exact"/>
        <w:jc w:val="left"/>
        <w:rPr>
          <w:rFonts w:hint="eastAsia" w:ascii="黑体" w:hAnsi="黑体" w:eastAsia="黑体"/>
          <w:sz w:val="32"/>
          <w:szCs w:val="32"/>
        </w:rPr>
      </w:pPr>
    </w:p>
    <w:p w14:paraId="08B4F32C">
      <w:pPr>
        <w:widowControl/>
        <w:spacing w:line="480" w:lineRule="exact"/>
        <w:jc w:val="left"/>
        <w:rPr>
          <w:rFonts w:hint="eastAsia" w:ascii="黑体" w:hAnsi="黑体" w:eastAsia="黑体"/>
          <w:sz w:val="32"/>
          <w:szCs w:val="32"/>
        </w:rPr>
      </w:pPr>
    </w:p>
    <w:p w14:paraId="4915D16E">
      <w:pPr>
        <w:widowControl/>
        <w:spacing w:line="480" w:lineRule="exact"/>
        <w:jc w:val="left"/>
        <w:rPr>
          <w:rFonts w:hint="eastAsia" w:ascii="黑体" w:hAnsi="黑体" w:eastAsia="黑体"/>
          <w:sz w:val="32"/>
          <w:szCs w:val="32"/>
        </w:rPr>
      </w:pPr>
    </w:p>
    <w:p w14:paraId="146EB259">
      <w:pPr>
        <w:widowControl/>
        <w:spacing w:line="480" w:lineRule="exact"/>
        <w:jc w:val="left"/>
        <w:rPr>
          <w:rFonts w:hint="eastAsia" w:ascii="黑体" w:hAnsi="黑体" w:eastAsia="黑体"/>
          <w:sz w:val="32"/>
          <w:szCs w:val="32"/>
        </w:rPr>
      </w:pPr>
    </w:p>
    <w:p w14:paraId="56A478FC">
      <w:pPr>
        <w:widowControl/>
        <w:spacing w:line="480" w:lineRule="exact"/>
        <w:jc w:val="left"/>
        <w:rPr>
          <w:rFonts w:hint="eastAsia" w:ascii="黑体" w:hAnsi="黑体" w:eastAsia="黑体"/>
          <w:sz w:val="32"/>
          <w:szCs w:val="32"/>
        </w:rPr>
      </w:pPr>
    </w:p>
    <w:p w14:paraId="0D7AC6D7">
      <w:pPr>
        <w:widowControl/>
        <w:spacing w:line="480" w:lineRule="exact"/>
        <w:jc w:val="left"/>
        <w:rPr>
          <w:rFonts w:hint="eastAsia" w:ascii="黑体" w:hAnsi="黑体" w:eastAsia="黑体"/>
          <w:sz w:val="32"/>
          <w:szCs w:val="32"/>
        </w:rPr>
      </w:pPr>
    </w:p>
    <w:p w14:paraId="0607B07D">
      <w:pPr>
        <w:widowControl/>
        <w:spacing w:line="480" w:lineRule="exact"/>
        <w:jc w:val="left"/>
        <w:rPr>
          <w:rFonts w:hint="eastAsia" w:ascii="黑体" w:hAnsi="黑体" w:eastAsia="黑体"/>
          <w:sz w:val="32"/>
          <w:szCs w:val="32"/>
        </w:rPr>
      </w:pPr>
    </w:p>
    <w:p w14:paraId="20A18CDB">
      <w:pPr>
        <w:widowControl/>
        <w:spacing w:line="480" w:lineRule="exact"/>
        <w:jc w:val="left"/>
        <w:rPr>
          <w:rFonts w:hint="eastAsia" w:ascii="黑体" w:hAnsi="黑体" w:eastAsia="黑体"/>
          <w:sz w:val="32"/>
          <w:szCs w:val="32"/>
        </w:rPr>
      </w:pPr>
    </w:p>
    <w:p w14:paraId="14DD76C2">
      <w:pPr>
        <w:widowControl/>
        <w:spacing w:line="480" w:lineRule="exact"/>
        <w:jc w:val="left"/>
        <w:rPr>
          <w:rFonts w:hint="eastAsia" w:ascii="黑体" w:hAnsi="黑体" w:eastAsia="黑体"/>
          <w:sz w:val="32"/>
          <w:szCs w:val="32"/>
        </w:rPr>
      </w:pPr>
    </w:p>
    <w:p w14:paraId="5F708FA7">
      <w:pPr>
        <w:widowControl/>
        <w:spacing w:line="480" w:lineRule="exact"/>
        <w:jc w:val="left"/>
        <w:rPr>
          <w:rFonts w:hint="eastAsia" w:ascii="黑体" w:hAnsi="黑体" w:eastAsia="黑体"/>
          <w:sz w:val="32"/>
          <w:szCs w:val="32"/>
        </w:rPr>
      </w:pPr>
    </w:p>
    <w:p w14:paraId="1A83869B">
      <w:pPr>
        <w:widowControl/>
        <w:spacing w:line="480" w:lineRule="exact"/>
        <w:jc w:val="left"/>
        <w:rPr>
          <w:rFonts w:hint="eastAsia" w:ascii="黑体" w:hAnsi="黑体" w:eastAsia="黑体"/>
          <w:sz w:val="32"/>
          <w:szCs w:val="32"/>
        </w:rPr>
      </w:pPr>
    </w:p>
    <w:p w14:paraId="40D39A55">
      <w:pPr>
        <w:widowControl/>
        <w:spacing w:line="480" w:lineRule="exact"/>
        <w:jc w:val="left"/>
        <w:rPr>
          <w:rFonts w:hint="eastAsia" w:ascii="黑体" w:hAnsi="黑体" w:eastAsia="黑体"/>
          <w:sz w:val="32"/>
          <w:szCs w:val="32"/>
        </w:rPr>
      </w:pPr>
    </w:p>
    <w:p w14:paraId="4E6399E5">
      <w:pPr>
        <w:widowControl/>
        <w:spacing w:line="480" w:lineRule="exact"/>
        <w:jc w:val="left"/>
        <w:rPr>
          <w:rFonts w:hint="eastAsia" w:ascii="黑体" w:hAnsi="黑体" w:eastAsia="黑体"/>
          <w:sz w:val="32"/>
          <w:szCs w:val="32"/>
        </w:rPr>
      </w:pPr>
    </w:p>
    <w:p w14:paraId="5F99ABFC">
      <w:pPr>
        <w:widowControl/>
        <w:spacing w:line="480" w:lineRule="exact"/>
        <w:jc w:val="left"/>
        <w:rPr>
          <w:rFonts w:hint="eastAsia" w:ascii="黑体" w:hAnsi="黑体" w:eastAsia="黑体"/>
          <w:sz w:val="32"/>
          <w:szCs w:val="32"/>
        </w:rPr>
      </w:pPr>
    </w:p>
    <w:p w14:paraId="294979E3">
      <w:pPr>
        <w:widowControl/>
        <w:spacing w:line="480" w:lineRule="exact"/>
        <w:jc w:val="left"/>
        <w:rPr>
          <w:rFonts w:hint="eastAsia" w:ascii="黑体" w:hAnsi="黑体" w:eastAsia="黑体"/>
          <w:sz w:val="32"/>
          <w:szCs w:val="32"/>
        </w:rPr>
      </w:pPr>
    </w:p>
    <w:p w14:paraId="3A78CC77">
      <w:pPr>
        <w:widowControl/>
        <w:spacing w:line="480" w:lineRule="exact"/>
        <w:jc w:val="left"/>
        <w:rPr>
          <w:rFonts w:hint="eastAsia" w:ascii="黑体" w:hAnsi="黑体" w:eastAsia="黑体"/>
          <w:sz w:val="32"/>
          <w:szCs w:val="32"/>
        </w:rPr>
      </w:pPr>
    </w:p>
    <w:p w14:paraId="148F8524">
      <w:pPr>
        <w:widowControl/>
        <w:spacing w:line="480" w:lineRule="exact"/>
        <w:jc w:val="left"/>
        <w:rPr>
          <w:rFonts w:hint="eastAsia" w:ascii="黑体" w:hAnsi="黑体" w:eastAsia="黑体"/>
          <w:sz w:val="32"/>
          <w:szCs w:val="32"/>
        </w:rPr>
      </w:pPr>
    </w:p>
    <w:p w14:paraId="72096A21">
      <w:pPr>
        <w:widowControl/>
        <w:spacing w:line="480" w:lineRule="exact"/>
        <w:jc w:val="left"/>
        <w:rPr>
          <w:rFonts w:hint="eastAsia" w:ascii="黑体" w:hAnsi="黑体" w:eastAsia="黑体"/>
          <w:sz w:val="32"/>
          <w:szCs w:val="32"/>
        </w:rPr>
      </w:pPr>
    </w:p>
    <w:p w14:paraId="19C9F65A">
      <w:pPr>
        <w:widowControl/>
        <w:spacing w:line="480" w:lineRule="exact"/>
        <w:jc w:val="left"/>
        <w:rPr>
          <w:rFonts w:hint="eastAsia" w:ascii="黑体" w:hAnsi="黑体" w:eastAsia="黑体"/>
          <w:sz w:val="32"/>
          <w:szCs w:val="32"/>
        </w:rPr>
      </w:pPr>
    </w:p>
    <w:p w14:paraId="234082F0">
      <w:pPr>
        <w:widowControl/>
        <w:spacing w:line="480" w:lineRule="exact"/>
        <w:jc w:val="left"/>
        <w:rPr>
          <w:rFonts w:hint="eastAsia" w:ascii="黑体" w:hAnsi="黑体" w:eastAsia="黑体"/>
          <w:sz w:val="32"/>
          <w:szCs w:val="32"/>
        </w:rPr>
      </w:pPr>
    </w:p>
    <w:p w14:paraId="0EB8C4CC">
      <w:pPr>
        <w:widowControl/>
        <w:spacing w:line="480" w:lineRule="exact"/>
        <w:jc w:val="left"/>
        <w:rPr>
          <w:rFonts w:ascii="黑体" w:hAnsi="黑体" w:eastAsia="黑体"/>
          <w:sz w:val="32"/>
          <w:szCs w:val="32"/>
        </w:rPr>
      </w:pPr>
      <w:r>
        <w:rPr>
          <w:rFonts w:hint="eastAsia" w:ascii="黑体" w:hAnsi="黑体" w:eastAsia="黑体"/>
          <w:sz w:val="32"/>
          <w:szCs w:val="32"/>
        </w:rPr>
        <w:t>附件2：</w:t>
      </w:r>
    </w:p>
    <w:p w14:paraId="065772DF">
      <w:pPr>
        <w:widowControl/>
        <w:spacing w:line="480" w:lineRule="exact"/>
        <w:jc w:val="left"/>
        <w:rPr>
          <w:rFonts w:hint="eastAsia" w:ascii="黑体" w:hAnsi="黑体" w:eastAsia="黑体"/>
          <w:b/>
          <w:bCs/>
          <w:sz w:val="32"/>
          <w:szCs w:val="32"/>
        </w:rPr>
      </w:pPr>
    </w:p>
    <w:p w14:paraId="33DD27CC">
      <w:pPr>
        <w:widowControl/>
        <w:spacing w:line="48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建房</w:t>
      </w:r>
      <w:r>
        <w:rPr>
          <w:rFonts w:hint="eastAsia" w:ascii="方正小标宋简体" w:hAnsi="方正小标宋简体" w:eastAsia="方正小标宋简体" w:cs="方正小标宋简体"/>
          <w:b w:val="0"/>
          <w:bCs w:val="0"/>
          <w:sz w:val="44"/>
          <w:szCs w:val="44"/>
        </w:rPr>
        <w:t>地质灾害危险性</w:t>
      </w:r>
      <w:r>
        <w:rPr>
          <w:rFonts w:hint="eastAsia" w:ascii="方正小标宋简体" w:hAnsi="方正小标宋简体" w:eastAsia="方正小标宋简体" w:cs="方正小标宋简体"/>
          <w:b w:val="0"/>
          <w:bCs w:val="0"/>
          <w:sz w:val="44"/>
          <w:szCs w:val="44"/>
          <w:lang w:val="en-US" w:eastAsia="zh-CN"/>
        </w:rPr>
        <w:t>告知书</w:t>
      </w:r>
    </w:p>
    <w:p w14:paraId="7CE1BD71">
      <w:pPr>
        <w:rPr>
          <w:sz w:val="32"/>
          <w:szCs w:val="32"/>
        </w:rPr>
      </w:pPr>
    </w:p>
    <w:p w14:paraId="6028E67A">
      <w:pPr>
        <w:ind w:firstLine="640" w:firstLineChars="200"/>
        <w:rPr>
          <w:rFonts w:hint="eastAsia" w:ascii="仿宋_GB2312" w:hAnsi="仿宋_GB2312" w:eastAsia="仿宋_GB2312" w:cs="仿宋_GB2312"/>
          <w:sz w:val="32"/>
          <w:szCs w:val="32"/>
          <w:lang w:val="en-US" w:eastAsia="zh-CN"/>
        </w:rPr>
      </w:pPr>
    </w:p>
    <w:p w14:paraId="5D492F1C">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XXX:</w:t>
      </w:r>
    </w:p>
    <w:p w14:paraId="550EDE64">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您好，经工作人员现场踏看，您申请建房的选址存在以下安全隐患：</w:t>
      </w:r>
    </w:p>
    <w:p w14:paraId="5E70EC0B">
      <w:pPr>
        <w:numPr>
          <w:ilvl w:val="0"/>
          <w:numId w:val="0"/>
        </w:numPr>
        <w:rPr>
          <w:rFonts w:hint="default"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4810930A">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7A248429">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0BF45D13">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4A72C979">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722025C1">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_GB2312" w:eastAsia="仿宋_GB2312" w:cs="仿宋_GB2312"/>
          <w:sz w:val="32"/>
          <w:szCs w:val="32"/>
          <w:lang w:val="en-US" w:eastAsia="zh-CN"/>
        </w:rPr>
        <w:t xml:space="preserve"> 整改措施：</w:t>
      </w:r>
    </w:p>
    <w:p w14:paraId="060075F9">
      <w:pPr>
        <w:numPr>
          <w:ilvl w:val="0"/>
          <w:numId w:val="0"/>
        </w:numPr>
        <w:rPr>
          <w:rFonts w:hint="default"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388EF9C9">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7E936525">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7069206D">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1C629D9C">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32EAF535">
      <w:pPr>
        <w:numPr>
          <w:ilvl w:val="0"/>
          <w:numId w:val="0"/>
        </w:numPr>
        <w:rPr>
          <w:rFonts w:hint="eastAsia" w:ascii="仿宋_GB2312" w:hAnsi="仿宋" w:eastAsia="仿宋_GB2312" w:cs="仿宋"/>
          <w:sz w:val="32"/>
          <w:szCs w:val="32"/>
          <w:u w:val="single"/>
          <w:lang w:val="en-US" w:eastAsia="zh-CN"/>
        </w:rPr>
      </w:pPr>
      <w:r>
        <w:rPr>
          <w:rFonts w:hint="eastAsia" w:ascii="仿宋_GB2312" w:hAnsi="仿宋" w:eastAsia="仿宋_GB2312" w:cs="仿宋"/>
          <w:sz w:val="32"/>
          <w:szCs w:val="32"/>
          <w:u w:val="none"/>
          <w:lang w:val="en-US" w:eastAsia="zh-CN"/>
        </w:rPr>
        <w:t xml:space="preserve">    </w:t>
      </w:r>
      <w:r>
        <w:rPr>
          <w:rFonts w:hint="eastAsia" w:ascii="仿宋_GB2312" w:hAnsi="仿宋" w:eastAsia="仿宋_GB2312" w:cs="仿宋"/>
          <w:sz w:val="32"/>
          <w:szCs w:val="32"/>
          <w:u w:val="single"/>
          <w:lang w:val="en-US" w:eastAsia="zh-CN"/>
        </w:rPr>
        <w:t xml:space="preserve">                                                   </w:t>
      </w:r>
    </w:p>
    <w:p w14:paraId="5C581462">
      <w:pPr>
        <w:numPr>
          <w:ilvl w:val="0"/>
          <w:numId w:val="0"/>
        </w:numPr>
        <w:rPr>
          <w:rFonts w:hint="eastAsia" w:ascii="仿宋_GB2312" w:hAnsi="仿宋" w:eastAsia="仿宋_GB2312" w:cs="仿宋"/>
          <w:sz w:val="32"/>
          <w:szCs w:val="32"/>
          <w:u w:val="single"/>
          <w:lang w:val="en-US" w:eastAsia="zh-CN"/>
        </w:rPr>
      </w:pPr>
    </w:p>
    <w:p w14:paraId="4CDA3E95">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请您按照以下意见整改。消除地质灾害隐患后方可按程序审批及动工建设。</w:t>
      </w:r>
    </w:p>
    <w:p w14:paraId="0880426B">
      <w:pPr>
        <w:ind w:firstLine="640" w:firstLineChars="200"/>
        <w:rPr>
          <w:rFonts w:hint="eastAsia" w:ascii="仿宋_GB2312" w:hAnsi="仿宋_GB2312" w:eastAsia="仿宋_GB2312" w:cs="仿宋_GB2312"/>
          <w:sz w:val="32"/>
          <w:szCs w:val="32"/>
          <w:lang w:val="en-US" w:eastAsia="zh-CN"/>
        </w:rPr>
      </w:pPr>
    </w:p>
    <w:p w14:paraId="22F89298">
      <w:pPr>
        <w:ind w:firstLine="640" w:firstLineChars="200"/>
        <w:rPr>
          <w:rFonts w:hint="eastAsia" w:ascii="仿宋_GB2312" w:hAnsi="仿宋_GB2312" w:eastAsia="仿宋_GB2312" w:cs="仿宋_GB2312"/>
          <w:sz w:val="32"/>
          <w:szCs w:val="32"/>
          <w:lang w:val="en-US" w:eastAsia="zh-CN"/>
        </w:rPr>
      </w:pPr>
    </w:p>
    <w:p w14:paraId="5D4AD8EB">
      <w:pPr>
        <w:ind w:firstLine="640" w:firstLineChars="200"/>
        <w:rPr>
          <w:rFonts w:hint="eastAsia" w:ascii="仿宋_GB2312" w:hAnsi="仿宋_GB2312" w:eastAsia="仿宋_GB2312" w:cs="仿宋_GB2312"/>
          <w:sz w:val="32"/>
          <w:szCs w:val="32"/>
          <w:lang w:val="en-US" w:eastAsia="zh-CN"/>
        </w:rPr>
      </w:pPr>
    </w:p>
    <w:p w14:paraId="10F58B49">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踏看人：</w:t>
      </w:r>
    </w:p>
    <w:p w14:paraId="6759E667">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时  间：</w:t>
      </w:r>
    </w:p>
    <w:p w14:paraId="4F35B977">
      <w:pPr>
        <w:ind w:firstLine="640" w:firstLineChars="200"/>
        <w:rPr>
          <w:rFonts w:hint="eastAsia" w:ascii="仿宋_GB2312" w:hAnsi="仿宋_GB2312" w:eastAsia="仿宋_GB2312" w:cs="仿宋_GB2312"/>
          <w:sz w:val="32"/>
          <w:szCs w:val="32"/>
          <w:lang w:val="en-US" w:eastAsia="zh-CN"/>
        </w:rPr>
      </w:pPr>
    </w:p>
    <w:p w14:paraId="012F4C51">
      <w:pPr>
        <w:ind w:firstLine="640" w:firstLineChars="200"/>
        <w:rPr>
          <w:rFonts w:hint="eastAsia" w:ascii="仿宋_GB2312" w:hAnsi="仿宋_GB2312" w:eastAsia="仿宋_GB2312" w:cs="仿宋_GB2312"/>
          <w:sz w:val="32"/>
          <w:szCs w:val="32"/>
          <w:lang w:val="en-US" w:eastAsia="zh-CN"/>
        </w:rPr>
      </w:pPr>
    </w:p>
    <w:p w14:paraId="2E3A1E46">
      <w:pPr>
        <w:ind w:firstLine="640" w:firstLineChars="200"/>
        <w:rPr>
          <w:rFonts w:hint="default" w:ascii="仿宋_GB2312" w:hAnsi="仿宋_GB2312" w:eastAsia="仿宋_GB2312" w:cs="仿宋_GB2312"/>
          <w:sz w:val="32"/>
          <w:szCs w:val="32"/>
          <w:lang w:val="en-US" w:eastAsia="zh-CN"/>
        </w:rPr>
        <w:sectPr>
          <w:pgSz w:w="11906" w:h="16838"/>
          <w:pgMar w:top="1984" w:right="1587" w:bottom="2098" w:left="1474" w:header="851" w:footer="992" w:gutter="0"/>
          <w:pgNumType w:fmt="numberInDash"/>
          <w:cols w:space="0" w:num="1"/>
          <w:docGrid w:linePitch="312" w:charSpace="0"/>
        </w:sectPr>
      </w:pPr>
    </w:p>
    <w:p w14:paraId="131A3BFC">
      <w:pPr>
        <w:pStyle w:val="8"/>
        <w:spacing w:line="560" w:lineRule="exact"/>
        <w:ind w:left="0" w:leftChars="0"/>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lang w:val="en-US" w:eastAsia="zh-CN"/>
        </w:rPr>
        <w:t xml:space="preserve">  </w:t>
      </w:r>
      <w:r>
        <w:rPr>
          <w:rFonts w:hint="eastAsia" w:ascii="黑体" w:hAnsi="黑体" w:eastAsia="黑体"/>
          <w:sz w:val="32"/>
          <w:szCs w:val="32"/>
        </w:rPr>
        <w:t>附件</w:t>
      </w:r>
      <w:r>
        <w:rPr>
          <w:rFonts w:hint="eastAsia" w:ascii="黑体" w:hAnsi="黑体" w:eastAsia="黑体"/>
          <w:sz w:val="32"/>
          <w:szCs w:val="32"/>
          <w:lang w:val="en-US" w:eastAsia="zh-CN"/>
        </w:rPr>
        <w:t>3</w:t>
      </w:r>
      <w:r>
        <w:rPr>
          <w:rFonts w:hint="eastAsia" w:ascii="黑体" w:hAnsi="黑体" w:eastAsia="黑体"/>
          <w:sz w:val="32"/>
          <w:szCs w:val="32"/>
        </w:rPr>
        <w:t>：</w:t>
      </w:r>
    </w:p>
    <w:p w14:paraId="128178C4">
      <w:pPr>
        <w:pStyle w:val="8"/>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兴国县农村宅基地建房监管巡查情况明细表</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4"/>
        <w:gridCol w:w="1027"/>
        <w:gridCol w:w="2205"/>
        <w:gridCol w:w="1956"/>
        <w:gridCol w:w="1318"/>
        <w:gridCol w:w="1027"/>
        <w:gridCol w:w="1585"/>
        <w:gridCol w:w="1586"/>
        <w:gridCol w:w="1254"/>
      </w:tblGrid>
      <w:tr w14:paraId="63FE3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5000" w:type="pct"/>
            <w:gridSpan w:val="9"/>
            <w:tcBorders>
              <w:top w:val="nil"/>
              <w:left w:val="nil"/>
              <w:bottom w:val="nil"/>
              <w:right w:val="nil"/>
            </w:tcBorders>
            <w:shd w:val="clear" w:color="auto" w:fill="auto"/>
            <w:noWrap/>
            <w:vAlign w:val="center"/>
          </w:tcPr>
          <w:tbl>
            <w:tblPr>
              <w:tblStyle w:val="15"/>
              <w:tblpPr w:leftFromText="180" w:rightFromText="180" w:vertAnchor="page" w:horzAnchor="page" w:tblpX="-32" w:tblpY="34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968"/>
              <w:gridCol w:w="1103"/>
              <w:gridCol w:w="1104"/>
              <w:gridCol w:w="1104"/>
              <w:gridCol w:w="1298"/>
              <w:gridCol w:w="1043"/>
              <w:gridCol w:w="1117"/>
              <w:gridCol w:w="974"/>
              <w:gridCol w:w="1043"/>
              <w:gridCol w:w="1043"/>
              <w:gridCol w:w="1259"/>
            </w:tblGrid>
            <w:tr w14:paraId="5D2A5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5000" w:type="pct"/>
                  <w:gridSpan w:val="12"/>
                  <w:tcBorders>
                    <w:top w:val="nil"/>
                    <w:left w:val="nil"/>
                    <w:bottom w:val="single" w:color="auto" w:sz="4" w:space="0"/>
                    <w:right w:val="nil"/>
                  </w:tcBorders>
                  <w:vAlign w:val="center"/>
                </w:tcPr>
                <w:p w14:paraId="21D28669">
                  <w:pPr>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填</w:t>
                  </w:r>
                  <w:r>
                    <w:rPr>
                      <w:rFonts w:hint="eastAsia" w:ascii="仿宋_GB2312" w:hAnsi="仿宋_GB2312" w:eastAsia="仿宋_GB2312" w:cs="仿宋_GB2312"/>
                      <w:sz w:val="32"/>
                      <w:szCs w:val="32"/>
                    </w:rPr>
                    <w:t xml:space="preserve">报单位：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填报时间：    年    月   日</w:t>
                  </w:r>
                </w:p>
              </w:tc>
            </w:tr>
            <w:tr w14:paraId="2BC3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271" w:type="pct"/>
                  <w:tcBorders>
                    <w:top w:val="single" w:color="auto" w:sz="4" w:space="0"/>
                  </w:tcBorders>
                  <w:vAlign w:val="center"/>
                </w:tcPr>
                <w:p w14:paraId="657F0267">
                  <w:pPr>
                    <w:widowControl/>
                    <w:jc w:val="center"/>
                    <w:rPr>
                      <w:rFonts w:ascii="黑体" w:hAnsi="黑体" w:eastAsia="黑体" w:cs="宋体"/>
                      <w:color w:val="000000"/>
                      <w:kern w:val="0"/>
                      <w:sz w:val="22"/>
                      <w:szCs w:val="28"/>
                    </w:rPr>
                  </w:pPr>
                  <w:r>
                    <w:rPr>
                      <w:rFonts w:hint="eastAsia" w:ascii="黑体" w:hAnsi="黑体" w:eastAsia="黑体"/>
                      <w:color w:val="000000"/>
                      <w:sz w:val="22"/>
                      <w:szCs w:val="28"/>
                    </w:rPr>
                    <w:t>序号</w:t>
                  </w:r>
                </w:p>
              </w:tc>
              <w:tc>
                <w:tcPr>
                  <w:tcW w:w="380" w:type="pct"/>
                  <w:tcBorders>
                    <w:top w:val="single" w:color="auto" w:sz="4" w:space="0"/>
                  </w:tcBorders>
                  <w:vAlign w:val="center"/>
                </w:tcPr>
                <w:p w14:paraId="626D7C7B">
                  <w:pPr>
                    <w:jc w:val="center"/>
                    <w:rPr>
                      <w:rFonts w:ascii="黑体" w:hAnsi="黑体" w:eastAsia="黑体"/>
                      <w:color w:val="000000"/>
                      <w:sz w:val="22"/>
                      <w:szCs w:val="28"/>
                    </w:rPr>
                  </w:pPr>
                  <w:r>
                    <w:rPr>
                      <w:rFonts w:hint="eastAsia" w:ascii="黑体" w:hAnsi="黑体" w:eastAsia="黑体"/>
                      <w:color w:val="000000"/>
                      <w:sz w:val="22"/>
                      <w:szCs w:val="28"/>
                    </w:rPr>
                    <w:t>巡查人员姓名</w:t>
                  </w:r>
                </w:p>
              </w:tc>
              <w:tc>
                <w:tcPr>
                  <w:tcW w:w="433" w:type="pct"/>
                  <w:tcBorders>
                    <w:top w:val="single" w:color="auto" w:sz="4" w:space="0"/>
                  </w:tcBorders>
                  <w:vAlign w:val="center"/>
                </w:tcPr>
                <w:p w14:paraId="4E036840">
                  <w:pPr>
                    <w:jc w:val="center"/>
                    <w:rPr>
                      <w:rFonts w:ascii="黑体" w:hAnsi="黑体" w:eastAsia="黑体"/>
                      <w:color w:val="000000"/>
                      <w:sz w:val="22"/>
                      <w:szCs w:val="28"/>
                    </w:rPr>
                  </w:pPr>
                  <w:r>
                    <w:rPr>
                      <w:rFonts w:hint="eastAsia" w:ascii="黑体" w:hAnsi="黑体" w:eastAsia="黑体"/>
                      <w:color w:val="000000"/>
                      <w:sz w:val="22"/>
                      <w:szCs w:val="28"/>
                    </w:rPr>
                    <w:t>所在单位及职务</w:t>
                  </w:r>
                </w:p>
              </w:tc>
              <w:tc>
                <w:tcPr>
                  <w:tcW w:w="433" w:type="pct"/>
                  <w:tcBorders>
                    <w:top w:val="single" w:color="auto" w:sz="4" w:space="0"/>
                  </w:tcBorders>
                  <w:vAlign w:val="center"/>
                </w:tcPr>
                <w:p w14:paraId="4E046861">
                  <w:pPr>
                    <w:jc w:val="center"/>
                    <w:rPr>
                      <w:rFonts w:ascii="黑体" w:hAnsi="黑体" w:eastAsia="黑体"/>
                      <w:color w:val="000000"/>
                      <w:sz w:val="22"/>
                      <w:szCs w:val="28"/>
                    </w:rPr>
                  </w:pPr>
                  <w:r>
                    <w:rPr>
                      <w:rFonts w:hint="eastAsia" w:ascii="黑体" w:hAnsi="黑体" w:eastAsia="黑体"/>
                      <w:color w:val="000000"/>
                      <w:sz w:val="22"/>
                      <w:szCs w:val="28"/>
                    </w:rPr>
                    <w:t>建房申请人姓名</w:t>
                  </w:r>
                </w:p>
              </w:tc>
              <w:tc>
                <w:tcPr>
                  <w:tcW w:w="433" w:type="pct"/>
                  <w:tcBorders>
                    <w:top w:val="single" w:color="auto" w:sz="4" w:space="0"/>
                  </w:tcBorders>
                  <w:vAlign w:val="center"/>
                </w:tcPr>
                <w:p w14:paraId="389F2F7F">
                  <w:pPr>
                    <w:jc w:val="center"/>
                    <w:rPr>
                      <w:rFonts w:ascii="黑体" w:hAnsi="黑体" w:eastAsia="黑体"/>
                      <w:color w:val="000000"/>
                      <w:sz w:val="22"/>
                      <w:szCs w:val="28"/>
                    </w:rPr>
                  </w:pPr>
                  <w:r>
                    <w:rPr>
                      <w:rFonts w:hint="eastAsia" w:ascii="黑体" w:hAnsi="黑体" w:eastAsia="黑体"/>
                      <w:color w:val="000000"/>
                      <w:sz w:val="22"/>
                      <w:szCs w:val="28"/>
                    </w:rPr>
                    <w:t>联系电话</w:t>
                  </w:r>
                </w:p>
              </w:tc>
              <w:tc>
                <w:tcPr>
                  <w:tcW w:w="509" w:type="pct"/>
                  <w:tcBorders>
                    <w:top w:val="single" w:color="auto" w:sz="4" w:space="0"/>
                  </w:tcBorders>
                  <w:vAlign w:val="center"/>
                </w:tcPr>
                <w:p w14:paraId="741D7228">
                  <w:pPr>
                    <w:jc w:val="center"/>
                    <w:rPr>
                      <w:rFonts w:ascii="黑体" w:hAnsi="黑体" w:eastAsia="黑体"/>
                      <w:color w:val="000000"/>
                      <w:sz w:val="22"/>
                      <w:szCs w:val="28"/>
                    </w:rPr>
                  </w:pPr>
                  <w:r>
                    <w:rPr>
                      <w:rFonts w:hint="eastAsia" w:ascii="黑体" w:hAnsi="黑体" w:eastAsia="黑体"/>
                      <w:color w:val="000000"/>
                      <w:sz w:val="22"/>
                      <w:szCs w:val="28"/>
                    </w:rPr>
                    <w:t>建房所在地址（具体到组一级）</w:t>
                  </w:r>
                </w:p>
              </w:tc>
              <w:tc>
                <w:tcPr>
                  <w:tcW w:w="409" w:type="pct"/>
                  <w:tcBorders>
                    <w:top w:val="single" w:color="auto" w:sz="4" w:space="0"/>
                  </w:tcBorders>
                  <w:vAlign w:val="center"/>
                </w:tcPr>
                <w:p w14:paraId="06F6C7BE">
                  <w:pPr>
                    <w:jc w:val="center"/>
                    <w:rPr>
                      <w:rFonts w:ascii="黑体" w:hAnsi="黑体" w:eastAsia="黑体"/>
                      <w:color w:val="000000"/>
                      <w:sz w:val="22"/>
                      <w:szCs w:val="28"/>
                    </w:rPr>
                  </w:pPr>
                  <w:r>
                    <w:rPr>
                      <w:rFonts w:hint="eastAsia" w:ascii="黑体" w:hAnsi="黑体" w:eastAsia="黑体"/>
                      <w:color w:val="000000"/>
                      <w:sz w:val="22"/>
                      <w:szCs w:val="28"/>
                    </w:rPr>
                    <w:t>宅基地批准书号</w:t>
                  </w:r>
                </w:p>
              </w:tc>
              <w:tc>
                <w:tcPr>
                  <w:tcW w:w="438" w:type="pct"/>
                  <w:tcBorders>
                    <w:top w:val="single" w:color="auto" w:sz="4" w:space="0"/>
                  </w:tcBorders>
                  <w:vAlign w:val="center"/>
                </w:tcPr>
                <w:p w14:paraId="55A831CD">
                  <w:pPr>
                    <w:jc w:val="center"/>
                    <w:rPr>
                      <w:rFonts w:ascii="黑体" w:hAnsi="黑体" w:eastAsia="黑体"/>
                      <w:color w:val="000000"/>
                      <w:sz w:val="22"/>
                      <w:szCs w:val="28"/>
                    </w:rPr>
                  </w:pPr>
                  <w:r>
                    <w:rPr>
                      <w:rFonts w:hint="eastAsia" w:ascii="黑体" w:hAnsi="黑体" w:eastAsia="黑体"/>
                      <w:color w:val="000000"/>
                      <w:sz w:val="22"/>
                      <w:szCs w:val="28"/>
                    </w:rPr>
                    <w:t>乡村规划许可证号</w:t>
                  </w:r>
                </w:p>
              </w:tc>
              <w:tc>
                <w:tcPr>
                  <w:tcW w:w="382" w:type="pct"/>
                  <w:tcBorders>
                    <w:top w:val="single" w:color="auto" w:sz="4" w:space="0"/>
                  </w:tcBorders>
                  <w:vAlign w:val="center"/>
                </w:tcPr>
                <w:p w14:paraId="3757B9D3">
                  <w:pPr>
                    <w:jc w:val="center"/>
                    <w:rPr>
                      <w:rFonts w:ascii="黑体" w:hAnsi="黑体" w:eastAsia="黑体"/>
                      <w:color w:val="000000"/>
                      <w:sz w:val="22"/>
                      <w:szCs w:val="28"/>
                    </w:rPr>
                  </w:pPr>
                  <w:r>
                    <w:rPr>
                      <w:rFonts w:hint="eastAsia" w:ascii="黑体" w:hAnsi="黑体" w:eastAsia="黑体"/>
                      <w:color w:val="000000"/>
                      <w:sz w:val="22"/>
                      <w:szCs w:val="28"/>
                    </w:rPr>
                    <w:t>巡查日期</w:t>
                  </w:r>
                </w:p>
              </w:tc>
              <w:tc>
                <w:tcPr>
                  <w:tcW w:w="409" w:type="pct"/>
                  <w:tcBorders>
                    <w:top w:val="single" w:color="auto" w:sz="4" w:space="0"/>
                  </w:tcBorders>
                  <w:vAlign w:val="center"/>
                </w:tcPr>
                <w:p w14:paraId="083868BE">
                  <w:pPr>
                    <w:jc w:val="center"/>
                    <w:rPr>
                      <w:rFonts w:ascii="黑体" w:hAnsi="黑体" w:eastAsia="黑体"/>
                      <w:color w:val="000000"/>
                      <w:sz w:val="22"/>
                      <w:szCs w:val="28"/>
                    </w:rPr>
                  </w:pPr>
                  <w:r>
                    <w:rPr>
                      <w:rFonts w:hint="eastAsia" w:ascii="黑体" w:hAnsi="黑体" w:eastAsia="黑体"/>
                      <w:color w:val="000000"/>
                      <w:sz w:val="22"/>
                      <w:szCs w:val="28"/>
                    </w:rPr>
                    <w:t>违规违法原由</w:t>
                  </w:r>
                </w:p>
              </w:tc>
              <w:tc>
                <w:tcPr>
                  <w:tcW w:w="409" w:type="pct"/>
                  <w:tcBorders>
                    <w:top w:val="single" w:color="auto" w:sz="4" w:space="0"/>
                  </w:tcBorders>
                  <w:vAlign w:val="center"/>
                </w:tcPr>
                <w:p w14:paraId="14E2049D">
                  <w:pPr>
                    <w:jc w:val="center"/>
                    <w:rPr>
                      <w:rFonts w:ascii="黑体" w:hAnsi="黑体" w:eastAsia="黑体"/>
                      <w:color w:val="000000"/>
                      <w:sz w:val="22"/>
                      <w:szCs w:val="28"/>
                    </w:rPr>
                  </w:pPr>
                  <w:r>
                    <w:rPr>
                      <w:rFonts w:hint="eastAsia" w:ascii="黑体" w:hAnsi="黑体" w:eastAsia="黑体"/>
                      <w:color w:val="000000"/>
                      <w:sz w:val="22"/>
                      <w:szCs w:val="28"/>
                    </w:rPr>
                    <w:t>修建现状</w:t>
                  </w:r>
                </w:p>
              </w:tc>
              <w:tc>
                <w:tcPr>
                  <w:tcW w:w="487" w:type="pct"/>
                  <w:tcBorders>
                    <w:top w:val="single" w:color="auto" w:sz="4" w:space="0"/>
                  </w:tcBorders>
                  <w:vAlign w:val="center"/>
                </w:tcPr>
                <w:p w14:paraId="2B9A5313">
                  <w:pPr>
                    <w:jc w:val="center"/>
                    <w:rPr>
                      <w:rFonts w:ascii="黑体" w:hAnsi="黑体" w:eastAsia="黑体"/>
                      <w:color w:val="000000"/>
                      <w:sz w:val="22"/>
                      <w:szCs w:val="28"/>
                    </w:rPr>
                  </w:pPr>
                  <w:r>
                    <w:rPr>
                      <w:rFonts w:hint="eastAsia" w:ascii="黑体" w:hAnsi="黑体" w:eastAsia="黑体"/>
                      <w:color w:val="000000"/>
                      <w:sz w:val="22"/>
                      <w:szCs w:val="28"/>
                    </w:rPr>
                    <w:t>查处情况</w:t>
                  </w:r>
                </w:p>
              </w:tc>
            </w:tr>
            <w:tr w14:paraId="3918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271" w:type="pct"/>
                  <w:vAlign w:val="center"/>
                </w:tcPr>
                <w:p w14:paraId="10FD4E6F">
                  <w:pPr>
                    <w:widowControl/>
                    <w:jc w:val="center"/>
                    <w:rPr>
                      <w:rFonts w:ascii="黑体" w:hAnsi="黑体" w:eastAsia="黑体"/>
                      <w:color w:val="000000"/>
                      <w:sz w:val="22"/>
                      <w:szCs w:val="28"/>
                    </w:rPr>
                  </w:pPr>
                  <w:r>
                    <w:rPr>
                      <w:rFonts w:hint="eastAsia" w:ascii="黑体" w:hAnsi="黑体" w:eastAsia="黑体"/>
                      <w:color w:val="000000"/>
                      <w:sz w:val="22"/>
                      <w:szCs w:val="28"/>
                    </w:rPr>
                    <w:t>1</w:t>
                  </w:r>
                </w:p>
              </w:tc>
              <w:tc>
                <w:tcPr>
                  <w:tcW w:w="380" w:type="pct"/>
                  <w:vAlign w:val="center"/>
                </w:tcPr>
                <w:p w14:paraId="1FD47425">
                  <w:pPr>
                    <w:pStyle w:val="8"/>
                    <w:ind w:left="0" w:leftChars="0"/>
                    <w:jc w:val="center"/>
                    <w:rPr>
                      <w:rFonts w:ascii="黑体" w:hAnsi="黑体" w:eastAsia="黑体"/>
                      <w:sz w:val="32"/>
                      <w:szCs w:val="32"/>
                    </w:rPr>
                  </w:pPr>
                </w:p>
              </w:tc>
              <w:tc>
                <w:tcPr>
                  <w:tcW w:w="433" w:type="pct"/>
                  <w:vAlign w:val="center"/>
                </w:tcPr>
                <w:p w14:paraId="79E873B6">
                  <w:pPr>
                    <w:pStyle w:val="8"/>
                    <w:ind w:left="0" w:leftChars="0"/>
                    <w:jc w:val="center"/>
                    <w:rPr>
                      <w:rFonts w:ascii="黑体" w:hAnsi="黑体" w:eastAsia="黑体"/>
                      <w:sz w:val="32"/>
                      <w:szCs w:val="32"/>
                    </w:rPr>
                  </w:pPr>
                </w:p>
              </w:tc>
              <w:tc>
                <w:tcPr>
                  <w:tcW w:w="433" w:type="pct"/>
                  <w:vAlign w:val="center"/>
                </w:tcPr>
                <w:p w14:paraId="175E6A69">
                  <w:pPr>
                    <w:pStyle w:val="8"/>
                    <w:ind w:left="0" w:leftChars="0"/>
                    <w:jc w:val="center"/>
                    <w:rPr>
                      <w:rFonts w:ascii="黑体" w:hAnsi="黑体" w:eastAsia="黑体"/>
                      <w:sz w:val="32"/>
                      <w:szCs w:val="32"/>
                    </w:rPr>
                  </w:pPr>
                </w:p>
              </w:tc>
              <w:tc>
                <w:tcPr>
                  <w:tcW w:w="433" w:type="pct"/>
                  <w:vAlign w:val="center"/>
                </w:tcPr>
                <w:p w14:paraId="30839B77">
                  <w:pPr>
                    <w:pStyle w:val="8"/>
                    <w:ind w:left="0" w:leftChars="0"/>
                    <w:jc w:val="center"/>
                    <w:rPr>
                      <w:rFonts w:ascii="黑体" w:hAnsi="黑体" w:eastAsia="黑体"/>
                      <w:sz w:val="32"/>
                      <w:szCs w:val="32"/>
                    </w:rPr>
                  </w:pPr>
                </w:p>
              </w:tc>
              <w:tc>
                <w:tcPr>
                  <w:tcW w:w="509" w:type="pct"/>
                  <w:vAlign w:val="center"/>
                </w:tcPr>
                <w:p w14:paraId="57E9443B">
                  <w:pPr>
                    <w:pStyle w:val="8"/>
                    <w:ind w:left="0" w:leftChars="0"/>
                    <w:jc w:val="center"/>
                    <w:rPr>
                      <w:rFonts w:ascii="黑体" w:hAnsi="黑体" w:eastAsia="黑体"/>
                      <w:sz w:val="32"/>
                      <w:szCs w:val="32"/>
                    </w:rPr>
                  </w:pPr>
                </w:p>
              </w:tc>
              <w:tc>
                <w:tcPr>
                  <w:tcW w:w="409" w:type="pct"/>
                  <w:vAlign w:val="center"/>
                </w:tcPr>
                <w:p w14:paraId="01F33232">
                  <w:pPr>
                    <w:pStyle w:val="8"/>
                    <w:ind w:left="0" w:leftChars="0"/>
                    <w:jc w:val="center"/>
                    <w:rPr>
                      <w:rFonts w:ascii="黑体" w:hAnsi="黑体" w:eastAsia="黑体"/>
                      <w:sz w:val="32"/>
                      <w:szCs w:val="32"/>
                    </w:rPr>
                  </w:pPr>
                </w:p>
              </w:tc>
              <w:tc>
                <w:tcPr>
                  <w:tcW w:w="438" w:type="pct"/>
                  <w:vAlign w:val="center"/>
                </w:tcPr>
                <w:p w14:paraId="582D68E9">
                  <w:pPr>
                    <w:pStyle w:val="8"/>
                    <w:ind w:left="0" w:leftChars="0"/>
                    <w:jc w:val="center"/>
                    <w:rPr>
                      <w:rFonts w:ascii="黑体" w:hAnsi="黑体" w:eastAsia="黑体"/>
                      <w:sz w:val="32"/>
                      <w:szCs w:val="32"/>
                    </w:rPr>
                  </w:pPr>
                </w:p>
              </w:tc>
              <w:tc>
                <w:tcPr>
                  <w:tcW w:w="382" w:type="pct"/>
                  <w:vAlign w:val="center"/>
                </w:tcPr>
                <w:p w14:paraId="210C7EF4">
                  <w:pPr>
                    <w:pStyle w:val="8"/>
                    <w:ind w:left="0" w:leftChars="0"/>
                    <w:jc w:val="center"/>
                    <w:rPr>
                      <w:rFonts w:ascii="黑体" w:hAnsi="黑体" w:eastAsia="黑体"/>
                      <w:sz w:val="32"/>
                      <w:szCs w:val="32"/>
                    </w:rPr>
                  </w:pPr>
                </w:p>
              </w:tc>
              <w:tc>
                <w:tcPr>
                  <w:tcW w:w="409" w:type="pct"/>
                  <w:vAlign w:val="center"/>
                </w:tcPr>
                <w:p w14:paraId="7F04E135">
                  <w:pPr>
                    <w:pStyle w:val="8"/>
                    <w:ind w:left="0" w:leftChars="0"/>
                    <w:jc w:val="center"/>
                    <w:rPr>
                      <w:rFonts w:ascii="黑体" w:hAnsi="黑体" w:eastAsia="黑体"/>
                      <w:sz w:val="32"/>
                      <w:szCs w:val="32"/>
                    </w:rPr>
                  </w:pPr>
                </w:p>
              </w:tc>
              <w:tc>
                <w:tcPr>
                  <w:tcW w:w="409" w:type="pct"/>
                  <w:vAlign w:val="center"/>
                </w:tcPr>
                <w:p w14:paraId="7A464BA7">
                  <w:pPr>
                    <w:pStyle w:val="8"/>
                    <w:ind w:left="0" w:leftChars="0"/>
                    <w:jc w:val="center"/>
                    <w:rPr>
                      <w:rFonts w:ascii="黑体" w:hAnsi="黑体" w:eastAsia="黑体"/>
                      <w:sz w:val="32"/>
                      <w:szCs w:val="32"/>
                    </w:rPr>
                  </w:pPr>
                </w:p>
              </w:tc>
              <w:tc>
                <w:tcPr>
                  <w:tcW w:w="487" w:type="pct"/>
                  <w:vAlign w:val="center"/>
                </w:tcPr>
                <w:p w14:paraId="2A271477">
                  <w:pPr>
                    <w:pStyle w:val="8"/>
                    <w:ind w:left="0" w:leftChars="0"/>
                    <w:jc w:val="center"/>
                    <w:rPr>
                      <w:rFonts w:ascii="黑体" w:hAnsi="黑体" w:eastAsia="黑体"/>
                      <w:sz w:val="32"/>
                      <w:szCs w:val="32"/>
                    </w:rPr>
                  </w:pPr>
                </w:p>
              </w:tc>
            </w:tr>
            <w:tr w14:paraId="02A6E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71" w:type="pct"/>
                  <w:vAlign w:val="center"/>
                </w:tcPr>
                <w:p w14:paraId="250417F1">
                  <w:pPr>
                    <w:widowControl/>
                    <w:jc w:val="center"/>
                    <w:rPr>
                      <w:rFonts w:ascii="黑体" w:hAnsi="黑体" w:eastAsia="黑体"/>
                      <w:color w:val="000000"/>
                      <w:sz w:val="22"/>
                      <w:szCs w:val="28"/>
                    </w:rPr>
                  </w:pPr>
                  <w:r>
                    <w:rPr>
                      <w:rFonts w:hint="eastAsia" w:ascii="黑体" w:hAnsi="黑体" w:eastAsia="黑体"/>
                      <w:color w:val="000000"/>
                      <w:sz w:val="22"/>
                      <w:szCs w:val="28"/>
                    </w:rPr>
                    <w:t>2</w:t>
                  </w:r>
                </w:p>
              </w:tc>
              <w:tc>
                <w:tcPr>
                  <w:tcW w:w="380" w:type="pct"/>
                  <w:vAlign w:val="center"/>
                </w:tcPr>
                <w:p w14:paraId="16C57864">
                  <w:pPr>
                    <w:pStyle w:val="8"/>
                    <w:ind w:left="0" w:leftChars="0"/>
                    <w:jc w:val="center"/>
                    <w:rPr>
                      <w:rFonts w:ascii="黑体" w:hAnsi="黑体" w:eastAsia="黑体"/>
                      <w:sz w:val="32"/>
                      <w:szCs w:val="32"/>
                    </w:rPr>
                  </w:pPr>
                </w:p>
              </w:tc>
              <w:tc>
                <w:tcPr>
                  <w:tcW w:w="433" w:type="pct"/>
                  <w:vAlign w:val="center"/>
                </w:tcPr>
                <w:p w14:paraId="6D8F7942">
                  <w:pPr>
                    <w:pStyle w:val="8"/>
                    <w:ind w:left="0" w:leftChars="0"/>
                    <w:jc w:val="center"/>
                    <w:rPr>
                      <w:rFonts w:ascii="黑体" w:hAnsi="黑体" w:eastAsia="黑体"/>
                      <w:sz w:val="32"/>
                      <w:szCs w:val="32"/>
                    </w:rPr>
                  </w:pPr>
                </w:p>
              </w:tc>
              <w:tc>
                <w:tcPr>
                  <w:tcW w:w="433" w:type="pct"/>
                  <w:vAlign w:val="center"/>
                </w:tcPr>
                <w:p w14:paraId="2C88E300">
                  <w:pPr>
                    <w:pStyle w:val="8"/>
                    <w:ind w:left="0" w:leftChars="0"/>
                    <w:jc w:val="center"/>
                    <w:rPr>
                      <w:rFonts w:ascii="黑体" w:hAnsi="黑体" w:eastAsia="黑体"/>
                      <w:sz w:val="32"/>
                      <w:szCs w:val="32"/>
                    </w:rPr>
                  </w:pPr>
                </w:p>
              </w:tc>
              <w:tc>
                <w:tcPr>
                  <w:tcW w:w="433" w:type="pct"/>
                  <w:vAlign w:val="center"/>
                </w:tcPr>
                <w:p w14:paraId="66B305F4">
                  <w:pPr>
                    <w:pStyle w:val="8"/>
                    <w:ind w:left="0" w:leftChars="0"/>
                    <w:jc w:val="center"/>
                    <w:rPr>
                      <w:rFonts w:ascii="黑体" w:hAnsi="黑体" w:eastAsia="黑体"/>
                      <w:sz w:val="32"/>
                      <w:szCs w:val="32"/>
                    </w:rPr>
                  </w:pPr>
                </w:p>
              </w:tc>
              <w:tc>
                <w:tcPr>
                  <w:tcW w:w="509" w:type="pct"/>
                  <w:vAlign w:val="center"/>
                </w:tcPr>
                <w:p w14:paraId="212D0159">
                  <w:pPr>
                    <w:pStyle w:val="8"/>
                    <w:ind w:left="0" w:leftChars="0"/>
                    <w:jc w:val="center"/>
                    <w:rPr>
                      <w:rFonts w:ascii="黑体" w:hAnsi="黑体" w:eastAsia="黑体"/>
                      <w:sz w:val="32"/>
                      <w:szCs w:val="32"/>
                    </w:rPr>
                  </w:pPr>
                </w:p>
              </w:tc>
              <w:tc>
                <w:tcPr>
                  <w:tcW w:w="409" w:type="pct"/>
                  <w:vAlign w:val="center"/>
                </w:tcPr>
                <w:p w14:paraId="37B24609">
                  <w:pPr>
                    <w:pStyle w:val="8"/>
                    <w:ind w:left="0" w:leftChars="0"/>
                    <w:jc w:val="center"/>
                    <w:rPr>
                      <w:rFonts w:ascii="黑体" w:hAnsi="黑体" w:eastAsia="黑体"/>
                      <w:sz w:val="32"/>
                      <w:szCs w:val="32"/>
                    </w:rPr>
                  </w:pPr>
                </w:p>
              </w:tc>
              <w:tc>
                <w:tcPr>
                  <w:tcW w:w="438" w:type="pct"/>
                  <w:vAlign w:val="center"/>
                </w:tcPr>
                <w:p w14:paraId="5CDD904F">
                  <w:pPr>
                    <w:pStyle w:val="8"/>
                    <w:ind w:left="0" w:leftChars="0"/>
                    <w:jc w:val="center"/>
                    <w:rPr>
                      <w:rFonts w:ascii="黑体" w:hAnsi="黑体" w:eastAsia="黑体"/>
                      <w:sz w:val="32"/>
                      <w:szCs w:val="32"/>
                    </w:rPr>
                  </w:pPr>
                </w:p>
              </w:tc>
              <w:tc>
                <w:tcPr>
                  <w:tcW w:w="382" w:type="pct"/>
                  <w:vAlign w:val="center"/>
                </w:tcPr>
                <w:p w14:paraId="5254C260">
                  <w:pPr>
                    <w:pStyle w:val="8"/>
                    <w:ind w:left="0" w:leftChars="0"/>
                    <w:jc w:val="center"/>
                    <w:rPr>
                      <w:rFonts w:ascii="黑体" w:hAnsi="黑体" w:eastAsia="黑体"/>
                      <w:sz w:val="32"/>
                      <w:szCs w:val="32"/>
                    </w:rPr>
                  </w:pPr>
                </w:p>
              </w:tc>
              <w:tc>
                <w:tcPr>
                  <w:tcW w:w="409" w:type="pct"/>
                  <w:vAlign w:val="center"/>
                </w:tcPr>
                <w:p w14:paraId="35C8D07F">
                  <w:pPr>
                    <w:pStyle w:val="8"/>
                    <w:ind w:left="0" w:leftChars="0"/>
                    <w:jc w:val="center"/>
                    <w:rPr>
                      <w:rFonts w:ascii="黑体" w:hAnsi="黑体" w:eastAsia="黑体"/>
                      <w:sz w:val="32"/>
                      <w:szCs w:val="32"/>
                    </w:rPr>
                  </w:pPr>
                </w:p>
              </w:tc>
              <w:tc>
                <w:tcPr>
                  <w:tcW w:w="409" w:type="pct"/>
                  <w:vAlign w:val="center"/>
                </w:tcPr>
                <w:p w14:paraId="39F1AD03">
                  <w:pPr>
                    <w:pStyle w:val="8"/>
                    <w:ind w:left="0" w:leftChars="0"/>
                    <w:jc w:val="center"/>
                    <w:rPr>
                      <w:rFonts w:ascii="黑体" w:hAnsi="黑体" w:eastAsia="黑体"/>
                      <w:sz w:val="32"/>
                      <w:szCs w:val="32"/>
                    </w:rPr>
                  </w:pPr>
                </w:p>
              </w:tc>
              <w:tc>
                <w:tcPr>
                  <w:tcW w:w="487" w:type="pct"/>
                  <w:vAlign w:val="center"/>
                </w:tcPr>
                <w:p w14:paraId="58E41F26">
                  <w:pPr>
                    <w:pStyle w:val="8"/>
                    <w:ind w:left="0" w:leftChars="0"/>
                    <w:jc w:val="center"/>
                    <w:rPr>
                      <w:rFonts w:ascii="黑体" w:hAnsi="黑体" w:eastAsia="黑体"/>
                      <w:sz w:val="32"/>
                      <w:szCs w:val="32"/>
                    </w:rPr>
                  </w:pPr>
                </w:p>
              </w:tc>
            </w:tr>
            <w:tr w14:paraId="6470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71" w:type="pct"/>
                  <w:vAlign w:val="center"/>
                </w:tcPr>
                <w:p w14:paraId="5A3EAC47">
                  <w:pPr>
                    <w:widowControl/>
                    <w:jc w:val="center"/>
                    <w:rPr>
                      <w:rFonts w:ascii="黑体" w:hAnsi="黑体" w:eastAsia="黑体"/>
                      <w:color w:val="000000"/>
                      <w:sz w:val="22"/>
                      <w:szCs w:val="28"/>
                    </w:rPr>
                  </w:pPr>
                  <w:r>
                    <w:rPr>
                      <w:rFonts w:hint="eastAsia" w:ascii="黑体" w:hAnsi="黑体" w:eastAsia="黑体"/>
                      <w:color w:val="000000"/>
                      <w:sz w:val="22"/>
                      <w:szCs w:val="28"/>
                    </w:rPr>
                    <w:t>3</w:t>
                  </w:r>
                </w:p>
              </w:tc>
              <w:tc>
                <w:tcPr>
                  <w:tcW w:w="380" w:type="pct"/>
                  <w:vAlign w:val="center"/>
                </w:tcPr>
                <w:p w14:paraId="7DCF578E">
                  <w:pPr>
                    <w:pStyle w:val="8"/>
                    <w:ind w:left="0" w:leftChars="0"/>
                    <w:jc w:val="center"/>
                    <w:rPr>
                      <w:rFonts w:ascii="黑体" w:hAnsi="黑体" w:eastAsia="黑体"/>
                      <w:sz w:val="32"/>
                      <w:szCs w:val="32"/>
                    </w:rPr>
                  </w:pPr>
                </w:p>
              </w:tc>
              <w:tc>
                <w:tcPr>
                  <w:tcW w:w="433" w:type="pct"/>
                  <w:vAlign w:val="center"/>
                </w:tcPr>
                <w:p w14:paraId="60726305">
                  <w:pPr>
                    <w:pStyle w:val="8"/>
                    <w:ind w:left="0" w:leftChars="0"/>
                    <w:jc w:val="center"/>
                    <w:rPr>
                      <w:rFonts w:ascii="黑体" w:hAnsi="黑体" w:eastAsia="黑体"/>
                      <w:sz w:val="32"/>
                      <w:szCs w:val="32"/>
                    </w:rPr>
                  </w:pPr>
                </w:p>
              </w:tc>
              <w:tc>
                <w:tcPr>
                  <w:tcW w:w="433" w:type="pct"/>
                  <w:vAlign w:val="center"/>
                </w:tcPr>
                <w:p w14:paraId="58EC1583">
                  <w:pPr>
                    <w:pStyle w:val="8"/>
                    <w:ind w:left="0" w:leftChars="0"/>
                    <w:jc w:val="center"/>
                    <w:rPr>
                      <w:rFonts w:ascii="黑体" w:hAnsi="黑体" w:eastAsia="黑体"/>
                      <w:sz w:val="32"/>
                      <w:szCs w:val="32"/>
                    </w:rPr>
                  </w:pPr>
                </w:p>
              </w:tc>
              <w:tc>
                <w:tcPr>
                  <w:tcW w:w="433" w:type="pct"/>
                  <w:vAlign w:val="center"/>
                </w:tcPr>
                <w:p w14:paraId="10462F5D">
                  <w:pPr>
                    <w:pStyle w:val="8"/>
                    <w:ind w:left="0" w:leftChars="0"/>
                    <w:jc w:val="center"/>
                    <w:rPr>
                      <w:rFonts w:ascii="黑体" w:hAnsi="黑体" w:eastAsia="黑体"/>
                      <w:sz w:val="32"/>
                      <w:szCs w:val="32"/>
                    </w:rPr>
                  </w:pPr>
                </w:p>
              </w:tc>
              <w:tc>
                <w:tcPr>
                  <w:tcW w:w="509" w:type="pct"/>
                  <w:vAlign w:val="center"/>
                </w:tcPr>
                <w:p w14:paraId="6B8AADE6">
                  <w:pPr>
                    <w:pStyle w:val="8"/>
                    <w:ind w:left="0" w:leftChars="0"/>
                    <w:jc w:val="center"/>
                    <w:rPr>
                      <w:rFonts w:ascii="黑体" w:hAnsi="黑体" w:eastAsia="黑体"/>
                      <w:sz w:val="32"/>
                      <w:szCs w:val="32"/>
                    </w:rPr>
                  </w:pPr>
                </w:p>
              </w:tc>
              <w:tc>
                <w:tcPr>
                  <w:tcW w:w="409" w:type="pct"/>
                  <w:vAlign w:val="center"/>
                </w:tcPr>
                <w:p w14:paraId="0B642B81">
                  <w:pPr>
                    <w:pStyle w:val="8"/>
                    <w:ind w:left="0" w:leftChars="0"/>
                    <w:jc w:val="center"/>
                    <w:rPr>
                      <w:rFonts w:ascii="黑体" w:hAnsi="黑体" w:eastAsia="黑体"/>
                      <w:sz w:val="32"/>
                      <w:szCs w:val="32"/>
                    </w:rPr>
                  </w:pPr>
                </w:p>
              </w:tc>
              <w:tc>
                <w:tcPr>
                  <w:tcW w:w="438" w:type="pct"/>
                  <w:vAlign w:val="center"/>
                </w:tcPr>
                <w:p w14:paraId="15020A79">
                  <w:pPr>
                    <w:pStyle w:val="8"/>
                    <w:ind w:left="0" w:leftChars="0"/>
                    <w:jc w:val="center"/>
                    <w:rPr>
                      <w:rFonts w:ascii="黑体" w:hAnsi="黑体" w:eastAsia="黑体"/>
                      <w:sz w:val="32"/>
                      <w:szCs w:val="32"/>
                    </w:rPr>
                  </w:pPr>
                </w:p>
              </w:tc>
              <w:tc>
                <w:tcPr>
                  <w:tcW w:w="382" w:type="pct"/>
                  <w:vAlign w:val="center"/>
                </w:tcPr>
                <w:p w14:paraId="37F7ACAA">
                  <w:pPr>
                    <w:pStyle w:val="8"/>
                    <w:ind w:left="0" w:leftChars="0"/>
                    <w:jc w:val="center"/>
                    <w:rPr>
                      <w:rFonts w:ascii="黑体" w:hAnsi="黑体" w:eastAsia="黑体"/>
                      <w:sz w:val="32"/>
                      <w:szCs w:val="32"/>
                    </w:rPr>
                  </w:pPr>
                </w:p>
              </w:tc>
              <w:tc>
                <w:tcPr>
                  <w:tcW w:w="409" w:type="pct"/>
                  <w:vAlign w:val="center"/>
                </w:tcPr>
                <w:p w14:paraId="6B2A854C">
                  <w:pPr>
                    <w:pStyle w:val="8"/>
                    <w:ind w:left="0" w:leftChars="0"/>
                    <w:jc w:val="center"/>
                    <w:rPr>
                      <w:rFonts w:ascii="黑体" w:hAnsi="黑体" w:eastAsia="黑体"/>
                      <w:sz w:val="32"/>
                      <w:szCs w:val="32"/>
                    </w:rPr>
                  </w:pPr>
                </w:p>
              </w:tc>
              <w:tc>
                <w:tcPr>
                  <w:tcW w:w="409" w:type="pct"/>
                  <w:vAlign w:val="center"/>
                </w:tcPr>
                <w:p w14:paraId="7DCC9572">
                  <w:pPr>
                    <w:pStyle w:val="8"/>
                    <w:ind w:left="0" w:leftChars="0"/>
                    <w:jc w:val="center"/>
                    <w:rPr>
                      <w:rFonts w:ascii="黑体" w:hAnsi="黑体" w:eastAsia="黑体"/>
                      <w:sz w:val="32"/>
                      <w:szCs w:val="32"/>
                    </w:rPr>
                  </w:pPr>
                </w:p>
              </w:tc>
              <w:tc>
                <w:tcPr>
                  <w:tcW w:w="487" w:type="pct"/>
                  <w:vAlign w:val="center"/>
                </w:tcPr>
                <w:p w14:paraId="5187DA42">
                  <w:pPr>
                    <w:pStyle w:val="8"/>
                    <w:ind w:left="0" w:leftChars="0"/>
                    <w:jc w:val="center"/>
                    <w:rPr>
                      <w:rFonts w:ascii="黑体" w:hAnsi="黑体" w:eastAsia="黑体"/>
                      <w:sz w:val="32"/>
                      <w:szCs w:val="32"/>
                    </w:rPr>
                  </w:pPr>
                </w:p>
              </w:tc>
            </w:tr>
            <w:tr w14:paraId="65288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71" w:type="pct"/>
                  <w:vAlign w:val="center"/>
                </w:tcPr>
                <w:p w14:paraId="68C04472">
                  <w:pPr>
                    <w:widowControl/>
                    <w:jc w:val="center"/>
                    <w:rPr>
                      <w:rFonts w:ascii="黑体" w:hAnsi="黑体" w:eastAsia="黑体"/>
                      <w:color w:val="000000"/>
                      <w:sz w:val="22"/>
                      <w:szCs w:val="28"/>
                    </w:rPr>
                  </w:pPr>
                  <w:r>
                    <w:rPr>
                      <w:rFonts w:hint="eastAsia" w:ascii="黑体" w:hAnsi="黑体" w:eastAsia="黑体"/>
                      <w:color w:val="000000"/>
                      <w:sz w:val="22"/>
                      <w:szCs w:val="28"/>
                    </w:rPr>
                    <w:t>4</w:t>
                  </w:r>
                </w:p>
              </w:tc>
              <w:tc>
                <w:tcPr>
                  <w:tcW w:w="380" w:type="pct"/>
                  <w:vAlign w:val="center"/>
                </w:tcPr>
                <w:p w14:paraId="721F04A3">
                  <w:pPr>
                    <w:pStyle w:val="8"/>
                    <w:ind w:left="0" w:leftChars="0"/>
                    <w:jc w:val="center"/>
                    <w:rPr>
                      <w:rFonts w:ascii="黑体" w:hAnsi="黑体" w:eastAsia="黑体"/>
                      <w:sz w:val="32"/>
                      <w:szCs w:val="32"/>
                    </w:rPr>
                  </w:pPr>
                </w:p>
              </w:tc>
              <w:tc>
                <w:tcPr>
                  <w:tcW w:w="433" w:type="pct"/>
                  <w:vAlign w:val="center"/>
                </w:tcPr>
                <w:p w14:paraId="6DC0D9A2">
                  <w:pPr>
                    <w:pStyle w:val="8"/>
                    <w:ind w:left="0" w:leftChars="0"/>
                    <w:jc w:val="center"/>
                    <w:rPr>
                      <w:rFonts w:ascii="黑体" w:hAnsi="黑体" w:eastAsia="黑体"/>
                      <w:sz w:val="32"/>
                      <w:szCs w:val="32"/>
                    </w:rPr>
                  </w:pPr>
                </w:p>
              </w:tc>
              <w:tc>
                <w:tcPr>
                  <w:tcW w:w="433" w:type="pct"/>
                  <w:vAlign w:val="center"/>
                </w:tcPr>
                <w:p w14:paraId="7F2BADDA">
                  <w:pPr>
                    <w:pStyle w:val="8"/>
                    <w:ind w:left="0" w:leftChars="0"/>
                    <w:jc w:val="center"/>
                    <w:rPr>
                      <w:rFonts w:ascii="黑体" w:hAnsi="黑体" w:eastAsia="黑体"/>
                      <w:sz w:val="32"/>
                      <w:szCs w:val="32"/>
                    </w:rPr>
                  </w:pPr>
                </w:p>
              </w:tc>
              <w:tc>
                <w:tcPr>
                  <w:tcW w:w="433" w:type="pct"/>
                  <w:vAlign w:val="center"/>
                </w:tcPr>
                <w:p w14:paraId="3A0CB1F6">
                  <w:pPr>
                    <w:pStyle w:val="8"/>
                    <w:ind w:left="0" w:leftChars="0"/>
                    <w:jc w:val="center"/>
                    <w:rPr>
                      <w:rFonts w:ascii="黑体" w:hAnsi="黑体" w:eastAsia="黑体"/>
                      <w:sz w:val="32"/>
                      <w:szCs w:val="32"/>
                    </w:rPr>
                  </w:pPr>
                </w:p>
              </w:tc>
              <w:tc>
                <w:tcPr>
                  <w:tcW w:w="509" w:type="pct"/>
                  <w:vAlign w:val="center"/>
                </w:tcPr>
                <w:p w14:paraId="2C33F7CF">
                  <w:pPr>
                    <w:pStyle w:val="8"/>
                    <w:ind w:left="0" w:leftChars="0"/>
                    <w:jc w:val="center"/>
                    <w:rPr>
                      <w:rFonts w:ascii="黑体" w:hAnsi="黑体" w:eastAsia="黑体"/>
                      <w:sz w:val="32"/>
                      <w:szCs w:val="32"/>
                    </w:rPr>
                  </w:pPr>
                </w:p>
              </w:tc>
              <w:tc>
                <w:tcPr>
                  <w:tcW w:w="409" w:type="pct"/>
                  <w:vAlign w:val="center"/>
                </w:tcPr>
                <w:p w14:paraId="2F026457">
                  <w:pPr>
                    <w:pStyle w:val="8"/>
                    <w:ind w:left="0" w:leftChars="0"/>
                    <w:jc w:val="center"/>
                    <w:rPr>
                      <w:rFonts w:ascii="黑体" w:hAnsi="黑体" w:eastAsia="黑体"/>
                      <w:sz w:val="32"/>
                      <w:szCs w:val="32"/>
                    </w:rPr>
                  </w:pPr>
                </w:p>
              </w:tc>
              <w:tc>
                <w:tcPr>
                  <w:tcW w:w="438" w:type="pct"/>
                  <w:vAlign w:val="center"/>
                </w:tcPr>
                <w:p w14:paraId="2DB1E281">
                  <w:pPr>
                    <w:pStyle w:val="8"/>
                    <w:ind w:left="0" w:leftChars="0"/>
                    <w:jc w:val="center"/>
                    <w:rPr>
                      <w:rFonts w:ascii="黑体" w:hAnsi="黑体" w:eastAsia="黑体"/>
                      <w:sz w:val="32"/>
                      <w:szCs w:val="32"/>
                    </w:rPr>
                  </w:pPr>
                </w:p>
              </w:tc>
              <w:tc>
                <w:tcPr>
                  <w:tcW w:w="382" w:type="pct"/>
                  <w:vAlign w:val="center"/>
                </w:tcPr>
                <w:p w14:paraId="03646149">
                  <w:pPr>
                    <w:pStyle w:val="8"/>
                    <w:ind w:left="0" w:leftChars="0"/>
                    <w:jc w:val="center"/>
                    <w:rPr>
                      <w:rFonts w:ascii="黑体" w:hAnsi="黑体" w:eastAsia="黑体"/>
                      <w:sz w:val="32"/>
                      <w:szCs w:val="32"/>
                    </w:rPr>
                  </w:pPr>
                </w:p>
              </w:tc>
              <w:tc>
                <w:tcPr>
                  <w:tcW w:w="409" w:type="pct"/>
                  <w:vAlign w:val="center"/>
                </w:tcPr>
                <w:p w14:paraId="164C858D">
                  <w:pPr>
                    <w:pStyle w:val="8"/>
                    <w:ind w:left="0" w:leftChars="0"/>
                    <w:jc w:val="center"/>
                    <w:rPr>
                      <w:rFonts w:ascii="黑体" w:hAnsi="黑体" w:eastAsia="黑体"/>
                      <w:sz w:val="32"/>
                      <w:szCs w:val="32"/>
                    </w:rPr>
                  </w:pPr>
                </w:p>
              </w:tc>
              <w:tc>
                <w:tcPr>
                  <w:tcW w:w="409" w:type="pct"/>
                  <w:vAlign w:val="center"/>
                </w:tcPr>
                <w:p w14:paraId="106DE272">
                  <w:pPr>
                    <w:pStyle w:val="8"/>
                    <w:ind w:left="0" w:leftChars="0"/>
                    <w:jc w:val="center"/>
                    <w:rPr>
                      <w:rFonts w:ascii="黑体" w:hAnsi="黑体" w:eastAsia="黑体"/>
                      <w:sz w:val="32"/>
                      <w:szCs w:val="32"/>
                    </w:rPr>
                  </w:pPr>
                </w:p>
              </w:tc>
              <w:tc>
                <w:tcPr>
                  <w:tcW w:w="487" w:type="pct"/>
                  <w:vAlign w:val="center"/>
                </w:tcPr>
                <w:p w14:paraId="5779B7CA">
                  <w:pPr>
                    <w:pStyle w:val="8"/>
                    <w:ind w:left="0" w:leftChars="0"/>
                    <w:jc w:val="center"/>
                    <w:rPr>
                      <w:rFonts w:ascii="黑体" w:hAnsi="黑体" w:eastAsia="黑体"/>
                      <w:sz w:val="32"/>
                      <w:szCs w:val="32"/>
                    </w:rPr>
                  </w:pPr>
                </w:p>
              </w:tc>
            </w:tr>
            <w:tr w14:paraId="2231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trPr>
              <w:tc>
                <w:tcPr>
                  <w:tcW w:w="271" w:type="pct"/>
                  <w:vAlign w:val="center"/>
                </w:tcPr>
                <w:p w14:paraId="5426E040">
                  <w:pPr>
                    <w:widowControl/>
                    <w:jc w:val="center"/>
                    <w:rPr>
                      <w:rFonts w:ascii="黑体" w:hAnsi="黑体" w:eastAsia="黑体"/>
                      <w:color w:val="000000"/>
                      <w:sz w:val="22"/>
                      <w:szCs w:val="28"/>
                    </w:rPr>
                  </w:pPr>
                  <w:r>
                    <w:rPr>
                      <w:rFonts w:hint="eastAsia" w:ascii="黑体" w:hAnsi="黑体" w:eastAsia="黑体"/>
                      <w:color w:val="000000"/>
                      <w:sz w:val="22"/>
                      <w:szCs w:val="28"/>
                    </w:rPr>
                    <w:t>填表说明</w:t>
                  </w:r>
                </w:p>
              </w:tc>
              <w:tc>
                <w:tcPr>
                  <w:tcW w:w="4728" w:type="pct"/>
                  <w:gridSpan w:val="11"/>
                  <w:vAlign w:val="center"/>
                </w:tcPr>
                <w:p w14:paraId="52B2B38B">
                  <w:pPr>
                    <w:pStyle w:val="8"/>
                    <w:spacing w:line="300" w:lineRule="exact"/>
                    <w:ind w:left="0" w:leftChars="0"/>
                    <w:jc w:val="left"/>
                    <w:rPr>
                      <w:rFonts w:ascii="仿宋_GB2312" w:hAnsi="黑体" w:eastAsia="仿宋_GB2312"/>
                      <w:sz w:val="24"/>
                      <w:szCs w:val="24"/>
                    </w:rPr>
                  </w:pPr>
                  <w:r>
                    <w:rPr>
                      <w:rFonts w:hint="eastAsia" w:ascii="仿宋_GB2312" w:hAnsi="黑体" w:eastAsia="仿宋_GB2312"/>
                      <w:sz w:val="24"/>
                      <w:szCs w:val="24"/>
                    </w:rPr>
                    <w:t>1.此表适用于县、乡、村三级，由各巡查单位自行保留，以备日后随机抽查；2.修建现状主要填写：基地动工、房屋修建、其它（备注中注明具体情况）；3.违规违法原由主要包括：（1）未批先建；（2）骗取审批；（3）批东建西；（4）已经审批，但经查实不符合一户一宅、本集体经济组织成员身份等申请条件；（5）不符合村庄规划；（6）超面积建房；（7）占用农用地建房，尤其是占用耕地建房；（8）异址新建，不按承诺时间拆除旧房；（9）在禁止建房区域建房等；（10）不符合法律法规规定其它建房行为的，直接填写序号即可；4.查处情况主要填写：已停工、已拆除、其它（备注中注明具体情况）。</w:t>
                  </w:r>
                </w:p>
              </w:tc>
            </w:tr>
          </w:tbl>
          <w:p w14:paraId="48CCF0AE">
            <w:pPr>
              <w:pStyle w:val="8"/>
              <w:spacing w:line="560" w:lineRule="exact"/>
              <w:ind w:left="0" w:leftChars="0"/>
              <w:rPr>
                <w:rFonts w:hint="eastAsia" w:ascii="宋体" w:hAnsi="宋体" w:eastAsia="宋体" w:cs="宋体"/>
                <w:b/>
                <w:bCs/>
                <w:i w:val="0"/>
                <w:iCs w:val="0"/>
                <w:color w:val="000000"/>
                <w:kern w:val="0"/>
                <w:sz w:val="40"/>
                <w:szCs w:val="40"/>
                <w:u w:val="none"/>
                <w:lang w:val="en-US" w:eastAsia="zh-CN" w:bidi="ar"/>
              </w:rPr>
            </w:pPr>
            <w:r>
              <w:rPr>
                <w:rFonts w:hint="eastAsia" w:ascii="黑体" w:hAnsi="黑体" w:eastAsia="黑体"/>
                <w:sz w:val="32"/>
                <w:szCs w:val="32"/>
              </w:rPr>
              <w:t>附件</w:t>
            </w:r>
            <w:r>
              <w:rPr>
                <w:rFonts w:hint="eastAsia" w:ascii="黑体" w:hAnsi="黑体" w:eastAsia="黑体"/>
                <w:sz w:val="32"/>
                <w:szCs w:val="32"/>
                <w:lang w:val="en-US" w:eastAsia="zh-CN"/>
              </w:rPr>
              <w:t>4</w:t>
            </w:r>
            <w:r>
              <w:rPr>
                <w:rFonts w:hint="eastAsia" w:ascii="黑体" w:hAnsi="黑体" w:eastAsia="黑体"/>
                <w:sz w:val="32"/>
                <w:szCs w:val="32"/>
              </w:rPr>
              <w:t>：</w:t>
            </w:r>
          </w:p>
          <w:p w14:paraId="3DD15227">
            <w:pPr>
              <w:keepNext w:val="0"/>
              <w:keepLines w:val="0"/>
              <w:widowControl/>
              <w:suppressLineNumbers w:val="0"/>
              <w:jc w:val="center"/>
              <w:textAlignment w:val="center"/>
              <w:rPr>
                <w:rStyle w:val="22"/>
                <w:rFonts w:hint="eastAsia" w:ascii="方正小标宋简体" w:hAnsi="方正小标宋简体" w:eastAsia="方正小标宋简体" w:cs="方正小标宋简体"/>
                <w:b w:val="0"/>
                <w:bCs w:val="0"/>
                <w:lang w:val="en-US" w:eastAsia="zh-CN" w:bidi="ar"/>
              </w:rPr>
            </w:pPr>
            <w:r>
              <w:rPr>
                <w:rFonts w:hint="eastAsia" w:ascii="方正小标宋简体" w:hAnsi="方正小标宋简体" w:eastAsia="方正小标宋简体" w:cs="方正小标宋简体"/>
                <w:b w:val="0"/>
                <w:bCs w:val="0"/>
                <w:i w:val="0"/>
                <w:iCs w:val="0"/>
                <w:color w:val="000000"/>
                <w:kern w:val="0"/>
                <w:sz w:val="40"/>
                <w:szCs w:val="40"/>
                <w:u w:val="none"/>
                <w:lang w:val="en-US" w:eastAsia="zh-CN" w:bidi="ar"/>
              </w:rPr>
              <w:t>均村乡（</w:t>
            </w:r>
            <w:r>
              <w:rPr>
                <w:rStyle w:val="22"/>
                <w:rFonts w:hint="eastAsia" w:ascii="方正小标宋简体" w:hAnsi="方正小标宋简体" w:eastAsia="方正小标宋简体" w:cs="方正小标宋简体"/>
                <w:b w:val="0"/>
                <w:bCs w:val="0"/>
                <w:lang w:val="en-US" w:eastAsia="zh-CN" w:bidi="ar"/>
              </w:rPr>
              <w:t>村</w:t>
            </w:r>
            <w:r>
              <w:rPr>
                <w:rFonts w:hint="eastAsia" w:ascii="方正小标宋简体" w:hAnsi="方正小标宋简体" w:eastAsia="方正小标宋简体" w:cs="方正小标宋简体"/>
                <w:b w:val="0"/>
                <w:bCs w:val="0"/>
                <w:i w:val="0"/>
                <w:iCs w:val="0"/>
                <w:color w:val="000000"/>
                <w:kern w:val="0"/>
                <w:sz w:val="40"/>
                <w:szCs w:val="40"/>
                <w:u w:val="none"/>
                <w:lang w:val="en-US" w:eastAsia="zh-CN" w:bidi="ar"/>
              </w:rPr>
              <w:t>）</w:t>
            </w:r>
            <w:r>
              <w:rPr>
                <w:rStyle w:val="22"/>
                <w:rFonts w:hint="eastAsia" w:ascii="方正小标宋简体" w:hAnsi="方正小标宋简体" w:eastAsia="方正小标宋简体" w:cs="方正小标宋简体"/>
                <w:b w:val="0"/>
                <w:bCs w:val="0"/>
                <w:lang w:val="en-US" w:eastAsia="zh-CN" w:bidi="ar"/>
              </w:rPr>
              <w:t>“两违”治理工作巡查日报表</w:t>
            </w:r>
          </w:p>
          <w:p w14:paraId="656F7EC3">
            <w:pPr>
              <w:keepNext w:val="0"/>
              <w:keepLines w:val="0"/>
              <w:widowControl/>
              <w:suppressLineNumbers w:val="0"/>
              <w:jc w:val="center"/>
              <w:textAlignment w:val="center"/>
              <w:rPr>
                <w:rStyle w:val="22"/>
                <w:rFonts w:hint="eastAsia" w:ascii="方正小标宋简体" w:hAnsi="方正小标宋简体" w:eastAsia="方正小标宋简体" w:cs="方正小标宋简体"/>
                <w:b w:val="0"/>
                <w:bCs w:val="0"/>
                <w:lang w:val="en-US" w:eastAsia="zh-CN" w:bidi="ar"/>
              </w:rPr>
            </w:pPr>
          </w:p>
        </w:tc>
      </w:tr>
      <w:tr w14:paraId="4F5DF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9"/>
            <w:tcBorders>
              <w:top w:val="nil"/>
              <w:left w:val="nil"/>
              <w:bottom w:val="single" w:color="000000" w:sz="4" w:space="0"/>
              <w:right w:val="nil"/>
            </w:tcBorders>
            <w:shd w:val="clear" w:color="auto" w:fill="auto"/>
            <w:noWrap/>
            <w:vAlign w:val="center"/>
          </w:tcPr>
          <w:p w14:paraId="0063136D">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村（居)盖章：                                             年   月   日                                                                                  </w:t>
            </w:r>
          </w:p>
        </w:tc>
      </w:tr>
      <w:tr w14:paraId="05227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391" w:type="pct"/>
            <w:tcBorders>
              <w:top w:val="nil"/>
              <w:left w:val="single" w:color="000000" w:sz="4" w:space="0"/>
              <w:bottom w:val="single" w:color="000000" w:sz="4" w:space="0"/>
              <w:right w:val="single" w:color="000000" w:sz="4" w:space="0"/>
            </w:tcBorders>
            <w:shd w:val="clear" w:color="auto" w:fill="auto"/>
            <w:vAlign w:val="center"/>
          </w:tcPr>
          <w:p w14:paraId="1933B77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序  号</w:t>
            </w:r>
          </w:p>
        </w:tc>
        <w:tc>
          <w:tcPr>
            <w:tcW w:w="396" w:type="pct"/>
            <w:tcBorders>
              <w:top w:val="nil"/>
              <w:left w:val="single" w:color="000000" w:sz="4" w:space="0"/>
              <w:bottom w:val="single" w:color="000000" w:sz="4" w:space="0"/>
              <w:right w:val="single" w:color="000000" w:sz="4" w:space="0"/>
            </w:tcBorders>
            <w:shd w:val="clear" w:color="auto" w:fill="auto"/>
            <w:vAlign w:val="center"/>
          </w:tcPr>
          <w:p w14:paraId="2EA5A87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姓  名</w:t>
            </w:r>
          </w:p>
        </w:tc>
        <w:tc>
          <w:tcPr>
            <w:tcW w:w="850" w:type="pct"/>
            <w:tcBorders>
              <w:top w:val="nil"/>
              <w:left w:val="single" w:color="000000" w:sz="4" w:space="0"/>
              <w:bottom w:val="single" w:color="000000" w:sz="4" w:space="0"/>
              <w:right w:val="single" w:color="000000" w:sz="4" w:space="0"/>
            </w:tcBorders>
            <w:shd w:val="clear" w:color="auto" w:fill="auto"/>
            <w:vAlign w:val="center"/>
          </w:tcPr>
          <w:p w14:paraId="0369FD0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村组</w:t>
            </w:r>
          </w:p>
        </w:tc>
        <w:tc>
          <w:tcPr>
            <w:tcW w:w="754" w:type="pct"/>
            <w:tcBorders>
              <w:top w:val="nil"/>
              <w:left w:val="single" w:color="000000" w:sz="4" w:space="0"/>
              <w:bottom w:val="single" w:color="000000" w:sz="4" w:space="0"/>
              <w:right w:val="single" w:color="000000" w:sz="4" w:space="0"/>
            </w:tcBorders>
            <w:shd w:val="clear" w:color="auto" w:fill="auto"/>
            <w:vAlign w:val="center"/>
          </w:tcPr>
          <w:p w14:paraId="305C9CE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电  话</w:t>
            </w:r>
          </w:p>
        </w:tc>
        <w:tc>
          <w:tcPr>
            <w:tcW w:w="508" w:type="pct"/>
            <w:tcBorders>
              <w:top w:val="nil"/>
              <w:left w:val="single" w:color="000000" w:sz="4" w:space="0"/>
              <w:bottom w:val="single" w:color="000000" w:sz="4" w:space="0"/>
              <w:right w:val="single" w:color="000000" w:sz="4" w:space="0"/>
            </w:tcBorders>
            <w:shd w:val="clear" w:color="auto" w:fill="auto"/>
            <w:vAlign w:val="center"/>
          </w:tcPr>
          <w:p w14:paraId="6E3D6E0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土地属性</w:t>
            </w:r>
          </w:p>
        </w:tc>
        <w:tc>
          <w:tcPr>
            <w:tcW w:w="396" w:type="pct"/>
            <w:tcBorders>
              <w:top w:val="nil"/>
              <w:left w:val="single" w:color="000000" w:sz="4" w:space="0"/>
              <w:bottom w:val="single" w:color="000000" w:sz="4" w:space="0"/>
              <w:right w:val="single" w:color="000000" w:sz="4" w:space="0"/>
            </w:tcBorders>
            <w:shd w:val="clear" w:color="auto" w:fill="auto"/>
            <w:vAlign w:val="center"/>
          </w:tcPr>
          <w:p w14:paraId="4BE9533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是否审批</w:t>
            </w:r>
          </w:p>
        </w:tc>
        <w:tc>
          <w:tcPr>
            <w:tcW w:w="611" w:type="pct"/>
            <w:tcBorders>
              <w:top w:val="nil"/>
              <w:left w:val="single" w:color="000000" w:sz="4" w:space="0"/>
              <w:bottom w:val="single" w:color="000000" w:sz="4" w:space="0"/>
              <w:right w:val="single" w:color="000000" w:sz="4" w:space="0"/>
            </w:tcBorders>
            <w:shd w:val="clear" w:color="auto" w:fill="auto"/>
            <w:vAlign w:val="center"/>
          </w:tcPr>
          <w:p w14:paraId="3496E3B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违法用地、违建现状</w:t>
            </w:r>
          </w:p>
        </w:tc>
        <w:tc>
          <w:tcPr>
            <w:tcW w:w="611" w:type="pct"/>
            <w:tcBorders>
              <w:top w:val="nil"/>
              <w:left w:val="single" w:color="000000" w:sz="4" w:space="0"/>
              <w:bottom w:val="single" w:color="000000" w:sz="4" w:space="0"/>
              <w:right w:val="single" w:color="000000" w:sz="4" w:space="0"/>
            </w:tcBorders>
            <w:shd w:val="clear" w:color="auto" w:fill="auto"/>
            <w:vAlign w:val="center"/>
          </w:tcPr>
          <w:p w14:paraId="7033497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处理措施</w:t>
            </w:r>
          </w:p>
        </w:tc>
        <w:tc>
          <w:tcPr>
            <w:tcW w:w="479" w:type="pct"/>
            <w:tcBorders>
              <w:top w:val="nil"/>
              <w:left w:val="single" w:color="000000" w:sz="4" w:space="0"/>
              <w:bottom w:val="single" w:color="000000" w:sz="4" w:space="0"/>
              <w:right w:val="single" w:color="000000" w:sz="4" w:space="0"/>
            </w:tcBorders>
            <w:shd w:val="clear" w:color="auto" w:fill="auto"/>
            <w:vAlign w:val="center"/>
          </w:tcPr>
          <w:p w14:paraId="55C2459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备  注</w:t>
            </w:r>
          </w:p>
        </w:tc>
      </w:tr>
      <w:tr w14:paraId="694B1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309C3">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DA43F">
            <w:pPr>
              <w:jc w:val="center"/>
              <w:rPr>
                <w:rFonts w:hint="eastAsia" w:ascii="仿宋_GB2312" w:hAnsi="仿宋_GB2312" w:eastAsia="仿宋_GB2312" w:cs="仿宋_GB2312"/>
                <w:i w:val="0"/>
                <w:iCs w:val="0"/>
                <w:color w:val="000000"/>
                <w:sz w:val="32"/>
                <w:szCs w:val="32"/>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ECAF4">
            <w:pPr>
              <w:jc w:val="center"/>
              <w:rPr>
                <w:rFonts w:hint="eastAsia" w:ascii="仿宋_GB2312" w:hAnsi="仿宋_GB2312" w:eastAsia="仿宋_GB2312" w:cs="仿宋_GB2312"/>
                <w:i w:val="0"/>
                <w:iCs w:val="0"/>
                <w:color w:val="000000"/>
                <w:sz w:val="32"/>
                <w:szCs w:val="32"/>
                <w:u w:val="none"/>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7407E">
            <w:pPr>
              <w:jc w:val="center"/>
              <w:rPr>
                <w:rFonts w:hint="eastAsia" w:ascii="仿宋_GB2312" w:hAnsi="仿宋_GB2312" w:eastAsia="仿宋_GB2312" w:cs="仿宋_GB2312"/>
                <w:i w:val="0"/>
                <w:iCs w:val="0"/>
                <w:color w:val="000000"/>
                <w:sz w:val="32"/>
                <w:szCs w:val="32"/>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507C2">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AF8CF">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CD2A4">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39CF8">
            <w:pPr>
              <w:jc w:val="center"/>
              <w:rPr>
                <w:rFonts w:hint="eastAsia" w:ascii="仿宋_GB2312" w:hAnsi="仿宋_GB2312" w:eastAsia="仿宋_GB2312" w:cs="仿宋_GB2312"/>
                <w:i w:val="0"/>
                <w:iCs w:val="0"/>
                <w:color w:val="000000"/>
                <w:sz w:val="32"/>
                <w:szCs w:val="32"/>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4523C">
            <w:pPr>
              <w:jc w:val="center"/>
              <w:rPr>
                <w:rFonts w:hint="eastAsia" w:ascii="仿宋_GB2312" w:hAnsi="仿宋_GB2312" w:eastAsia="仿宋_GB2312" w:cs="仿宋_GB2312"/>
                <w:i w:val="0"/>
                <w:iCs w:val="0"/>
                <w:color w:val="000000"/>
                <w:sz w:val="32"/>
                <w:szCs w:val="32"/>
                <w:u w:val="none"/>
              </w:rPr>
            </w:pPr>
          </w:p>
        </w:tc>
      </w:tr>
      <w:tr w14:paraId="00E70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07317">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CC582">
            <w:pPr>
              <w:jc w:val="center"/>
              <w:rPr>
                <w:rFonts w:hint="eastAsia" w:ascii="仿宋_GB2312" w:hAnsi="仿宋_GB2312" w:eastAsia="仿宋_GB2312" w:cs="仿宋_GB2312"/>
                <w:i w:val="0"/>
                <w:iCs w:val="0"/>
                <w:color w:val="000000"/>
                <w:sz w:val="32"/>
                <w:szCs w:val="32"/>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3D867">
            <w:pPr>
              <w:jc w:val="center"/>
              <w:rPr>
                <w:rFonts w:hint="eastAsia" w:ascii="仿宋_GB2312" w:hAnsi="仿宋_GB2312" w:eastAsia="仿宋_GB2312" w:cs="仿宋_GB2312"/>
                <w:i w:val="0"/>
                <w:iCs w:val="0"/>
                <w:color w:val="000000"/>
                <w:sz w:val="32"/>
                <w:szCs w:val="32"/>
                <w:u w:val="none"/>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AA89D">
            <w:pPr>
              <w:jc w:val="center"/>
              <w:rPr>
                <w:rFonts w:hint="eastAsia" w:ascii="仿宋_GB2312" w:hAnsi="仿宋_GB2312" w:eastAsia="仿宋_GB2312" w:cs="仿宋_GB2312"/>
                <w:i w:val="0"/>
                <w:iCs w:val="0"/>
                <w:color w:val="000000"/>
                <w:sz w:val="32"/>
                <w:szCs w:val="32"/>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9E562">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B0B5A">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2BD03">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F114E">
            <w:pPr>
              <w:jc w:val="center"/>
              <w:rPr>
                <w:rFonts w:hint="eastAsia" w:ascii="仿宋_GB2312" w:hAnsi="仿宋_GB2312" w:eastAsia="仿宋_GB2312" w:cs="仿宋_GB2312"/>
                <w:i w:val="0"/>
                <w:iCs w:val="0"/>
                <w:color w:val="000000"/>
                <w:sz w:val="32"/>
                <w:szCs w:val="32"/>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2A2CE">
            <w:pPr>
              <w:jc w:val="center"/>
              <w:rPr>
                <w:rFonts w:hint="eastAsia" w:ascii="仿宋_GB2312" w:hAnsi="仿宋_GB2312" w:eastAsia="仿宋_GB2312" w:cs="仿宋_GB2312"/>
                <w:i w:val="0"/>
                <w:iCs w:val="0"/>
                <w:color w:val="000000"/>
                <w:sz w:val="32"/>
                <w:szCs w:val="32"/>
                <w:u w:val="none"/>
              </w:rPr>
            </w:pPr>
          </w:p>
        </w:tc>
      </w:tr>
      <w:tr w14:paraId="08109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1DBE7">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6AFB0">
            <w:pPr>
              <w:jc w:val="center"/>
              <w:rPr>
                <w:rFonts w:hint="eastAsia" w:ascii="仿宋_GB2312" w:hAnsi="仿宋_GB2312" w:eastAsia="仿宋_GB2312" w:cs="仿宋_GB2312"/>
                <w:i w:val="0"/>
                <w:iCs w:val="0"/>
                <w:color w:val="000000"/>
                <w:sz w:val="32"/>
                <w:szCs w:val="32"/>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6ED62">
            <w:pPr>
              <w:jc w:val="center"/>
              <w:rPr>
                <w:rFonts w:hint="eastAsia" w:ascii="仿宋_GB2312" w:hAnsi="仿宋_GB2312" w:eastAsia="仿宋_GB2312" w:cs="仿宋_GB2312"/>
                <w:i w:val="0"/>
                <w:iCs w:val="0"/>
                <w:color w:val="000000"/>
                <w:sz w:val="32"/>
                <w:szCs w:val="32"/>
                <w:u w:val="none"/>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B1EEC">
            <w:pPr>
              <w:jc w:val="center"/>
              <w:rPr>
                <w:rFonts w:hint="eastAsia" w:ascii="仿宋_GB2312" w:hAnsi="仿宋_GB2312" w:eastAsia="仿宋_GB2312" w:cs="仿宋_GB2312"/>
                <w:i w:val="0"/>
                <w:iCs w:val="0"/>
                <w:color w:val="000000"/>
                <w:sz w:val="32"/>
                <w:szCs w:val="32"/>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14709">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860D3">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1396A">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6631B">
            <w:pPr>
              <w:jc w:val="center"/>
              <w:rPr>
                <w:rFonts w:hint="eastAsia" w:ascii="仿宋_GB2312" w:hAnsi="仿宋_GB2312" w:eastAsia="仿宋_GB2312" w:cs="仿宋_GB2312"/>
                <w:i w:val="0"/>
                <w:iCs w:val="0"/>
                <w:color w:val="000000"/>
                <w:sz w:val="32"/>
                <w:szCs w:val="32"/>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5895F">
            <w:pPr>
              <w:jc w:val="center"/>
              <w:rPr>
                <w:rFonts w:hint="eastAsia" w:ascii="仿宋_GB2312" w:hAnsi="仿宋_GB2312" w:eastAsia="仿宋_GB2312" w:cs="仿宋_GB2312"/>
                <w:i w:val="0"/>
                <w:iCs w:val="0"/>
                <w:color w:val="000000"/>
                <w:sz w:val="32"/>
                <w:szCs w:val="32"/>
                <w:u w:val="none"/>
              </w:rPr>
            </w:pPr>
          </w:p>
        </w:tc>
      </w:tr>
      <w:tr w14:paraId="22C9A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C64F4">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81BBD">
            <w:pPr>
              <w:jc w:val="center"/>
              <w:rPr>
                <w:rFonts w:hint="eastAsia" w:ascii="仿宋_GB2312" w:hAnsi="仿宋_GB2312" w:eastAsia="仿宋_GB2312" w:cs="仿宋_GB2312"/>
                <w:i w:val="0"/>
                <w:iCs w:val="0"/>
                <w:color w:val="000000"/>
                <w:sz w:val="32"/>
                <w:szCs w:val="32"/>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3B00B">
            <w:pPr>
              <w:jc w:val="center"/>
              <w:rPr>
                <w:rFonts w:hint="eastAsia" w:ascii="仿宋_GB2312" w:hAnsi="仿宋_GB2312" w:eastAsia="仿宋_GB2312" w:cs="仿宋_GB2312"/>
                <w:i w:val="0"/>
                <w:iCs w:val="0"/>
                <w:color w:val="000000"/>
                <w:sz w:val="32"/>
                <w:szCs w:val="32"/>
                <w:u w:val="none"/>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170D7">
            <w:pPr>
              <w:jc w:val="center"/>
              <w:rPr>
                <w:rFonts w:hint="eastAsia" w:ascii="仿宋_GB2312" w:hAnsi="仿宋_GB2312" w:eastAsia="仿宋_GB2312" w:cs="仿宋_GB2312"/>
                <w:i w:val="0"/>
                <w:iCs w:val="0"/>
                <w:color w:val="000000"/>
                <w:sz w:val="32"/>
                <w:szCs w:val="32"/>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5A2D0">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97300">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11FC9">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F8FF0">
            <w:pPr>
              <w:jc w:val="center"/>
              <w:rPr>
                <w:rFonts w:hint="eastAsia" w:ascii="仿宋_GB2312" w:hAnsi="仿宋_GB2312" w:eastAsia="仿宋_GB2312" w:cs="仿宋_GB2312"/>
                <w:i w:val="0"/>
                <w:iCs w:val="0"/>
                <w:color w:val="000000"/>
                <w:sz w:val="32"/>
                <w:szCs w:val="32"/>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DC651">
            <w:pPr>
              <w:jc w:val="center"/>
              <w:rPr>
                <w:rFonts w:hint="eastAsia" w:ascii="仿宋_GB2312" w:hAnsi="仿宋_GB2312" w:eastAsia="仿宋_GB2312" w:cs="仿宋_GB2312"/>
                <w:i w:val="0"/>
                <w:iCs w:val="0"/>
                <w:color w:val="000000"/>
                <w:sz w:val="32"/>
                <w:szCs w:val="32"/>
                <w:u w:val="none"/>
              </w:rPr>
            </w:pPr>
          </w:p>
        </w:tc>
      </w:tr>
      <w:tr w14:paraId="2EF9C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6D27A">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9C4CE">
            <w:pPr>
              <w:jc w:val="center"/>
              <w:rPr>
                <w:rFonts w:hint="eastAsia" w:ascii="仿宋_GB2312" w:hAnsi="仿宋_GB2312" w:eastAsia="仿宋_GB2312" w:cs="仿宋_GB2312"/>
                <w:i w:val="0"/>
                <w:iCs w:val="0"/>
                <w:color w:val="000000"/>
                <w:sz w:val="32"/>
                <w:szCs w:val="32"/>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BDA96">
            <w:pPr>
              <w:jc w:val="center"/>
              <w:rPr>
                <w:rFonts w:hint="eastAsia" w:ascii="仿宋_GB2312" w:hAnsi="仿宋_GB2312" w:eastAsia="仿宋_GB2312" w:cs="仿宋_GB2312"/>
                <w:i w:val="0"/>
                <w:iCs w:val="0"/>
                <w:color w:val="000000"/>
                <w:sz w:val="32"/>
                <w:szCs w:val="32"/>
                <w:u w:val="none"/>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CEB75">
            <w:pPr>
              <w:jc w:val="center"/>
              <w:rPr>
                <w:rFonts w:hint="eastAsia" w:ascii="仿宋_GB2312" w:hAnsi="仿宋_GB2312" w:eastAsia="仿宋_GB2312" w:cs="仿宋_GB2312"/>
                <w:i w:val="0"/>
                <w:iCs w:val="0"/>
                <w:color w:val="000000"/>
                <w:sz w:val="32"/>
                <w:szCs w:val="32"/>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FB0D1">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B2483">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2E6D7">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873AA">
            <w:pPr>
              <w:jc w:val="center"/>
              <w:rPr>
                <w:rFonts w:hint="eastAsia" w:ascii="仿宋_GB2312" w:hAnsi="仿宋_GB2312" w:eastAsia="仿宋_GB2312" w:cs="仿宋_GB2312"/>
                <w:i w:val="0"/>
                <w:iCs w:val="0"/>
                <w:color w:val="000000"/>
                <w:sz w:val="32"/>
                <w:szCs w:val="32"/>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B00D1">
            <w:pPr>
              <w:jc w:val="center"/>
              <w:rPr>
                <w:rFonts w:hint="eastAsia" w:ascii="仿宋_GB2312" w:hAnsi="仿宋_GB2312" w:eastAsia="仿宋_GB2312" w:cs="仿宋_GB2312"/>
                <w:i w:val="0"/>
                <w:iCs w:val="0"/>
                <w:color w:val="000000"/>
                <w:sz w:val="32"/>
                <w:szCs w:val="32"/>
                <w:u w:val="none"/>
              </w:rPr>
            </w:pPr>
          </w:p>
        </w:tc>
      </w:tr>
      <w:tr w14:paraId="5BC69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446DC">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4B868">
            <w:pPr>
              <w:jc w:val="center"/>
              <w:rPr>
                <w:rFonts w:hint="eastAsia" w:ascii="仿宋_GB2312" w:hAnsi="仿宋_GB2312" w:eastAsia="仿宋_GB2312" w:cs="仿宋_GB2312"/>
                <w:i w:val="0"/>
                <w:iCs w:val="0"/>
                <w:color w:val="000000"/>
                <w:sz w:val="32"/>
                <w:szCs w:val="32"/>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86BC6">
            <w:pPr>
              <w:jc w:val="center"/>
              <w:rPr>
                <w:rFonts w:hint="eastAsia" w:ascii="仿宋_GB2312" w:hAnsi="仿宋_GB2312" w:eastAsia="仿宋_GB2312" w:cs="仿宋_GB2312"/>
                <w:i w:val="0"/>
                <w:iCs w:val="0"/>
                <w:color w:val="000000"/>
                <w:sz w:val="32"/>
                <w:szCs w:val="32"/>
                <w:u w:val="none"/>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3340B">
            <w:pPr>
              <w:jc w:val="center"/>
              <w:rPr>
                <w:rFonts w:hint="eastAsia" w:ascii="仿宋_GB2312" w:hAnsi="仿宋_GB2312" w:eastAsia="仿宋_GB2312" w:cs="仿宋_GB2312"/>
                <w:i w:val="0"/>
                <w:iCs w:val="0"/>
                <w:color w:val="000000"/>
                <w:sz w:val="32"/>
                <w:szCs w:val="32"/>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295B8">
            <w:pPr>
              <w:jc w:val="center"/>
              <w:rPr>
                <w:rFonts w:hint="eastAsia" w:ascii="仿宋_GB2312" w:hAnsi="仿宋_GB2312" w:eastAsia="仿宋_GB2312" w:cs="仿宋_GB2312"/>
                <w:i w:val="0"/>
                <w:iCs w:val="0"/>
                <w:color w:val="000000"/>
                <w:sz w:val="32"/>
                <w:szCs w:val="32"/>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0B690">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2ACF5">
            <w:pPr>
              <w:jc w:val="center"/>
              <w:rPr>
                <w:rFonts w:hint="eastAsia" w:ascii="仿宋_GB2312" w:hAnsi="仿宋_GB2312" w:eastAsia="仿宋_GB2312" w:cs="仿宋_GB2312"/>
                <w:i w:val="0"/>
                <w:iCs w:val="0"/>
                <w:color w:val="000000"/>
                <w:sz w:val="32"/>
                <w:szCs w:val="32"/>
                <w:u w:val="none"/>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E6389">
            <w:pPr>
              <w:jc w:val="center"/>
              <w:rPr>
                <w:rFonts w:hint="eastAsia" w:ascii="仿宋_GB2312" w:hAnsi="仿宋_GB2312" w:eastAsia="仿宋_GB2312" w:cs="仿宋_GB2312"/>
                <w:i w:val="0"/>
                <w:iCs w:val="0"/>
                <w:color w:val="000000"/>
                <w:sz w:val="32"/>
                <w:szCs w:val="32"/>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01DE6">
            <w:pPr>
              <w:jc w:val="center"/>
              <w:rPr>
                <w:rFonts w:hint="eastAsia" w:ascii="仿宋_GB2312" w:hAnsi="仿宋_GB2312" w:eastAsia="仿宋_GB2312" w:cs="仿宋_GB2312"/>
                <w:i w:val="0"/>
                <w:iCs w:val="0"/>
                <w:color w:val="000000"/>
                <w:sz w:val="32"/>
                <w:szCs w:val="32"/>
                <w:u w:val="none"/>
              </w:rPr>
            </w:pPr>
          </w:p>
        </w:tc>
      </w:tr>
      <w:tr w14:paraId="320D0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9CAEDC3">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巡查入员:                                                                                            </w:t>
            </w:r>
          </w:p>
        </w:tc>
      </w:tr>
      <w:tr w14:paraId="6AABD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B851F88">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w:t>
            </w:r>
            <w:r>
              <w:rPr>
                <w:rStyle w:val="23"/>
                <w:rFonts w:hint="eastAsia" w:ascii="仿宋_GB2312" w:hAnsi="仿宋_GB2312" w:eastAsia="仿宋_GB2312" w:cs="仿宋_GB2312"/>
                <w:sz w:val="32"/>
                <w:szCs w:val="32"/>
                <w:lang w:val="en-US" w:eastAsia="zh-CN" w:bidi="ar"/>
              </w:rPr>
              <w:t>说明：一是各村严格执行网格化管理，坚持落实日报告制度；</w:t>
            </w:r>
            <w:r>
              <w:rPr>
                <w:rStyle w:val="24"/>
                <w:rFonts w:hint="eastAsia" w:ascii="仿宋_GB2312" w:hAnsi="仿宋_GB2312" w:eastAsia="仿宋_GB2312" w:cs="仿宋_GB2312"/>
                <w:sz w:val="32"/>
                <w:szCs w:val="32"/>
                <w:lang w:val="en-US" w:eastAsia="zh-CN" w:bidi="ar"/>
              </w:rPr>
              <w:br w:type="textWrapping"/>
            </w:r>
            <w:r>
              <w:rPr>
                <w:rStyle w:val="24"/>
                <w:rFonts w:hint="eastAsia" w:ascii="仿宋_GB2312" w:hAnsi="仿宋_GB2312" w:eastAsia="仿宋_GB2312" w:cs="仿宋_GB2312"/>
                <w:sz w:val="32"/>
                <w:szCs w:val="32"/>
                <w:lang w:val="en-US" w:eastAsia="zh-CN" w:bidi="ar"/>
              </w:rPr>
              <w:t xml:space="preserve">       </w:t>
            </w:r>
            <w:r>
              <w:rPr>
                <w:rStyle w:val="23"/>
                <w:rFonts w:hint="eastAsia" w:ascii="仿宋_GB2312" w:hAnsi="仿宋_GB2312" w:eastAsia="仿宋_GB2312" w:cs="仿宋_GB2312"/>
                <w:sz w:val="32"/>
                <w:szCs w:val="32"/>
                <w:lang w:val="en-US" w:eastAsia="zh-CN" w:bidi="ar"/>
              </w:rPr>
              <w:t>二是巡查过程中做到“早发现、早制止、早报告”积极消除违法违规行为；</w:t>
            </w:r>
            <w:r>
              <w:rPr>
                <w:rStyle w:val="24"/>
                <w:rFonts w:hint="eastAsia" w:ascii="仿宋_GB2312" w:hAnsi="仿宋_GB2312" w:eastAsia="仿宋_GB2312" w:cs="仿宋_GB2312"/>
                <w:sz w:val="32"/>
                <w:szCs w:val="32"/>
                <w:lang w:val="en-US" w:eastAsia="zh-CN" w:bidi="ar"/>
              </w:rPr>
              <w:br w:type="textWrapping"/>
            </w:r>
            <w:r>
              <w:rPr>
                <w:rStyle w:val="24"/>
                <w:rFonts w:hint="eastAsia" w:ascii="仿宋_GB2312" w:hAnsi="仿宋_GB2312" w:eastAsia="仿宋_GB2312" w:cs="仿宋_GB2312"/>
                <w:sz w:val="32"/>
                <w:szCs w:val="32"/>
                <w:lang w:val="en-US" w:eastAsia="zh-CN" w:bidi="ar"/>
              </w:rPr>
              <w:t xml:space="preserve">       </w:t>
            </w:r>
            <w:r>
              <w:rPr>
                <w:rStyle w:val="23"/>
                <w:rFonts w:hint="eastAsia" w:ascii="仿宋_GB2312" w:hAnsi="仿宋_GB2312" w:eastAsia="仿宋_GB2312" w:cs="仿宋_GB2312"/>
                <w:sz w:val="32"/>
                <w:szCs w:val="32"/>
                <w:lang w:val="en-US" w:eastAsia="zh-CN" w:bidi="ar"/>
              </w:rPr>
              <w:t>三是巡查情况实事求是，杜绝弄虚作假、隐瞒不报，一经发现后果由村里自行承担。</w:t>
            </w:r>
          </w:p>
        </w:tc>
      </w:tr>
    </w:tbl>
    <w:p w14:paraId="700486D9">
      <w:pPr>
        <w:rPr>
          <w:rFonts w:hint="eastAsia" w:ascii="黑体" w:hAnsi="黑体" w:eastAsia="黑体"/>
          <w:sz w:val="32"/>
          <w:szCs w:val="32"/>
          <w:lang w:eastAsia="zh-CN"/>
        </w:rPr>
      </w:pPr>
    </w:p>
    <w:sectPr>
      <w:pgSz w:w="16838" w:h="11906" w:orient="landscape"/>
      <w:pgMar w:top="1474" w:right="1984" w:bottom="1587" w:left="2098" w:header="851" w:footer="992" w:gutter="0"/>
      <w:pgNumType w:fmt="numberInDash"/>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40C033-190A-4528-BC13-45B27B2FF49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0B5EBF75-B61A-4D4C-A9A3-F6234B217FB8}"/>
  </w:font>
  <w:font w:name="方正小标宋简体">
    <w:panose1 w:val="03000509000000000000"/>
    <w:charset w:val="86"/>
    <w:family w:val="auto"/>
    <w:pitch w:val="default"/>
    <w:sig w:usb0="00000001" w:usb1="080E0000" w:usb2="00000000" w:usb3="00000000" w:csb0="00040000" w:csb1="00000000"/>
    <w:embedRegular r:id="rId3" w:fontKey="{BE476262-3BBC-4451-9F7F-2543F19510EB}"/>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4" w:fontKey="{71F05EF7-C2C5-4F3A-9645-3F3E461358A8}"/>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embedRegular r:id="rId5" w:fontKey="{FE208628-0A41-4EDB-9614-971021469B9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8B50B">
    <w:pPr>
      <w:pStyle w:val="1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32EE8">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9732EE8">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kNGFkNTNjOWFkOTYyYzBlNWZlNDgyYmM5YWM1NWUifQ=="/>
  </w:docVars>
  <w:rsids>
    <w:rsidRoot w:val="774654C2"/>
    <w:rsid w:val="00002025"/>
    <w:rsid w:val="00032ADE"/>
    <w:rsid w:val="00043AFB"/>
    <w:rsid w:val="00046BBF"/>
    <w:rsid w:val="000504AA"/>
    <w:rsid w:val="000749E3"/>
    <w:rsid w:val="000921F9"/>
    <w:rsid w:val="000B681A"/>
    <w:rsid w:val="000E2A63"/>
    <w:rsid w:val="00122E7B"/>
    <w:rsid w:val="001335D6"/>
    <w:rsid w:val="001350D3"/>
    <w:rsid w:val="001378B4"/>
    <w:rsid w:val="001C6B8C"/>
    <w:rsid w:val="002121C8"/>
    <w:rsid w:val="00236734"/>
    <w:rsid w:val="00295651"/>
    <w:rsid w:val="002D269B"/>
    <w:rsid w:val="002F754D"/>
    <w:rsid w:val="00306977"/>
    <w:rsid w:val="00306C98"/>
    <w:rsid w:val="00333A2A"/>
    <w:rsid w:val="003A0914"/>
    <w:rsid w:val="003B712B"/>
    <w:rsid w:val="003C068A"/>
    <w:rsid w:val="003C56DA"/>
    <w:rsid w:val="003F397B"/>
    <w:rsid w:val="003F7675"/>
    <w:rsid w:val="00441793"/>
    <w:rsid w:val="0045797A"/>
    <w:rsid w:val="00475B4B"/>
    <w:rsid w:val="00476FC3"/>
    <w:rsid w:val="004A7F6E"/>
    <w:rsid w:val="004D1381"/>
    <w:rsid w:val="005130C7"/>
    <w:rsid w:val="00566D9A"/>
    <w:rsid w:val="00576EED"/>
    <w:rsid w:val="005A72E1"/>
    <w:rsid w:val="005D042E"/>
    <w:rsid w:val="005D7301"/>
    <w:rsid w:val="006015C2"/>
    <w:rsid w:val="00636630"/>
    <w:rsid w:val="006A71FB"/>
    <w:rsid w:val="006F1C88"/>
    <w:rsid w:val="006F47BE"/>
    <w:rsid w:val="006F6418"/>
    <w:rsid w:val="00736F4F"/>
    <w:rsid w:val="00745A67"/>
    <w:rsid w:val="00755447"/>
    <w:rsid w:val="00756478"/>
    <w:rsid w:val="007728DA"/>
    <w:rsid w:val="00794485"/>
    <w:rsid w:val="007B2878"/>
    <w:rsid w:val="007F78EB"/>
    <w:rsid w:val="00856881"/>
    <w:rsid w:val="008A6EC2"/>
    <w:rsid w:val="008E4D0A"/>
    <w:rsid w:val="00906E84"/>
    <w:rsid w:val="009343C8"/>
    <w:rsid w:val="00970651"/>
    <w:rsid w:val="00976959"/>
    <w:rsid w:val="009D16DC"/>
    <w:rsid w:val="009F31FB"/>
    <w:rsid w:val="009F327E"/>
    <w:rsid w:val="00A83DC0"/>
    <w:rsid w:val="00AF4942"/>
    <w:rsid w:val="00B10BEA"/>
    <w:rsid w:val="00B45C3D"/>
    <w:rsid w:val="00B92181"/>
    <w:rsid w:val="00BB04F6"/>
    <w:rsid w:val="00BB59F4"/>
    <w:rsid w:val="00BD0EDD"/>
    <w:rsid w:val="00BF5434"/>
    <w:rsid w:val="00C1012D"/>
    <w:rsid w:val="00C62355"/>
    <w:rsid w:val="00C6664C"/>
    <w:rsid w:val="00C75EA3"/>
    <w:rsid w:val="00C772FB"/>
    <w:rsid w:val="00C862CC"/>
    <w:rsid w:val="00CA29F4"/>
    <w:rsid w:val="00CF4355"/>
    <w:rsid w:val="00D4332B"/>
    <w:rsid w:val="00D5695B"/>
    <w:rsid w:val="00D7092F"/>
    <w:rsid w:val="00E213C5"/>
    <w:rsid w:val="00E80795"/>
    <w:rsid w:val="00FC7E86"/>
    <w:rsid w:val="00FE5D37"/>
    <w:rsid w:val="012F2443"/>
    <w:rsid w:val="013B0DE8"/>
    <w:rsid w:val="01610122"/>
    <w:rsid w:val="01787946"/>
    <w:rsid w:val="01891B53"/>
    <w:rsid w:val="01AE3368"/>
    <w:rsid w:val="01C012ED"/>
    <w:rsid w:val="01FA47FF"/>
    <w:rsid w:val="023D46EC"/>
    <w:rsid w:val="024141DC"/>
    <w:rsid w:val="025832D3"/>
    <w:rsid w:val="02B26E88"/>
    <w:rsid w:val="02B73E03"/>
    <w:rsid w:val="02BA3F8E"/>
    <w:rsid w:val="02C80459"/>
    <w:rsid w:val="02CE54A5"/>
    <w:rsid w:val="02D0730E"/>
    <w:rsid w:val="02E444BF"/>
    <w:rsid w:val="02EB4148"/>
    <w:rsid w:val="02F70D3E"/>
    <w:rsid w:val="031E276F"/>
    <w:rsid w:val="0341645D"/>
    <w:rsid w:val="03577A2F"/>
    <w:rsid w:val="036D3467"/>
    <w:rsid w:val="039B5B6E"/>
    <w:rsid w:val="039C5E84"/>
    <w:rsid w:val="03AC38D7"/>
    <w:rsid w:val="03AF1619"/>
    <w:rsid w:val="03D33559"/>
    <w:rsid w:val="03D472D2"/>
    <w:rsid w:val="03EE3EEF"/>
    <w:rsid w:val="04185410"/>
    <w:rsid w:val="04267B2D"/>
    <w:rsid w:val="042E0790"/>
    <w:rsid w:val="047D1717"/>
    <w:rsid w:val="04814D63"/>
    <w:rsid w:val="048900BC"/>
    <w:rsid w:val="04B14F1D"/>
    <w:rsid w:val="04C82992"/>
    <w:rsid w:val="04D53301"/>
    <w:rsid w:val="04EB2CC6"/>
    <w:rsid w:val="04F96FF0"/>
    <w:rsid w:val="05096457"/>
    <w:rsid w:val="050F6813"/>
    <w:rsid w:val="05107E95"/>
    <w:rsid w:val="05151AB0"/>
    <w:rsid w:val="051C2196"/>
    <w:rsid w:val="0528460B"/>
    <w:rsid w:val="053F69CD"/>
    <w:rsid w:val="05600E1D"/>
    <w:rsid w:val="05656433"/>
    <w:rsid w:val="05681A7F"/>
    <w:rsid w:val="0575419C"/>
    <w:rsid w:val="05777F14"/>
    <w:rsid w:val="058645FB"/>
    <w:rsid w:val="05BD626F"/>
    <w:rsid w:val="05C869C2"/>
    <w:rsid w:val="05D67331"/>
    <w:rsid w:val="05D9297D"/>
    <w:rsid w:val="05DE7F94"/>
    <w:rsid w:val="05E03D0C"/>
    <w:rsid w:val="05FD48BE"/>
    <w:rsid w:val="063F6C84"/>
    <w:rsid w:val="06666F74"/>
    <w:rsid w:val="067803E8"/>
    <w:rsid w:val="06782196"/>
    <w:rsid w:val="06896151"/>
    <w:rsid w:val="06A411DD"/>
    <w:rsid w:val="06AB256C"/>
    <w:rsid w:val="06B238FA"/>
    <w:rsid w:val="06B37672"/>
    <w:rsid w:val="06F3181D"/>
    <w:rsid w:val="07153E89"/>
    <w:rsid w:val="07350087"/>
    <w:rsid w:val="079E3E7E"/>
    <w:rsid w:val="07C65825"/>
    <w:rsid w:val="07DE071F"/>
    <w:rsid w:val="07FE0BAD"/>
    <w:rsid w:val="0828199A"/>
    <w:rsid w:val="082F0F7A"/>
    <w:rsid w:val="083E4D1A"/>
    <w:rsid w:val="086230FE"/>
    <w:rsid w:val="08640C24"/>
    <w:rsid w:val="08964B56"/>
    <w:rsid w:val="089A4646"/>
    <w:rsid w:val="08A1124C"/>
    <w:rsid w:val="08AA0601"/>
    <w:rsid w:val="08B33959"/>
    <w:rsid w:val="08B374B6"/>
    <w:rsid w:val="08BF4A0E"/>
    <w:rsid w:val="08CD68E8"/>
    <w:rsid w:val="08D538D0"/>
    <w:rsid w:val="09025849"/>
    <w:rsid w:val="096B5FE2"/>
    <w:rsid w:val="09864BCA"/>
    <w:rsid w:val="09C851E3"/>
    <w:rsid w:val="09CD27F9"/>
    <w:rsid w:val="09E10052"/>
    <w:rsid w:val="09E11799"/>
    <w:rsid w:val="0A195A3E"/>
    <w:rsid w:val="0A570314"/>
    <w:rsid w:val="0A740EC6"/>
    <w:rsid w:val="0ACC2AB1"/>
    <w:rsid w:val="0B077F8D"/>
    <w:rsid w:val="0B1306DF"/>
    <w:rsid w:val="0B260413"/>
    <w:rsid w:val="0B27418B"/>
    <w:rsid w:val="0B3617C4"/>
    <w:rsid w:val="0B492353"/>
    <w:rsid w:val="0B494101"/>
    <w:rsid w:val="0B7A075E"/>
    <w:rsid w:val="0B9A495D"/>
    <w:rsid w:val="0BB7550F"/>
    <w:rsid w:val="0BD51E39"/>
    <w:rsid w:val="0BDC4F75"/>
    <w:rsid w:val="0C0B13B7"/>
    <w:rsid w:val="0C0F70F9"/>
    <w:rsid w:val="0C112E71"/>
    <w:rsid w:val="0C28640C"/>
    <w:rsid w:val="0C337ED3"/>
    <w:rsid w:val="0C4D7C21"/>
    <w:rsid w:val="0C6F5DE9"/>
    <w:rsid w:val="0C992E66"/>
    <w:rsid w:val="0CA2135E"/>
    <w:rsid w:val="0CAF2210"/>
    <w:rsid w:val="0CB101B0"/>
    <w:rsid w:val="0CD8573D"/>
    <w:rsid w:val="0CE02843"/>
    <w:rsid w:val="0CEF3474"/>
    <w:rsid w:val="0D3D5EE8"/>
    <w:rsid w:val="0D4B4161"/>
    <w:rsid w:val="0D6352B3"/>
    <w:rsid w:val="0D7F1B51"/>
    <w:rsid w:val="0D814026"/>
    <w:rsid w:val="0D815DD4"/>
    <w:rsid w:val="0D904269"/>
    <w:rsid w:val="0DA6583B"/>
    <w:rsid w:val="0DC21F49"/>
    <w:rsid w:val="0DF465A6"/>
    <w:rsid w:val="0E056A05"/>
    <w:rsid w:val="0E1C78AB"/>
    <w:rsid w:val="0E3C619F"/>
    <w:rsid w:val="0E4651BB"/>
    <w:rsid w:val="0E4D3F08"/>
    <w:rsid w:val="0E7B2823"/>
    <w:rsid w:val="0E9E6512"/>
    <w:rsid w:val="0ECF2B6F"/>
    <w:rsid w:val="0EF34AB0"/>
    <w:rsid w:val="0EFF16A6"/>
    <w:rsid w:val="0F177303"/>
    <w:rsid w:val="0F2904D1"/>
    <w:rsid w:val="0F352B76"/>
    <w:rsid w:val="0F3B0205"/>
    <w:rsid w:val="0F3D3F7D"/>
    <w:rsid w:val="0F5A5BA1"/>
    <w:rsid w:val="0F825E34"/>
    <w:rsid w:val="0F931DEF"/>
    <w:rsid w:val="10086339"/>
    <w:rsid w:val="103233B6"/>
    <w:rsid w:val="10463305"/>
    <w:rsid w:val="10643980"/>
    <w:rsid w:val="109127D2"/>
    <w:rsid w:val="10C2298C"/>
    <w:rsid w:val="10E741A0"/>
    <w:rsid w:val="110F36F7"/>
    <w:rsid w:val="111D5E14"/>
    <w:rsid w:val="11785740"/>
    <w:rsid w:val="11867E5D"/>
    <w:rsid w:val="118E0AC0"/>
    <w:rsid w:val="11B32238"/>
    <w:rsid w:val="11B360B7"/>
    <w:rsid w:val="11B61DC5"/>
    <w:rsid w:val="11B76268"/>
    <w:rsid w:val="11BD75F7"/>
    <w:rsid w:val="11FC3C7B"/>
    <w:rsid w:val="120945EA"/>
    <w:rsid w:val="121F796A"/>
    <w:rsid w:val="12241424"/>
    <w:rsid w:val="123478B9"/>
    <w:rsid w:val="125A4E46"/>
    <w:rsid w:val="12661A3D"/>
    <w:rsid w:val="12827852"/>
    <w:rsid w:val="129E11D6"/>
    <w:rsid w:val="129E2E1D"/>
    <w:rsid w:val="12B409FA"/>
    <w:rsid w:val="12D5695F"/>
    <w:rsid w:val="132502C8"/>
    <w:rsid w:val="132C67E2"/>
    <w:rsid w:val="13596EAB"/>
    <w:rsid w:val="135E451A"/>
    <w:rsid w:val="1360648C"/>
    <w:rsid w:val="136917E4"/>
    <w:rsid w:val="136A10B9"/>
    <w:rsid w:val="136C6E5D"/>
    <w:rsid w:val="138A3509"/>
    <w:rsid w:val="13954387"/>
    <w:rsid w:val="13A7657E"/>
    <w:rsid w:val="13C609E5"/>
    <w:rsid w:val="140B464A"/>
    <w:rsid w:val="141F6347"/>
    <w:rsid w:val="142676D5"/>
    <w:rsid w:val="14415A5F"/>
    <w:rsid w:val="146A05EF"/>
    <w:rsid w:val="14AB3737"/>
    <w:rsid w:val="14EA24B1"/>
    <w:rsid w:val="14F96B98"/>
    <w:rsid w:val="15282FD9"/>
    <w:rsid w:val="153876C0"/>
    <w:rsid w:val="153E45AB"/>
    <w:rsid w:val="15451DDD"/>
    <w:rsid w:val="155362A8"/>
    <w:rsid w:val="15642956"/>
    <w:rsid w:val="159468C1"/>
    <w:rsid w:val="15BB36D2"/>
    <w:rsid w:val="162639BD"/>
    <w:rsid w:val="1642631D"/>
    <w:rsid w:val="16642CA5"/>
    <w:rsid w:val="166C5148"/>
    <w:rsid w:val="16774218"/>
    <w:rsid w:val="167A7865"/>
    <w:rsid w:val="169C3C7F"/>
    <w:rsid w:val="169F376F"/>
    <w:rsid w:val="16A62408"/>
    <w:rsid w:val="16C3745D"/>
    <w:rsid w:val="16D927DD"/>
    <w:rsid w:val="16E365AB"/>
    <w:rsid w:val="16E64EFA"/>
    <w:rsid w:val="170B4961"/>
    <w:rsid w:val="171B2DF6"/>
    <w:rsid w:val="172D0D7B"/>
    <w:rsid w:val="17982698"/>
    <w:rsid w:val="17B15508"/>
    <w:rsid w:val="18023FB5"/>
    <w:rsid w:val="18187335"/>
    <w:rsid w:val="181B6E25"/>
    <w:rsid w:val="181E3DA1"/>
    <w:rsid w:val="18316649"/>
    <w:rsid w:val="183F2B14"/>
    <w:rsid w:val="186C7681"/>
    <w:rsid w:val="187529D9"/>
    <w:rsid w:val="18D23988"/>
    <w:rsid w:val="18E37943"/>
    <w:rsid w:val="18F25DD8"/>
    <w:rsid w:val="18FE29CF"/>
    <w:rsid w:val="192B3098"/>
    <w:rsid w:val="19324427"/>
    <w:rsid w:val="193E726F"/>
    <w:rsid w:val="194D40B9"/>
    <w:rsid w:val="196514BC"/>
    <w:rsid w:val="197B5DCD"/>
    <w:rsid w:val="19A35324"/>
    <w:rsid w:val="19AA0461"/>
    <w:rsid w:val="19C57049"/>
    <w:rsid w:val="1A3E01D5"/>
    <w:rsid w:val="1A626F8D"/>
    <w:rsid w:val="1A69031C"/>
    <w:rsid w:val="1A6B3F22"/>
    <w:rsid w:val="1A937147"/>
    <w:rsid w:val="1AB84DFF"/>
    <w:rsid w:val="1AC83294"/>
    <w:rsid w:val="1ACE63D1"/>
    <w:rsid w:val="1AEC6857"/>
    <w:rsid w:val="1AED4AA9"/>
    <w:rsid w:val="1B0F0EC3"/>
    <w:rsid w:val="1B2304CB"/>
    <w:rsid w:val="1B3E3557"/>
    <w:rsid w:val="1B506DE6"/>
    <w:rsid w:val="1B5543FC"/>
    <w:rsid w:val="1B5A7C65"/>
    <w:rsid w:val="1B6A60FA"/>
    <w:rsid w:val="1B854CE1"/>
    <w:rsid w:val="1B9E5DA3"/>
    <w:rsid w:val="1BB1013B"/>
    <w:rsid w:val="1BBE01F3"/>
    <w:rsid w:val="1BCA303C"/>
    <w:rsid w:val="1BCB46BE"/>
    <w:rsid w:val="1BD21AA0"/>
    <w:rsid w:val="1BED4612"/>
    <w:rsid w:val="1C0876C1"/>
    <w:rsid w:val="1C0B3BD7"/>
    <w:rsid w:val="1C200EAE"/>
    <w:rsid w:val="1C5D12C5"/>
    <w:rsid w:val="1C766D20"/>
    <w:rsid w:val="1CA4388D"/>
    <w:rsid w:val="1CB25FAA"/>
    <w:rsid w:val="1CCC6940"/>
    <w:rsid w:val="1CD37CCF"/>
    <w:rsid w:val="1CE123EB"/>
    <w:rsid w:val="1CE974F2"/>
    <w:rsid w:val="1CEE2D5A"/>
    <w:rsid w:val="1CFF0AC4"/>
    <w:rsid w:val="1D085BCA"/>
    <w:rsid w:val="1D1D719C"/>
    <w:rsid w:val="1D344C11"/>
    <w:rsid w:val="1D43117C"/>
    <w:rsid w:val="1D5A03F0"/>
    <w:rsid w:val="1D6B7F07"/>
    <w:rsid w:val="1D7C0366"/>
    <w:rsid w:val="1D8A4831"/>
    <w:rsid w:val="1DB21FDA"/>
    <w:rsid w:val="1DC15D79"/>
    <w:rsid w:val="1DC85359"/>
    <w:rsid w:val="1DD32E58"/>
    <w:rsid w:val="1DD51824"/>
    <w:rsid w:val="1E0423C5"/>
    <w:rsid w:val="1E3E386E"/>
    <w:rsid w:val="1E91399D"/>
    <w:rsid w:val="1E9D67E6"/>
    <w:rsid w:val="1EA336D1"/>
    <w:rsid w:val="1EA71413"/>
    <w:rsid w:val="1EB15DEE"/>
    <w:rsid w:val="1EB349AC"/>
    <w:rsid w:val="1EBB4EBE"/>
    <w:rsid w:val="1EDD6BE3"/>
    <w:rsid w:val="1EE937D9"/>
    <w:rsid w:val="1F226CEB"/>
    <w:rsid w:val="1F6A2A93"/>
    <w:rsid w:val="1F792DAF"/>
    <w:rsid w:val="1F947BE9"/>
    <w:rsid w:val="1F9574BD"/>
    <w:rsid w:val="1FAB0A8F"/>
    <w:rsid w:val="1FE263AC"/>
    <w:rsid w:val="1FE65F6B"/>
    <w:rsid w:val="1FEB3581"/>
    <w:rsid w:val="1FFC12EA"/>
    <w:rsid w:val="20084133"/>
    <w:rsid w:val="200B777F"/>
    <w:rsid w:val="20124FB2"/>
    <w:rsid w:val="201B3E66"/>
    <w:rsid w:val="20651585"/>
    <w:rsid w:val="20855784"/>
    <w:rsid w:val="20915ED7"/>
    <w:rsid w:val="209669C5"/>
    <w:rsid w:val="20C462AC"/>
    <w:rsid w:val="20E406FC"/>
    <w:rsid w:val="20E93F65"/>
    <w:rsid w:val="20F16975"/>
    <w:rsid w:val="20FD7003"/>
    <w:rsid w:val="21333432"/>
    <w:rsid w:val="2149055F"/>
    <w:rsid w:val="214B077B"/>
    <w:rsid w:val="21627873"/>
    <w:rsid w:val="21863561"/>
    <w:rsid w:val="218912A4"/>
    <w:rsid w:val="21C43E14"/>
    <w:rsid w:val="21D4251F"/>
    <w:rsid w:val="223A7A62"/>
    <w:rsid w:val="224B0307"/>
    <w:rsid w:val="226019FC"/>
    <w:rsid w:val="228671DF"/>
    <w:rsid w:val="22A04AF7"/>
    <w:rsid w:val="22AA3280"/>
    <w:rsid w:val="22CC31F6"/>
    <w:rsid w:val="22E42C35"/>
    <w:rsid w:val="22E449E3"/>
    <w:rsid w:val="2305495A"/>
    <w:rsid w:val="232E2103"/>
    <w:rsid w:val="232E5C5F"/>
    <w:rsid w:val="233174FD"/>
    <w:rsid w:val="2351194D"/>
    <w:rsid w:val="238166D6"/>
    <w:rsid w:val="2392443F"/>
    <w:rsid w:val="23C87E61"/>
    <w:rsid w:val="23ED3D6C"/>
    <w:rsid w:val="24062738"/>
    <w:rsid w:val="24107A5A"/>
    <w:rsid w:val="241A2687"/>
    <w:rsid w:val="243C43AB"/>
    <w:rsid w:val="244F2331"/>
    <w:rsid w:val="2455187F"/>
    <w:rsid w:val="245E2574"/>
    <w:rsid w:val="246833F2"/>
    <w:rsid w:val="246A53BC"/>
    <w:rsid w:val="246B33F7"/>
    <w:rsid w:val="247022A7"/>
    <w:rsid w:val="247608D5"/>
    <w:rsid w:val="249754FF"/>
    <w:rsid w:val="24DD5B8E"/>
    <w:rsid w:val="24F46A34"/>
    <w:rsid w:val="24FE5B05"/>
    <w:rsid w:val="250C0222"/>
    <w:rsid w:val="25461985"/>
    <w:rsid w:val="25545725"/>
    <w:rsid w:val="256A4F48"/>
    <w:rsid w:val="25754238"/>
    <w:rsid w:val="257A518B"/>
    <w:rsid w:val="25861D82"/>
    <w:rsid w:val="25B032A3"/>
    <w:rsid w:val="25BC57A4"/>
    <w:rsid w:val="25C603D0"/>
    <w:rsid w:val="25FA451E"/>
    <w:rsid w:val="26002529"/>
    <w:rsid w:val="26031625"/>
    <w:rsid w:val="26063AA3"/>
    <w:rsid w:val="260809E9"/>
    <w:rsid w:val="260D5FFF"/>
    <w:rsid w:val="261A696E"/>
    <w:rsid w:val="26865DB2"/>
    <w:rsid w:val="269267AD"/>
    <w:rsid w:val="26C54B2C"/>
    <w:rsid w:val="26D42FC1"/>
    <w:rsid w:val="272B49F9"/>
    <w:rsid w:val="279938C3"/>
    <w:rsid w:val="27BD1CA7"/>
    <w:rsid w:val="27DA63B5"/>
    <w:rsid w:val="27FF5E1C"/>
    <w:rsid w:val="281E2746"/>
    <w:rsid w:val="282744B1"/>
    <w:rsid w:val="282835C4"/>
    <w:rsid w:val="282D0BDB"/>
    <w:rsid w:val="28520495"/>
    <w:rsid w:val="2859377E"/>
    <w:rsid w:val="28814A83"/>
    <w:rsid w:val="28924EE2"/>
    <w:rsid w:val="28A40771"/>
    <w:rsid w:val="28DE0127"/>
    <w:rsid w:val="28ED036A"/>
    <w:rsid w:val="292C2C40"/>
    <w:rsid w:val="29302024"/>
    <w:rsid w:val="293B10D5"/>
    <w:rsid w:val="294837F2"/>
    <w:rsid w:val="296A5517"/>
    <w:rsid w:val="29842A7C"/>
    <w:rsid w:val="29891E41"/>
    <w:rsid w:val="2996630C"/>
    <w:rsid w:val="29B53F01"/>
    <w:rsid w:val="29C410CB"/>
    <w:rsid w:val="29E67293"/>
    <w:rsid w:val="2A1A6F3D"/>
    <w:rsid w:val="2A1C2CB5"/>
    <w:rsid w:val="2A403DA7"/>
    <w:rsid w:val="2A4D7312"/>
    <w:rsid w:val="2A5C1303"/>
    <w:rsid w:val="2A7C7BF7"/>
    <w:rsid w:val="2AAA6513"/>
    <w:rsid w:val="2AC0411F"/>
    <w:rsid w:val="2AC60E73"/>
    <w:rsid w:val="2AD73080"/>
    <w:rsid w:val="2B0100FD"/>
    <w:rsid w:val="2B195446"/>
    <w:rsid w:val="2B1E0CAF"/>
    <w:rsid w:val="2B244D62"/>
    <w:rsid w:val="2B25203D"/>
    <w:rsid w:val="2B2A7653"/>
    <w:rsid w:val="2B312367"/>
    <w:rsid w:val="2B342280"/>
    <w:rsid w:val="2B3C1135"/>
    <w:rsid w:val="2B4A1AA4"/>
    <w:rsid w:val="2B542EF2"/>
    <w:rsid w:val="2B5E10AB"/>
    <w:rsid w:val="2B8903C8"/>
    <w:rsid w:val="2BAF0759"/>
    <w:rsid w:val="2C03090E"/>
    <w:rsid w:val="2C097269"/>
    <w:rsid w:val="2C1D2D14"/>
    <w:rsid w:val="2C3C763E"/>
    <w:rsid w:val="2C7072E8"/>
    <w:rsid w:val="2C815051"/>
    <w:rsid w:val="2C9C632F"/>
    <w:rsid w:val="2CB7562B"/>
    <w:rsid w:val="2CBC077F"/>
    <w:rsid w:val="2D09202F"/>
    <w:rsid w:val="2D26209C"/>
    <w:rsid w:val="2D2D6F87"/>
    <w:rsid w:val="2D330A3E"/>
    <w:rsid w:val="2DC94537"/>
    <w:rsid w:val="2DCA2A28"/>
    <w:rsid w:val="2DF44F80"/>
    <w:rsid w:val="2E2C5491"/>
    <w:rsid w:val="2E60513A"/>
    <w:rsid w:val="2E756E38"/>
    <w:rsid w:val="2E782484"/>
    <w:rsid w:val="2EDF2503"/>
    <w:rsid w:val="2EEF6BEA"/>
    <w:rsid w:val="2F0B32F8"/>
    <w:rsid w:val="2F106B60"/>
    <w:rsid w:val="2F1321AD"/>
    <w:rsid w:val="2F3A598B"/>
    <w:rsid w:val="2F495922"/>
    <w:rsid w:val="2F7B047E"/>
    <w:rsid w:val="2FCA6D7F"/>
    <w:rsid w:val="2FD23E16"/>
    <w:rsid w:val="2FD302BA"/>
    <w:rsid w:val="2FEC3129"/>
    <w:rsid w:val="300E12F2"/>
    <w:rsid w:val="301A5EE8"/>
    <w:rsid w:val="303D5733"/>
    <w:rsid w:val="30446AC1"/>
    <w:rsid w:val="30474804"/>
    <w:rsid w:val="30562C99"/>
    <w:rsid w:val="30712B04"/>
    <w:rsid w:val="307750E9"/>
    <w:rsid w:val="30823A8E"/>
    <w:rsid w:val="30896BCA"/>
    <w:rsid w:val="3098505F"/>
    <w:rsid w:val="30A25EDE"/>
    <w:rsid w:val="30D065A7"/>
    <w:rsid w:val="30F027A5"/>
    <w:rsid w:val="30F06C49"/>
    <w:rsid w:val="30F77FD8"/>
    <w:rsid w:val="30FA7AC8"/>
    <w:rsid w:val="30FD3114"/>
    <w:rsid w:val="311C359A"/>
    <w:rsid w:val="31456F95"/>
    <w:rsid w:val="31466869"/>
    <w:rsid w:val="314A45AB"/>
    <w:rsid w:val="316A69FC"/>
    <w:rsid w:val="318A49A8"/>
    <w:rsid w:val="31BD2FCF"/>
    <w:rsid w:val="31BE28A4"/>
    <w:rsid w:val="31C61758"/>
    <w:rsid w:val="31D05E42"/>
    <w:rsid w:val="31F512D3"/>
    <w:rsid w:val="31F664E1"/>
    <w:rsid w:val="31FE5396"/>
    <w:rsid w:val="324F174E"/>
    <w:rsid w:val="3258337C"/>
    <w:rsid w:val="325F4087"/>
    <w:rsid w:val="326E6078"/>
    <w:rsid w:val="326F10CF"/>
    <w:rsid w:val="32715B68"/>
    <w:rsid w:val="32764F2C"/>
    <w:rsid w:val="32780CA4"/>
    <w:rsid w:val="32933D30"/>
    <w:rsid w:val="329A6E6D"/>
    <w:rsid w:val="32A61CB5"/>
    <w:rsid w:val="32B97E59"/>
    <w:rsid w:val="32E427DE"/>
    <w:rsid w:val="32E75E2A"/>
    <w:rsid w:val="33095DA0"/>
    <w:rsid w:val="33266952"/>
    <w:rsid w:val="332B36E5"/>
    <w:rsid w:val="33435756"/>
    <w:rsid w:val="334F5D32"/>
    <w:rsid w:val="335A484E"/>
    <w:rsid w:val="336E0C77"/>
    <w:rsid w:val="33792F26"/>
    <w:rsid w:val="33925D96"/>
    <w:rsid w:val="33AC132B"/>
    <w:rsid w:val="33BA709B"/>
    <w:rsid w:val="33EF143A"/>
    <w:rsid w:val="3421711A"/>
    <w:rsid w:val="345179FF"/>
    <w:rsid w:val="347B1CE0"/>
    <w:rsid w:val="348C6C89"/>
    <w:rsid w:val="348E47AF"/>
    <w:rsid w:val="34A246FE"/>
    <w:rsid w:val="34D10B40"/>
    <w:rsid w:val="351729F7"/>
    <w:rsid w:val="353510CF"/>
    <w:rsid w:val="353A4937"/>
    <w:rsid w:val="353A66E5"/>
    <w:rsid w:val="353D61D5"/>
    <w:rsid w:val="35470E02"/>
    <w:rsid w:val="35812566"/>
    <w:rsid w:val="359A3628"/>
    <w:rsid w:val="35B069A7"/>
    <w:rsid w:val="35BE7316"/>
    <w:rsid w:val="35C81F43"/>
    <w:rsid w:val="35D46B3A"/>
    <w:rsid w:val="35DC59EE"/>
    <w:rsid w:val="35E548A3"/>
    <w:rsid w:val="35EB5C31"/>
    <w:rsid w:val="35F83386"/>
    <w:rsid w:val="36145188"/>
    <w:rsid w:val="36213401"/>
    <w:rsid w:val="362A251F"/>
    <w:rsid w:val="362A49AB"/>
    <w:rsid w:val="36603F29"/>
    <w:rsid w:val="36A75FFC"/>
    <w:rsid w:val="36CF10AF"/>
    <w:rsid w:val="36D861B6"/>
    <w:rsid w:val="36FB00F6"/>
    <w:rsid w:val="37797999"/>
    <w:rsid w:val="37B24C58"/>
    <w:rsid w:val="37E34593"/>
    <w:rsid w:val="37E961A0"/>
    <w:rsid w:val="37ED3EE3"/>
    <w:rsid w:val="382673F4"/>
    <w:rsid w:val="383438BF"/>
    <w:rsid w:val="384D2BD3"/>
    <w:rsid w:val="38521F98"/>
    <w:rsid w:val="38547ABE"/>
    <w:rsid w:val="385C4BC4"/>
    <w:rsid w:val="386C3059"/>
    <w:rsid w:val="386D6DD1"/>
    <w:rsid w:val="39AB5E03"/>
    <w:rsid w:val="39C11183"/>
    <w:rsid w:val="39C37691"/>
    <w:rsid w:val="39C72511"/>
    <w:rsid w:val="39CB2002"/>
    <w:rsid w:val="39D013C6"/>
    <w:rsid w:val="3A233BEC"/>
    <w:rsid w:val="3A26548A"/>
    <w:rsid w:val="3A347BA7"/>
    <w:rsid w:val="3A571AE7"/>
    <w:rsid w:val="3A6F6E31"/>
    <w:rsid w:val="3A80311E"/>
    <w:rsid w:val="3A922B1F"/>
    <w:rsid w:val="3A9E3272"/>
    <w:rsid w:val="3AC70A1B"/>
    <w:rsid w:val="3ACC4283"/>
    <w:rsid w:val="3AD849D6"/>
    <w:rsid w:val="3B0D74E4"/>
    <w:rsid w:val="3B0E03F8"/>
    <w:rsid w:val="3B341AA3"/>
    <w:rsid w:val="3B345984"/>
    <w:rsid w:val="3B5878C5"/>
    <w:rsid w:val="3B697D24"/>
    <w:rsid w:val="3B87198B"/>
    <w:rsid w:val="3B892174"/>
    <w:rsid w:val="3B9F1CA8"/>
    <w:rsid w:val="3BB645EB"/>
    <w:rsid w:val="3BCC3E0F"/>
    <w:rsid w:val="3BD3519D"/>
    <w:rsid w:val="3BFA097C"/>
    <w:rsid w:val="3C2679C3"/>
    <w:rsid w:val="3C460065"/>
    <w:rsid w:val="3C6504EB"/>
    <w:rsid w:val="3C7A1ABD"/>
    <w:rsid w:val="3C7C5835"/>
    <w:rsid w:val="3CA408E8"/>
    <w:rsid w:val="3CB66F99"/>
    <w:rsid w:val="3CFB547F"/>
    <w:rsid w:val="3CFD6976"/>
    <w:rsid w:val="3D2A703F"/>
    <w:rsid w:val="3D37175C"/>
    <w:rsid w:val="3D3E2AEA"/>
    <w:rsid w:val="3D477BF1"/>
    <w:rsid w:val="3D5567B2"/>
    <w:rsid w:val="3D6C58AA"/>
    <w:rsid w:val="3D8C1AA8"/>
    <w:rsid w:val="3DB1150E"/>
    <w:rsid w:val="3DD60F75"/>
    <w:rsid w:val="3DDF607B"/>
    <w:rsid w:val="3E1D4EEF"/>
    <w:rsid w:val="3E442382"/>
    <w:rsid w:val="3E79027E"/>
    <w:rsid w:val="3E894239"/>
    <w:rsid w:val="3E8F7AA2"/>
    <w:rsid w:val="3E907376"/>
    <w:rsid w:val="3EC3774B"/>
    <w:rsid w:val="3EDB73BB"/>
    <w:rsid w:val="3EDC6A5F"/>
    <w:rsid w:val="3EED2A1A"/>
    <w:rsid w:val="3EEF6792"/>
    <w:rsid w:val="3F042F21"/>
    <w:rsid w:val="3F397A0D"/>
    <w:rsid w:val="3F4A39C9"/>
    <w:rsid w:val="3F5465F5"/>
    <w:rsid w:val="3F5B3E28"/>
    <w:rsid w:val="3F5D7BA0"/>
    <w:rsid w:val="3F696545"/>
    <w:rsid w:val="3F822079"/>
    <w:rsid w:val="3FAC4683"/>
    <w:rsid w:val="3FAE03FB"/>
    <w:rsid w:val="3FB84DD6"/>
    <w:rsid w:val="3FCB2D5B"/>
    <w:rsid w:val="3FCC0881"/>
    <w:rsid w:val="3FE039DF"/>
    <w:rsid w:val="40025A33"/>
    <w:rsid w:val="401A15ED"/>
    <w:rsid w:val="40644F5E"/>
    <w:rsid w:val="40677B95"/>
    <w:rsid w:val="407D1B7C"/>
    <w:rsid w:val="408847A8"/>
    <w:rsid w:val="408D0011"/>
    <w:rsid w:val="40B64D12"/>
    <w:rsid w:val="40C81049"/>
    <w:rsid w:val="40CD665F"/>
    <w:rsid w:val="40D914A8"/>
    <w:rsid w:val="40F64600"/>
    <w:rsid w:val="41322966"/>
    <w:rsid w:val="41354204"/>
    <w:rsid w:val="413761CE"/>
    <w:rsid w:val="41546D80"/>
    <w:rsid w:val="41A17335"/>
    <w:rsid w:val="41A2189A"/>
    <w:rsid w:val="41A5138A"/>
    <w:rsid w:val="41E023C2"/>
    <w:rsid w:val="41E579D9"/>
    <w:rsid w:val="423050F8"/>
    <w:rsid w:val="42334BE8"/>
    <w:rsid w:val="42350960"/>
    <w:rsid w:val="4257459D"/>
    <w:rsid w:val="4283791D"/>
    <w:rsid w:val="429A4C67"/>
    <w:rsid w:val="429F227D"/>
    <w:rsid w:val="42A812FC"/>
    <w:rsid w:val="42BD2703"/>
    <w:rsid w:val="42C10446"/>
    <w:rsid w:val="43747266"/>
    <w:rsid w:val="437B05F4"/>
    <w:rsid w:val="43B65AD0"/>
    <w:rsid w:val="44000AFA"/>
    <w:rsid w:val="4427077C"/>
    <w:rsid w:val="44332C7D"/>
    <w:rsid w:val="44501A81"/>
    <w:rsid w:val="44580936"/>
    <w:rsid w:val="445D7CFA"/>
    <w:rsid w:val="449000D0"/>
    <w:rsid w:val="44A21BB1"/>
    <w:rsid w:val="44A929A8"/>
    <w:rsid w:val="44B95D89"/>
    <w:rsid w:val="44BF6C07"/>
    <w:rsid w:val="44CE29A6"/>
    <w:rsid w:val="44DC3315"/>
    <w:rsid w:val="45014B29"/>
    <w:rsid w:val="45085EB8"/>
    <w:rsid w:val="45156827"/>
    <w:rsid w:val="452B429C"/>
    <w:rsid w:val="453734C5"/>
    <w:rsid w:val="4557299B"/>
    <w:rsid w:val="45717F01"/>
    <w:rsid w:val="45763769"/>
    <w:rsid w:val="457B0D80"/>
    <w:rsid w:val="45815C6A"/>
    <w:rsid w:val="45A32084"/>
    <w:rsid w:val="45AC0F39"/>
    <w:rsid w:val="45AC6EA1"/>
    <w:rsid w:val="45B34E08"/>
    <w:rsid w:val="45CC15DB"/>
    <w:rsid w:val="45D93CF8"/>
    <w:rsid w:val="45DA429A"/>
    <w:rsid w:val="462140AB"/>
    <w:rsid w:val="463351B6"/>
    <w:rsid w:val="463D7DE3"/>
    <w:rsid w:val="46401681"/>
    <w:rsid w:val="465D0485"/>
    <w:rsid w:val="466A4950"/>
    <w:rsid w:val="467852BF"/>
    <w:rsid w:val="469320F9"/>
    <w:rsid w:val="46F2119E"/>
    <w:rsid w:val="47084895"/>
    <w:rsid w:val="470B7EE1"/>
    <w:rsid w:val="471326EF"/>
    <w:rsid w:val="472B0583"/>
    <w:rsid w:val="47571378"/>
    <w:rsid w:val="47574ED5"/>
    <w:rsid w:val="477C0DDF"/>
    <w:rsid w:val="47841A42"/>
    <w:rsid w:val="47906638"/>
    <w:rsid w:val="47DC362C"/>
    <w:rsid w:val="47DE73A4"/>
    <w:rsid w:val="47E0311C"/>
    <w:rsid w:val="47EA3F9B"/>
    <w:rsid w:val="47F170D7"/>
    <w:rsid w:val="47F349B0"/>
    <w:rsid w:val="47F70466"/>
    <w:rsid w:val="47F72214"/>
    <w:rsid w:val="486755EB"/>
    <w:rsid w:val="4871646A"/>
    <w:rsid w:val="48C447EC"/>
    <w:rsid w:val="48E02DD2"/>
    <w:rsid w:val="48FF75D2"/>
    <w:rsid w:val="4907292A"/>
    <w:rsid w:val="493F3410"/>
    <w:rsid w:val="497A30FC"/>
    <w:rsid w:val="498875C7"/>
    <w:rsid w:val="49A563CB"/>
    <w:rsid w:val="49A60395"/>
    <w:rsid w:val="49C16F7D"/>
    <w:rsid w:val="49C43EEC"/>
    <w:rsid w:val="4A0550BC"/>
    <w:rsid w:val="4A13650D"/>
    <w:rsid w:val="4A161077"/>
    <w:rsid w:val="4A365275"/>
    <w:rsid w:val="4A527BD5"/>
    <w:rsid w:val="4A7E09CA"/>
    <w:rsid w:val="4A834233"/>
    <w:rsid w:val="4A8F0E29"/>
    <w:rsid w:val="4A9C3861"/>
    <w:rsid w:val="4AAE12AF"/>
    <w:rsid w:val="4AD11442"/>
    <w:rsid w:val="4AF84C20"/>
    <w:rsid w:val="4AFA44F5"/>
    <w:rsid w:val="4B3C31C0"/>
    <w:rsid w:val="4B6575F2"/>
    <w:rsid w:val="4B771FE9"/>
    <w:rsid w:val="4B7F2C4C"/>
    <w:rsid w:val="4BB9615E"/>
    <w:rsid w:val="4BD96800"/>
    <w:rsid w:val="4BEA4569"/>
    <w:rsid w:val="4BF278C2"/>
    <w:rsid w:val="4C276EAC"/>
    <w:rsid w:val="4C673E0C"/>
    <w:rsid w:val="4C7107E7"/>
    <w:rsid w:val="4C88556D"/>
    <w:rsid w:val="4CB701C3"/>
    <w:rsid w:val="4CF475EA"/>
    <w:rsid w:val="4D137AF0"/>
    <w:rsid w:val="4D1675E0"/>
    <w:rsid w:val="4D1E1A60"/>
    <w:rsid w:val="4D673998"/>
    <w:rsid w:val="4D73058E"/>
    <w:rsid w:val="4D9C5D37"/>
    <w:rsid w:val="4DA30E74"/>
    <w:rsid w:val="4DA62712"/>
    <w:rsid w:val="4DD059E1"/>
    <w:rsid w:val="4DE84AD8"/>
    <w:rsid w:val="4DF84C2E"/>
    <w:rsid w:val="4DFF1E22"/>
    <w:rsid w:val="4E0631B0"/>
    <w:rsid w:val="4E326C84"/>
    <w:rsid w:val="4E593C28"/>
    <w:rsid w:val="4E5E2FEC"/>
    <w:rsid w:val="4E76551D"/>
    <w:rsid w:val="4E880069"/>
    <w:rsid w:val="4E9702AC"/>
    <w:rsid w:val="4EA76741"/>
    <w:rsid w:val="4EAA3096"/>
    <w:rsid w:val="4EBE7F2F"/>
    <w:rsid w:val="4ED65279"/>
    <w:rsid w:val="4F172249"/>
    <w:rsid w:val="4F351F9F"/>
    <w:rsid w:val="4F5A1A06"/>
    <w:rsid w:val="4F5D32A4"/>
    <w:rsid w:val="4F8B7E11"/>
    <w:rsid w:val="4FB56C3C"/>
    <w:rsid w:val="4FC652ED"/>
    <w:rsid w:val="4FF04118"/>
    <w:rsid w:val="4FFC0D0F"/>
    <w:rsid w:val="503264DF"/>
    <w:rsid w:val="503F29AA"/>
    <w:rsid w:val="50577CF3"/>
    <w:rsid w:val="509947B0"/>
    <w:rsid w:val="50BC3FFA"/>
    <w:rsid w:val="50C80BF1"/>
    <w:rsid w:val="50CA4969"/>
    <w:rsid w:val="50D2381E"/>
    <w:rsid w:val="51053BF3"/>
    <w:rsid w:val="51402E7D"/>
    <w:rsid w:val="51624BA2"/>
    <w:rsid w:val="516E79EA"/>
    <w:rsid w:val="51752B27"/>
    <w:rsid w:val="51840FBC"/>
    <w:rsid w:val="518A40F8"/>
    <w:rsid w:val="518C7E71"/>
    <w:rsid w:val="51AF004C"/>
    <w:rsid w:val="51EB2DE9"/>
    <w:rsid w:val="51F55A16"/>
    <w:rsid w:val="521340EE"/>
    <w:rsid w:val="521C11F4"/>
    <w:rsid w:val="523F4EE3"/>
    <w:rsid w:val="524A3FB4"/>
    <w:rsid w:val="524D5852"/>
    <w:rsid w:val="525E7A5F"/>
    <w:rsid w:val="527E5A0B"/>
    <w:rsid w:val="52976ACD"/>
    <w:rsid w:val="52C302B1"/>
    <w:rsid w:val="532F6D06"/>
    <w:rsid w:val="53656BCB"/>
    <w:rsid w:val="53715570"/>
    <w:rsid w:val="537D2167"/>
    <w:rsid w:val="538231DD"/>
    <w:rsid w:val="538434F5"/>
    <w:rsid w:val="53A96AB8"/>
    <w:rsid w:val="53E93358"/>
    <w:rsid w:val="540B7773"/>
    <w:rsid w:val="542B3971"/>
    <w:rsid w:val="544607AB"/>
    <w:rsid w:val="544D7D8B"/>
    <w:rsid w:val="544E58B1"/>
    <w:rsid w:val="545C2A5B"/>
    <w:rsid w:val="54751090"/>
    <w:rsid w:val="54D67D81"/>
    <w:rsid w:val="54DE09E3"/>
    <w:rsid w:val="54F159AB"/>
    <w:rsid w:val="55322ADD"/>
    <w:rsid w:val="553C395C"/>
    <w:rsid w:val="554D5B69"/>
    <w:rsid w:val="558A46C7"/>
    <w:rsid w:val="55B72868"/>
    <w:rsid w:val="55C776C9"/>
    <w:rsid w:val="55CE6CAA"/>
    <w:rsid w:val="55D43B94"/>
    <w:rsid w:val="55DA73FC"/>
    <w:rsid w:val="55DD6EED"/>
    <w:rsid w:val="55E42029"/>
    <w:rsid w:val="55F45FE4"/>
    <w:rsid w:val="5614074A"/>
    <w:rsid w:val="56150435"/>
    <w:rsid w:val="561B7A15"/>
    <w:rsid w:val="563A7E9B"/>
    <w:rsid w:val="56513437"/>
    <w:rsid w:val="56AB2B47"/>
    <w:rsid w:val="56D54068"/>
    <w:rsid w:val="56DA342C"/>
    <w:rsid w:val="56FA3FB6"/>
    <w:rsid w:val="570064CA"/>
    <w:rsid w:val="57064221"/>
    <w:rsid w:val="57154464"/>
    <w:rsid w:val="571945C2"/>
    <w:rsid w:val="57315742"/>
    <w:rsid w:val="57811AFA"/>
    <w:rsid w:val="57825F9E"/>
    <w:rsid w:val="578515EA"/>
    <w:rsid w:val="578F06BB"/>
    <w:rsid w:val="57A71560"/>
    <w:rsid w:val="57BB325E"/>
    <w:rsid w:val="57D367F9"/>
    <w:rsid w:val="57DD31D4"/>
    <w:rsid w:val="57E00F16"/>
    <w:rsid w:val="58005114"/>
    <w:rsid w:val="5806097D"/>
    <w:rsid w:val="58105E47"/>
    <w:rsid w:val="581F37ED"/>
    <w:rsid w:val="58207565"/>
    <w:rsid w:val="587020A4"/>
    <w:rsid w:val="588418A2"/>
    <w:rsid w:val="588820E6"/>
    <w:rsid w:val="58893DB0"/>
    <w:rsid w:val="58931AE5"/>
    <w:rsid w:val="58A261CC"/>
    <w:rsid w:val="58BC728D"/>
    <w:rsid w:val="58E40592"/>
    <w:rsid w:val="58E467E4"/>
    <w:rsid w:val="58EF1411"/>
    <w:rsid w:val="58F509F1"/>
    <w:rsid w:val="590429E2"/>
    <w:rsid w:val="592310BA"/>
    <w:rsid w:val="592D1F39"/>
    <w:rsid w:val="593908DE"/>
    <w:rsid w:val="593C03CE"/>
    <w:rsid w:val="594828CF"/>
    <w:rsid w:val="595219A0"/>
    <w:rsid w:val="596A0A97"/>
    <w:rsid w:val="598C4EB2"/>
    <w:rsid w:val="599B50F5"/>
    <w:rsid w:val="59D357AF"/>
    <w:rsid w:val="59D7597C"/>
    <w:rsid w:val="59E31446"/>
    <w:rsid w:val="59E92304"/>
    <w:rsid w:val="59FC5368"/>
    <w:rsid w:val="5A0031AA"/>
    <w:rsid w:val="5A0233C6"/>
    <w:rsid w:val="5A2E41BB"/>
    <w:rsid w:val="5A31162E"/>
    <w:rsid w:val="5A4A2677"/>
    <w:rsid w:val="5A5A4FB0"/>
    <w:rsid w:val="5A850901"/>
    <w:rsid w:val="5A9C67CB"/>
    <w:rsid w:val="5AA4447D"/>
    <w:rsid w:val="5AC4067B"/>
    <w:rsid w:val="5AD54636"/>
    <w:rsid w:val="5AFF16B3"/>
    <w:rsid w:val="5B0F5D9A"/>
    <w:rsid w:val="5B1909C7"/>
    <w:rsid w:val="5B231846"/>
    <w:rsid w:val="5B2353A2"/>
    <w:rsid w:val="5B2F01EA"/>
    <w:rsid w:val="5B307ABF"/>
    <w:rsid w:val="5B351579"/>
    <w:rsid w:val="5B372BFB"/>
    <w:rsid w:val="5B5C08B4"/>
    <w:rsid w:val="5B5E462C"/>
    <w:rsid w:val="5B6A1223"/>
    <w:rsid w:val="5B9718EC"/>
    <w:rsid w:val="5BBB7CD0"/>
    <w:rsid w:val="5BED775E"/>
    <w:rsid w:val="5BF8682E"/>
    <w:rsid w:val="5C0351D3"/>
    <w:rsid w:val="5C1473E0"/>
    <w:rsid w:val="5C2C472A"/>
    <w:rsid w:val="5C814A76"/>
    <w:rsid w:val="5C853E3A"/>
    <w:rsid w:val="5CB87D6C"/>
    <w:rsid w:val="5CBA1D36"/>
    <w:rsid w:val="5CDD77D2"/>
    <w:rsid w:val="5CFB5EAA"/>
    <w:rsid w:val="5D07484F"/>
    <w:rsid w:val="5D0E5BDE"/>
    <w:rsid w:val="5D6B3030"/>
    <w:rsid w:val="5D72081F"/>
    <w:rsid w:val="5D755C5D"/>
    <w:rsid w:val="5D7F6ADB"/>
    <w:rsid w:val="5DB06C95"/>
    <w:rsid w:val="5E172950"/>
    <w:rsid w:val="5E4A533B"/>
    <w:rsid w:val="5E4D0988"/>
    <w:rsid w:val="5E4D0BDC"/>
    <w:rsid w:val="5E541D16"/>
    <w:rsid w:val="5E5522F3"/>
    <w:rsid w:val="5E602469"/>
    <w:rsid w:val="5E7D74BF"/>
    <w:rsid w:val="5E84084D"/>
    <w:rsid w:val="5EB6477F"/>
    <w:rsid w:val="5EF07C91"/>
    <w:rsid w:val="5F1A4D0E"/>
    <w:rsid w:val="5F2B6F1B"/>
    <w:rsid w:val="5F3A715E"/>
    <w:rsid w:val="5F667F53"/>
    <w:rsid w:val="5F6D308F"/>
    <w:rsid w:val="5F7E34EF"/>
    <w:rsid w:val="5F8E3006"/>
    <w:rsid w:val="5FD650D9"/>
    <w:rsid w:val="5FD65385"/>
    <w:rsid w:val="5FDE5D3B"/>
    <w:rsid w:val="60031C46"/>
    <w:rsid w:val="600C02EE"/>
    <w:rsid w:val="60151BC1"/>
    <w:rsid w:val="60213E7A"/>
    <w:rsid w:val="602F6597"/>
    <w:rsid w:val="60477D84"/>
    <w:rsid w:val="60713884"/>
    <w:rsid w:val="60966616"/>
    <w:rsid w:val="60B371C8"/>
    <w:rsid w:val="60CE5DB0"/>
    <w:rsid w:val="60E750C3"/>
    <w:rsid w:val="61291238"/>
    <w:rsid w:val="6129748A"/>
    <w:rsid w:val="61363955"/>
    <w:rsid w:val="613D1187"/>
    <w:rsid w:val="615838CB"/>
    <w:rsid w:val="61882403"/>
    <w:rsid w:val="619863BE"/>
    <w:rsid w:val="619E7FBB"/>
    <w:rsid w:val="61C176C2"/>
    <w:rsid w:val="61E00085"/>
    <w:rsid w:val="61EF2482"/>
    <w:rsid w:val="61F77588"/>
    <w:rsid w:val="620C3034"/>
    <w:rsid w:val="621912AD"/>
    <w:rsid w:val="62195750"/>
    <w:rsid w:val="622B0FE0"/>
    <w:rsid w:val="623460E6"/>
    <w:rsid w:val="62352AEF"/>
    <w:rsid w:val="624B6B15"/>
    <w:rsid w:val="625C73EB"/>
    <w:rsid w:val="626F5370"/>
    <w:rsid w:val="628726BA"/>
    <w:rsid w:val="62915753"/>
    <w:rsid w:val="6299006B"/>
    <w:rsid w:val="629F0580"/>
    <w:rsid w:val="62A274F4"/>
    <w:rsid w:val="62D17D13"/>
    <w:rsid w:val="62FB6C04"/>
    <w:rsid w:val="62FF4946"/>
    <w:rsid w:val="63045FCB"/>
    <w:rsid w:val="631F6D97"/>
    <w:rsid w:val="63293771"/>
    <w:rsid w:val="633377E1"/>
    <w:rsid w:val="637D586B"/>
    <w:rsid w:val="638210D3"/>
    <w:rsid w:val="63AD43A2"/>
    <w:rsid w:val="640C5BED"/>
    <w:rsid w:val="641937E6"/>
    <w:rsid w:val="644D348F"/>
    <w:rsid w:val="645167DE"/>
    <w:rsid w:val="645E38EF"/>
    <w:rsid w:val="648844C8"/>
    <w:rsid w:val="64DD2A65"/>
    <w:rsid w:val="64DE058B"/>
    <w:rsid w:val="64F733FB"/>
    <w:rsid w:val="64FB2EEB"/>
    <w:rsid w:val="65242442"/>
    <w:rsid w:val="65577E49"/>
    <w:rsid w:val="655A40B6"/>
    <w:rsid w:val="65654809"/>
    <w:rsid w:val="65827169"/>
    <w:rsid w:val="658B24C1"/>
    <w:rsid w:val="659E3545"/>
    <w:rsid w:val="65A610A9"/>
    <w:rsid w:val="65D025CA"/>
    <w:rsid w:val="6603474E"/>
    <w:rsid w:val="664F7993"/>
    <w:rsid w:val="66644AC0"/>
    <w:rsid w:val="667411A7"/>
    <w:rsid w:val="6680077E"/>
    <w:rsid w:val="668313EA"/>
    <w:rsid w:val="66862C89"/>
    <w:rsid w:val="669929BC"/>
    <w:rsid w:val="66A852F5"/>
    <w:rsid w:val="66C57C55"/>
    <w:rsid w:val="66C739CD"/>
    <w:rsid w:val="671D183F"/>
    <w:rsid w:val="67310E46"/>
    <w:rsid w:val="67397CFB"/>
    <w:rsid w:val="67424E02"/>
    <w:rsid w:val="675E59B4"/>
    <w:rsid w:val="67851192"/>
    <w:rsid w:val="6787315C"/>
    <w:rsid w:val="67A91325"/>
    <w:rsid w:val="67B53825"/>
    <w:rsid w:val="67CC6DC1"/>
    <w:rsid w:val="67DF3C67"/>
    <w:rsid w:val="67F87BB6"/>
    <w:rsid w:val="6809233A"/>
    <w:rsid w:val="680E2F36"/>
    <w:rsid w:val="682409AB"/>
    <w:rsid w:val="684352D5"/>
    <w:rsid w:val="68792AA5"/>
    <w:rsid w:val="6884144A"/>
    <w:rsid w:val="6888718C"/>
    <w:rsid w:val="68AB4C28"/>
    <w:rsid w:val="68B63CF9"/>
    <w:rsid w:val="68D67EF7"/>
    <w:rsid w:val="68D75A1D"/>
    <w:rsid w:val="68E1064A"/>
    <w:rsid w:val="6905258B"/>
    <w:rsid w:val="6917406C"/>
    <w:rsid w:val="692844CB"/>
    <w:rsid w:val="692A3D9F"/>
    <w:rsid w:val="69342E70"/>
    <w:rsid w:val="69935DE8"/>
    <w:rsid w:val="699F478D"/>
    <w:rsid w:val="69BD1270"/>
    <w:rsid w:val="69C266DC"/>
    <w:rsid w:val="6A040A94"/>
    <w:rsid w:val="6A6634FD"/>
    <w:rsid w:val="6A681023"/>
    <w:rsid w:val="6A786D8C"/>
    <w:rsid w:val="6A933BC6"/>
    <w:rsid w:val="6AA638F9"/>
    <w:rsid w:val="6AFC5C0F"/>
    <w:rsid w:val="6B054AC4"/>
    <w:rsid w:val="6B105217"/>
    <w:rsid w:val="6B19231D"/>
    <w:rsid w:val="6B403D4E"/>
    <w:rsid w:val="6B567FE5"/>
    <w:rsid w:val="6B6712DB"/>
    <w:rsid w:val="6BA75B7B"/>
    <w:rsid w:val="6BB9765C"/>
    <w:rsid w:val="6BC8789F"/>
    <w:rsid w:val="6BE846BF"/>
    <w:rsid w:val="6C1D5E3D"/>
    <w:rsid w:val="6C24541E"/>
    <w:rsid w:val="6C270A6A"/>
    <w:rsid w:val="6C44161C"/>
    <w:rsid w:val="6C6D2921"/>
    <w:rsid w:val="6CD3474E"/>
    <w:rsid w:val="6CD96208"/>
    <w:rsid w:val="6D1A412B"/>
    <w:rsid w:val="6D4C2709"/>
    <w:rsid w:val="6D5E495F"/>
    <w:rsid w:val="6D7B72BF"/>
    <w:rsid w:val="6D8819DC"/>
    <w:rsid w:val="6DA77654"/>
    <w:rsid w:val="6DC02F24"/>
    <w:rsid w:val="6DD30EA9"/>
    <w:rsid w:val="6DD469CF"/>
    <w:rsid w:val="6DD62748"/>
    <w:rsid w:val="6DDB12EC"/>
    <w:rsid w:val="6E0E1EE1"/>
    <w:rsid w:val="6E162B44"/>
    <w:rsid w:val="6E184B0E"/>
    <w:rsid w:val="6E443B55"/>
    <w:rsid w:val="6E531FEA"/>
    <w:rsid w:val="6E777A87"/>
    <w:rsid w:val="6E901115"/>
    <w:rsid w:val="6EBF142E"/>
    <w:rsid w:val="6EE36ECA"/>
    <w:rsid w:val="6F0357BE"/>
    <w:rsid w:val="6F0F4163"/>
    <w:rsid w:val="6F213E96"/>
    <w:rsid w:val="6F26325B"/>
    <w:rsid w:val="6F2D283B"/>
    <w:rsid w:val="6F2D6397"/>
    <w:rsid w:val="6F5E79FA"/>
    <w:rsid w:val="6F771D08"/>
    <w:rsid w:val="6F863CF9"/>
    <w:rsid w:val="6F8B1310"/>
    <w:rsid w:val="6FCF56A0"/>
    <w:rsid w:val="700D7F77"/>
    <w:rsid w:val="70147557"/>
    <w:rsid w:val="701B08E6"/>
    <w:rsid w:val="701D640C"/>
    <w:rsid w:val="702F613F"/>
    <w:rsid w:val="706F478E"/>
    <w:rsid w:val="707F70C6"/>
    <w:rsid w:val="70A42689"/>
    <w:rsid w:val="70A66401"/>
    <w:rsid w:val="70B84386"/>
    <w:rsid w:val="70C247CF"/>
    <w:rsid w:val="70D171F6"/>
    <w:rsid w:val="70E1568B"/>
    <w:rsid w:val="70E76A1A"/>
    <w:rsid w:val="70EE5FFA"/>
    <w:rsid w:val="71175551"/>
    <w:rsid w:val="711D41EA"/>
    <w:rsid w:val="713246E5"/>
    <w:rsid w:val="7141437C"/>
    <w:rsid w:val="7148230A"/>
    <w:rsid w:val="717C7162"/>
    <w:rsid w:val="71AB5C99"/>
    <w:rsid w:val="71B04183"/>
    <w:rsid w:val="71B52674"/>
    <w:rsid w:val="71C07997"/>
    <w:rsid w:val="71F15DA2"/>
    <w:rsid w:val="71F907B3"/>
    <w:rsid w:val="720A6E64"/>
    <w:rsid w:val="721970A7"/>
    <w:rsid w:val="72203F91"/>
    <w:rsid w:val="722D07E9"/>
    <w:rsid w:val="724C122A"/>
    <w:rsid w:val="72676064"/>
    <w:rsid w:val="72677E12"/>
    <w:rsid w:val="72871EE2"/>
    <w:rsid w:val="729D1A86"/>
    <w:rsid w:val="72A44BC2"/>
    <w:rsid w:val="72A72905"/>
    <w:rsid w:val="72AA009C"/>
    <w:rsid w:val="72DF0BD5"/>
    <w:rsid w:val="730D09BA"/>
    <w:rsid w:val="7343262D"/>
    <w:rsid w:val="73441F01"/>
    <w:rsid w:val="73465C7A"/>
    <w:rsid w:val="7358522B"/>
    <w:rsid w:val="7370719A"/>
    <w:rsid w:val="7386251A"/>
    <w:rsid w:val="73AF7CC3"/>
    <w:rsid w:val="73D17C39"/>
    <w:rsid w:val="74024296"/>
    <w:rsid w:val="740C6EC3"/>
    <w:rsid w:val="742D0BE7"/>
    <w:rsid w:val="7440091B"/>
    <w:rsid w:val="744434A6"/>
    <w:rsid w:val="745148D6"/>
    <w:rsid w:val="747E1443"/>
    <w:rsid w:val="748051BB"/>
    <w:rsid w:val="74B135C7"/>
    <w:rsid w:val="750758DC"/>
    <w:rsid w:val="751B4EE4"/>
    <w:rsid w:val="754937FF"/>
    <w:rsid w:val="757C3BD5"/>
    <w:rsid w:val="75AC4143"/>
    <w:rsid w:val="75D51537"/>
    <w:rsid w:val="75EF084A"/>
    <w:rsid w:val="75F93477"/>
    <w:rsid w:val="760F2C9B"/>
    <w:rsid w:val="76283D5C"/>
    <w:rsid w:val="763444AF"/>
    <w:rsid w:val="763A3830"/>
    <w:rsid w:val="763E768C"/>
    <w:rsid w:val="76516E0F"/>
    <w:rsid w:val="766905FD"/>
    <w:rsid w:val="766F3739"/>
    <w:rsid w:val="76876CD5"/>
    <w:rsid w:val="76CA4E14"/>
    <w:rsid w:val="76D31F1A"/>
    <w:rsid w:val="76D637B8"/>
    <w:rsid w:val="76F0487A"/>
    <w:rsid w:val="770A5210"/>
    <w:rsid w:val="77185B7F"/>
    <w:rsid w:val="772067E2"/>
    <w:rsid w:val="7726029C"/>
    <w:rsid w:val="77387FCF"/>
    <w:rsid w:val="773B7320"/>
    <w:rsid w:val="774654C2"/>
    <w:rsid w:val="774E334F"/>
    <w:rsid w:val="77610BA7"/>
    <w:rsid w:val="7790015C"/>
    <w:rsid w:val="779F02B3"/>
    <w:rsid w:val="77A64F39"/>
    <w:rsid w:val="77B91110"/>
    <w:rsid w:val="77D221D2"/>
    <w:rsid w:val="77F008AA"/>
    <w:rsid w:val="780A371A"/>
    <w:rsid w:val="78112CFA"/>
    <w:rsid w:val="781B7D91"/>
    <w:rsid w:val="781C51FB"/>
    <w:rsid w:val="78210A63"/>
    <w:rsid w:val="7836450F"/>
    <w:rsid w:val="784B777B"/>
    <w:rsid w:val="784E2789"/>
    <w:rsid w:val="785030F6"/>
    <w:rsid w:val="788A485A"/>
    <w:rsid w:val="78E061B9"/>
    <w:rsid w:val="78E26444"/>
    <w:rsid w:val="78EB0774"/>
    <w:rsid w:val="78F543CA"/>
    <w:rsid w:val="78FD67B2"/>
    <w:rsid w:val="792702FB"/>
    <w:rsid w:val="792720A9"/>
    <w:rsid w:val="793547C6"/>
    <w:rsid w:val="79554E68"/>
    <w:rsid w:val="7956473D"/>
    <w:rsid w:val="79A61220"/>
    <w:rsid w:val="79C43D9C"/>
    <w:rsid w:val="79DC2E94"/>
    <w:rsid w:val="7A4D15E8"/>
    <w:rsid w:val="7AD718AD"/>
    <w:rsid w:val="7B112954"/>
    <w:rsid w:val="7B191EC6"/>
    <w:rsid w:val="7B203254"/>
    <w:rsid w:val="7B62386D"/>
    <w:rsid w:val="7B6C0247"/>
    <w:rsid w:val="7B6C46EB"/>
    <w:rsid w:val="7B7F441F"/>
    <w:rsid w:val="7B845591"/>
    <w:rsid w:val="7BAE0860"/>
    <w:rsid w:val="7BB73A3C"/>
    <w:rsid w:val="7BCD518A"/>
    <w:rsid w:val="7BD04C7A"/>
    <w:rsid w:val="7BDD1145"/>
    <w:rsid w:val="7C352D2F"/>
    <w:rsid w:val="7C8C7BA6"/>
    <w:rsid w:val="7C9C690A"/>
    <w:rsid w:val="7CBB1486"/>
    <w:rsid w:val="7CD9190C"/>
    <w:rsid w:val="7D133070"/>
    <w:rsid w:val="7D230DDA"/>
    <w:rsid w:val="7D292894"/>
    <w:rsid w:val="7D52346D"/>
    <w:rsid w:val="7D553689"/>
    <w:rsid w:val="7D5B67C5"/>
    <w:rsid w:val="7DB67EA0"/>
    <w:rsid w:val="7DBD4D8A"/>
    <w:rsid w:val="7DBF384A"/>
    <w:rsid w:val="7DC720AD"/>
    <w:rsid w:val="7DD56578"/>
    <w:rsid w:val="7E1A21DD"/>
    <w:rsid w:val="7E244E09"/>
    <w:rsid w:val="7E4E1E86"/>
    <w:rsid w:val="7E543940"/>
    <w:rsid w:val="7E7C4C45"/>
    <w:rsid w:val="7EC65EC0"/>
    <w:rsid w:val="7EDB5E10"/>
    <w:rsid w:val="7EEB5927"/>
    <w:rsid w:val="7EF90044"/>
    <w:rsid w:val="7F427C3D"/>
    <w:rsid w:val="7F74591C"/>
    <w:rsid w:val="7F7D2A23"/>
    <w:rsid w:val="7F8E4C30"/>
    <w:rsid w:val="7FCC5758"/>
    <w:rsid w:val="7FE01204"/>
    <w:rsid w:val="7FEE5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99"/>
    <w:pPr>
      <w:keepNext/>
      <w:keepLines/>
      <w:spacing w:line="576" w:lineRule="auto"/>
      <w:outlineLvl w:val="0"/>
    </w:pPr>
    <w:rPr>
      <w:b/>
      <w:kern w:val="44"/>
      <w:sz w:val="44"/>
    </w:rPr>
  </w:style>
  <w:style w:type="paragraph" w:styleId="6">
    <w:name w:val="heading 2"/>
    <w:basedOn w:val="1"/>
    <w:next w:val="1"/>
    <w:qFormat/>
    <w:uiPriority w:val="99"/>
    <w:pPr>
      <w:keepNext/>
      <w:keepLines/>
      <w:spacing w:line="413" w:lineRule="auto"/>
      <w:outlineLvl w:val="1"/>
    </w:pPr>
    <w:rPr>
      <w:rFonts w:ascii="Arial" w:hAnsi="Arial" w:eastAsia="黑体"/>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spacing w:line="500" w:lineRule="exact"/>
      <w:ind w:firstLine="420"/>
    </w:pPr>
    <w:rPr>
      <w:rFonts w:ascii="Times New Roman" w:hAnsi="Times New Roman" w:cs="Times New Roman"/>
      <w:sz w:val="28"/>
      <w:szCs w:val="20"/>
    </w:rPr>
  </w:style>
  <w:style w:type="paragraph" w:styleId="3">
    <w:name w:val="Body Text"/>
    <w:basedOn w:val="1"/>
    <w:autoRedefine/>
    <w:qFormat/>
    <w:uiPriority w:val="0"/>
  </w:style>
  <w:style w:type="paragraph" w:styleId="4">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7">
    <w:name w:val="Body Text Indent"/>
    <w:basedOn w:val="1"/>
    <w:next w:val="8"/>
    <w:autoRedefine/>
    <w:qFormat/>
    <w:uiPriority w:val="99"/>
    <w:rPr>
      <w:rFonts w:ascii="Times New Roman" w:hAnsi="Times New Roman"/>
    </w:rPr>
  </w:style>
  <w:style w:type="paragraph" w:styleId="8">
    <w:name w:val="Body Text Indent 2"/>
    <w:basedOn w:val="1"/>
    <w:qFormat/>
    <w:uiPriority w:val="99"/>
    <w:pPr>
      <w:spacing w:after="120" w:line="480" w:lineRule="auto"/>
      <w:ind w:left="420" w:leftChars="200"/>
    </w:pPr>
    <w:rPr>
      <w:szCs w:val="21"/>
    </w:rPr>
  </w:style>
  <w:style w:type="paragraph" w:styleId="9">
    <w:name w:val="toc 5"/>
    <w:basedOn w:val="1"/>
    <w:next w:val="1"/>
    <w:autoRedefine/>
    <w:semiHidden/>
    <w:qFormat/>
    <w:uiPriority w:val="99"/>
    <w:pPr>
      <w:ind w:left="1680" w:leftChars="800"/>
    </w:pPr>
  </w:style>
  <w:style w:type="paragraph" w:styleId="10">
    <w:name w:val="Balloon Text"/>
    <w:basedOn w:val="1"/>
    <w:link w:val="19"/>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table" w:styleId="15">
    <w:name w:val="Table Grid"/>
    <w:basedOn w:val="1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18">
    <w:name w:val="Body text|1"/>
    <w:basedOn w:val="1"/>
    <w:autoRedefine/>
    <w:qFormat/>
    <w:uiPriority w:val="0"/>
    <w:pPr>
      <w:spacing w:line="434" w:lineRule="auto"/>
      <w:ind w:firstLine="400"/>
    </w:pPr>
    <w:rPr>
      <w:rFonts w:ascii="宋体" w:hAnsi="宋体" w:eastAsia="宋体" w:cs="宋体"/>
      <w:sz w:val="28"/>
      <w:szCs w:val="28"/>
      <w:lang w:val="zh-TW" w:eastAsia="zh-TW" w:bidi="zh-TW"/>
    </w:rPr>
  </w:style>
  <w:style w:type="character" w:customStyle="1" w:styleId="19">
    <w:name w:val="批注框文本 字符"/>
    <w:basedOn w:val="16"/>
    <w:link w:val="10"/>
    <w:autoRedefine/>
    <w:qFormat/>
    <w:uiPriority w:val="0"/>
    <w:rPr>
      <w:rFonts w:asciiTheme="minorHAnsi" w:hAnsiTheme="minorHAnsi" w:eastAsiaTheme="minorEastAsia" w:cstheme="minorBidi"/>
      <w:kern w:val="2"/>
      <w:sz w:val="18"/>
      <w:szCs w:val="18"/>
    </w:rPr>
  </w:style>
  <w:style w:type="paragraph" w:styleId="20">
    <w:name w:val="List Paragraph"/>
    <w:basedOn w:val="1"/>
    <w:autoRedefine/>
    <w:qFormat/>
    <w:uiPriority w:val="1"/>
    <w:pPr>
      <w:autoSpaceDE w:val="0"/>
      <w:autoSpaceDN w:val="0"/>
      <w:ind w:left="101" w:firstLine="638"/>
      <w:jc w:val="left"/>
    </w:pPr>
    <w:rPr>
      <w:rFonts w:ascii="仿宋_GB2312" w:hAnsi="仿宋_GB2312" w:eastAsia="仿宋_GB2312" w:cs="仿宋_GB2312"/>
      <w:kern w:val="0"/>
      <w:sz w:val="22"/>
      <w:szCs w:val="22"/>
      <w:lang w:eastAsia="en-US"/>
    </w:rPr>
  </w:style>
  <w:style w:type="character" w:customStyle="1" w:styleId="21">
    <w:name w:val="font41"/>
    <w:basedOn w:val="16"/>
    <w:qFormat/>
    <w:uiPriority w:val="0"/>
    <w:rPr>
      <w:rFonts w:hint="eastAsia" w:ascii="宋体" w:hAnsi="宋体" w:eastAsia="宋体" w:cs="宋体"/>
      <w:b/>
      <w:bCs/>
      <w:color w:val="000000"/>
      <w:sz w:val="40"/>
      <w:szCs w:val="40"/>
      <w:u w:val="single"/>
    </w:rPr>
  </w:style>
  <w:style w:type="character" w:customStyle="1" w:styleId="22">
    <w:name w:val="font11"/>
    <w:basedOn w:val="16"/>
    <w:qFormat/>
    <w:uiPriority w:val="0"/>
    <w:rPr>
      <w:rFonts w:hint="eastAsia" w:ascii="宋体" w:hAnsi="宋体" w:eastAsia="宋体" w:cs="宋体"/>
      <w:b/>
      <w:bCs/>
      <w:color w:val="000000"/>
      <w:sz w:val="40"/>
      <w:szCs w:val="40"/>
      <w:u w:val="none"/>
    </w:rPr>
  </w:style>
  <w:style w:type="character" w:customStyle="1" w:styleId="23">
    <w:name w:val="font51"/>
    <w:basedOn w:val="16"/>
    <w:qFormat/>
    <w:uiPriority w:val="0"/>
    <w:rPr>
      <w:rFonts w:hint="eastAsia" w:ascii="宋体" w:hAnsi="宋体" w:eastAsia="宋体" w:cs="宋体"/>
      <w:color w:val="000000"/>
      <w:sz w:val="21"/>
      <w:szCs w:val="21"/>
      <w:u w:val="none"/>
    </w:rPr>
  </w:style>
  <w:style w:type="character" w:customStyle="1" w:styleId="24">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B6E087-874F-4748-94A9-BC45B6409D2E}">
  <ds:schemaRefs/>
</ds:datastoreItem>
</file>

<file path=docProps/app.xml><?xml version="1.0" encoding="utf-8"?>
<Properties xmlns="http://schemas.openxmlformats.org/officeDocument/2006/extended-properties" xmlns:vt="http://schemas.openxmlformats.org/officeDocument/2006/docPropsVTypes">
  <Template>Normal</Template>
  <Pages>18</Pages>
  <Words>6824</Words>
  <Characters>6910</Characters>
  <Lines>64</Lines>
  <Paragraphs>18</Paragraphs>
  <TotalTime>12</TotalTime>
  <ScaleCrop>false</ScaleCrop>
  <LinksUpToDate>false</LinksUpToDate>
  <CharactersWithSpaces>7539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2024-08-15T01:10:00Z</dcterms:created>
  <dc:creator>宋宋</dc:creator>
  <cp:lastModifiedBy>冰雪竹萌</cp:lastModifiedBy>
  <cp:lastPrinted>2024-09-26T02:23:00Z</cp:lastPrinted>
  <dcterms:modified xsi:type="dcterms:W3CDTF">2025-07-24T03:08:35Z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5B643E551A6847D1872A6F3311C69CC5_13</vt:lpwstr>
  </property>
  <property fmtid="{D5CDD505-2E9C-101B-9397-08002B2CF9AE}" pid="4" name="KSOTemplateDocerSaveRecord">
    <vt:lpwstr>eyJoZGlkIjoiMWJkNGFkNTNjOWFkOTYyYzBlNWZlNDgyYmM5YWM1NWUiLCJ1c2VySWQiOiI0MDA0NzkwNDUifQ==</vt:lpwstr>
  </property>
</Properties>
</file>