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9" w:line="446" w:lineRule="exact"/>
        <w:jc w:val="center"/>
        <w:rPr>
          <w:rFonts w:hint="eastAsia" w:ascii="方正公文小标宋" w:hAnsi="方正公文小标宋" w:eastAsia="方正公文小标宋" w:cs="方正公文小标宋"/>
          <w:b w:val="0"/>
          <w:bCs w:val="0"/>
          <w:spacing w:val="-1"/>
          <w:position w:val="-2"/>
          <w:sz w:val="44"/>
          <w:szCs w:val="44"/>
          <w:lang w:eastAsia="zh-CN"/>
        </w:rPr>
      </w:pPr>
    </w:p>
    <w:p>
      <w:pPr>
        <w:spacing w:before="109" w:line="446" w:lineRule="exact"/>
        <w:jc w:val="center"/>
        <w:rPr>
          <w:rFonts w:hint="eastAsia" w:ascii="方正公文小标宋" w:hAnsi="方正公文小标宋" w:eastAsia="方正公文小标宋" w:cs="方正公文小标宋"/>
          <w:b w:val="0"/>
          <w:bCs w:val="0"/>
          <w:sz w:val="44"/>
          <w:szCs w:val="44"/>
        </w:rPr>
      </w:pPr>
      <w:bookmarkStart w:id="0" w:name="_GoBack"/>
      <w:r>
        <w:rPr>
          <w:rFonts w:hint="eastAsia" w:ascii="方正公文小标宋" w:hAnsi="方正公文小标宋" w:eastAsia="方正公文小标宋" w:cs="方正公文小标宋"/>
          <w:b w:val="0"/>
          <w:bCs w:val="0"/>
          <w:spacing w:val="-1"/>
          <w:position w:val="-2"/>
          <w:sz w:val="44"/>
          <w:szCs w:val="44"/>
          <w:lang w:eastAsia="zh-CN"/>
        </w:rPr>
        <w:t>枫边乡</w:t>
      </w:r>
      <w:r>
        <w:rPr>
          <w:rFonts w:hint="eastAsia" w:ascii="方正公文小标宋" w:hAnsi="方正公文小标宋" w:eastAsia="方正公文小标宋" w:cs="方正公文小标宋"/>
          <w:b w:val="0"/>
          <w:bCs w:val="0"/>
          <w:spacing w:val="-1"/>
          <w:position w:val="-2"/>
          <w:sz w:val="44"/>
          <w:szCs w:val="44"/>
        </w:rPr>
        <w:t>殡葬改革工作突出问题专项整治</w:t>
      </w:r>
    </w:p>
    <w:p>
      <w:pPr>
        <w:spacing w:before="154" w:line="445" w:lineRule="exact"/>
        <w:jc w:val="center"/>
        <w:rPr>
          <w:rFonts w:hint="eastAsia" w:ascii="方正公文小标宋" w:hAnsi="方正公文小标宋" w:eastAsia="方正公文小标宋" w:cs="方正公文小标宋"/>
          <w:b w:val="0"/>
          <w:bCs w:val="0"/>
          <w:sz w:val="44"/>
          <w:szCs w:val="44"/>
        </w:rPr>
      </w:pPr>
      <w:r>
        <w:rPr>
          <w:rFonts w:hint="eastAsia" w:ascii="方正公文小标宋" w:hAnsi="方正公文小标宋" w:eastAsia="方正公文小标宋" w:cs="方正公文小标宋"/>
          <w:b w:val="0"/>
          <w:bCs w:val="0"/>
          <w:spacing w:val="-1"/>
          <w:position w:val="-2"/>
          <w:sz w:val="44"/>
          <w:szCs w:val="44"/>
        </w:rPr>
        <w:t>实施方案</w:t>
      </w:r>
      <w:r>
        <w:rPr>
          <w:rFonts w:ascii="微软雅黑" w:hAnsi="微软雅黑" w:eastAsia="微软雅黑" w:cs="微软雅黑"/>
          <w:i w:val="0"/>
          <w:iCs w:val="0"/>
          <w:caps w:val="0"/>
          <w:color w:val="000000"/>
          <w:spacing w:val="0"/>
          <w:sz w:val="27"/>
          <w:szCs w:val="27"/>
        </w:rPr>
        <w:t>（征求意见稿）</w:t>
      </w:r>
      <w:bookmarkEnd w:id="0"/>
    </w:p>
    <w:p>
      <w:pPr>
        <w:spacing w:line="446" w:lineRule="auto"/>
        <w:rPr>
          <w:rFonts w:ascii="Arial"/>
          <w:sz w:val="21"/>
        </w:rPr>
      </w:pPr>
    </w:p>
    <w:p>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rPr>
        <w:t>为认真贯彻落实省、市、县关于殡葬改革的工作要求，进一步深化殡葬改革，增强群众参与殡葬改革的主动性和自觉性，减轻群众负担，全面推进我</w:t>
      </w:r>
      <w:r>
        <w:rPr>
          <w:rFonts w:hint="eastAsia" w:ascii="仿宋_GB2312" w:hAnsi="仿宋_GB2312" w:eastAsia="仿宋_GB2312" w:cs="仿宋_GB2312"/>
          <w:spacing w:val="0"/>
          <w:sz w:val="32"/>
          <w:szCs w:val="32"/>
          <w:lang w:eastAsia="zh-CN"/>
        </w:rPr>
        <w:t>乡</w:t>
      </w:r>
      <w:r>
        <w:rPr>
          <w:rFonts w:hint="eastAsia" w:ascii="仿宋_GB2312" w:hAnsi="仿宋_GB2312" w:eastAsia="仿宋_GB2312" w:cs="仿宋_GB2312"/>
          <w:spacing w:val="0"/>
          <w:sz w:val="32"/>
          <w:szCs w:val="32"/>
        </w:rPr>
        <w:t>殡葬改革工作深入开展，</w:t>
      </w:r>
      <w:r>
        <w:rPr>
          <w:rFonts w:hint="eastAsia" w:ascii="仿宋_GB2312" w:hAnsi="仿宋_GB2312" w:eastAsia="仿宋_GB2312" w:cs="仿宋_GB2312"/>
          <w:spacing w:val="0"/>
          <w:sz w:val="32"/>
          <w:szCs w:val="32"/>
          <w:lang w:eastAsia="zh-CN"/>
        </w:rPr>
        <w:t>巩固来之不易的殡葬改革工作成果，</w:t>
      </w:r>
      <w:r>
        <w:rPr>
          <w:rFonts w:hint="eastAsia" w:ascii="仿宋_GB2312" w:hAnsi="仿宋_GB2312" w:eastAsia="仿宋_GB2312" w:cs="仿宋_GB2312"/>
          <w:spacing w:val="0"/>
          <w:sz w:val="32"/>
          <w:szCs w:val="32"/>
        </w:rPr>
        <w:t>结合我</w:t>
      </w:r>
      <w:r>
        <w:rPr>
          <w:rFonts w:hint="eastAsia" w:ascii="仿宋_GB2312" w:hAnsi="仿宋_GB2312" w:eastAsia="仿宋_GB2312" w:cs="仿宋_GB2312"/>
          <w:spacing w:val="0"/>
          <w:sz w:val="32"/>
          <w:szCs w:val="32"/>
          <w:lang w:eastAsia="zh-CN"/>
        </w:rPr>
        <w:t>乡</w:t>
      </w:r>
      <w:r>
        <w:rPr>
          <w:rFonts w:hint="eastAsia" w:ascii="仿宋_GB2312" w:hAnsi="仿宋_GB2312" w:eastAsia="仿宋_GB2312" w:cs="仿宋_GB2312"/>
          <w:spacing w:val="0"/>
          <w:sz w:val="32"/>
          <w:szCs w:val="32"/>
        </w:rPr>
        <w:t>工作实际，制定</w:t>
      </w:r>
      <w:r>
        <w:rPr>
          <w:rFonts w:hint="eastAsia" w:ascii="仿宋_GB2312" w:hAnsi="仿宋_GB2312" w:eastAsia="仿宋_GB2312" w:cs="仿宋_GB2312"/>
          <w:spacing w:val="0"/>
          <w:sz w:val="32"/>
          <w:szCs w:val="32"/>
          <w:lang w:eastAsia="zh-CN"/>
        </w:rPr>
        <w:t>本</w:t>
      </w:r>
      <w:r>
        <w:rPr>
          <w:rFonts w:hint="eastAsia" w:ascii="仿宋_GB2312" w:hAnsi="仿宋_GB2312" w:eastAsia="仿宋_GB2312" w:cs="仿宋_GB2312"/>
          <w:spacing w:val="0"/>
          <w:sz w:val="32"/>
          <w:szCs w:val="32"/>
        </w:rPr>
        <w:t>方案</w:t>
      </w:r>
      <w:r>
        <w:rPr>
          <w:rFonts w:hint="eastAsia" w:ascii="仿宋_GB2312" w:hAnsi="仿宋_GB2312" w:eastAsia="仿宋_GB2312" w:cs="仿宋_GB2312"/>
          <w:spacing w:val="0"/>
          <w:sz w:val="32"/>
          <w:szCs w:val="32"/>
          <w:lang w:eastAsia="zh-CN"/>
        </w:rPr>
        <w:t>。</w:t>
      </w:r>
    </w:p>
    <w:p>
      <w:pPr>
        <w:keepNext w:val="0"/>
        <w:keepLines w:val="0"/>
        <w:pageBreakBefore w:val="0"/>
        <w:wordWrap/>
        <w:overflowPunct/>
        <w:topLinePunct w:val="0"/>
        <w:bidi w:val="0"/>
        <w:spacing w:line="560" w:lineRule="exact"/>
        <w:ind w:left="0" w:right="0" w:firstLine="640" w:firstLineChars="200"/>
        <w:jc w:val="both"/>
        <w:rPr>
          <w:rFonts w:ascii="黑体" w:hAnsi="黑体" w:eastAsia="黑体" w:cs="黑体"/>
          <w:spacing w:val="0"/>
          <w:sz w:val="32"/>
          <w:szCs w:val="32"/>
        </w:rPr>
      </w:pPr>
      <w:r>
        <w:rPr>
          <w:rFonts w:ascii="黑体" w:hAnsi="黑体" w:eastAsia="黑体" w:cs="黑体"/>
          <w:spacing w:val="0"/>
          <w:sz w:val="32"/>
          <w:szCs w:val="32"/>
        </w:rPr>
        <w:t>一、指导思想</w:t>
      </w:r>
    </w:p>
    <w:p>
      <w:pPr>
        <w:keepNext w:val="0"/>
        <w:keepLines w:val="0"/>
        <w:pageBreakBefore w:val="0"/>
        <w:wordWrap/>
        <w:overflowPunct/>
        <w:topLinePunct w:val="0"/>
        <w:bidi w:val="0"/>
        <w:spacing w:line="560" w:lineRule="exact"/>
        <w:ind w:left="0" w:right="0" w:firstLine="640" w:firstLineChars="200"/>
        <w:jc w:val="both"/>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lang w:eastAsia="zh-CN"/>
        </w:rPr>
        <w:t>以习近平新时代中国特色社会主义思想和党的二十大精神为指导，认真贯彻落实党中央、省委、市委和县委决策部署,坚持以人民为中心的发展思想，践行新发展理念，围绕建设惠民、绿色、文明殡葬,以推动殡葬改革为牵引，以满足人民群众殡葬服务需求为导向,以提升殡葬服务能力和水平为保障,以创新殡葬管理体制机制为动力,推动殡葬改革和殡葬事业更好服务于民生，促进精神文明和生态文明建设高质量发展。</w:t>
      </w:r>
    </w:p>
    <w:p>
      <w:pPr>
        <w:keepNext w:val="0"/>
        <w:keepLines w:val="0"/>
        <w:pageBreakBefore w:val="0"/>
        <w:wordWrap/>
        <w:overflowPunct/>
        <w:topLinePunct w:val="0"/>
        <w:bidi w:val="0"/>
        <w:spacing w:line="560" w:lineRule="exact"/>
        <w:ind w:left="0" w:right="0" w:firstLine="640" w:firstLineChars="200"/>
        <w:jc w:val="both"/>
        <w:rPr>
          <w:rFonts w:hint="eastAsia" w:ascii="黑体" w:hAnsi="黑体" w:eastAsia="黑体" w:cs="黑体"/>
          <w:spacing w:val="0"/>
          <w:sz w:val="32"/>
          <w:szCs w:val="32"/>
          <w:lang w:eastAsia="zh-CN"/>
        </w:rPr>
      </w:pPr>
      <w:r>
        <w:rPr>
          <w:rFonts w:ascii="黑体" w:hAnsi="黑体" w:eastAsia="黑体" w:cs="黑体"/>
          <w:spacing w:val="0"/>
          <w:sz w:val="32"/>
          <w:szCs w:val="32"/>
        </w:rPr>
        <w:t>二、工作</w:t>
      </w:r>
      <w:r>
        <w:rPr>
          <w:rFonts w:hint="eastAsia" w:ascii="黑体" w:hAnsi="黑体" w:eastAsia="黑体" w:cs="黑体"/>
          <w:spacing w:val="0"/>
          <w:sz w:val="32"/>
          <w:szCs w:val="32"/>
          <w:lang w:eastAsia="zh-CN"/>
        </w:rPr>
        <w:t>目标</w:t>
      </w:r>
    </w:p>
    <w:p>
      <w:pPr>
        <w:pStyle w:val="4"/>
        <w:keepNext w:val="0"/>
        <w:keepLines w:val="0"/>
        <w:pageBreakBefore w:val="0"/>
        <w:wordWrap/>
        <w:overflowPunct/>
        <w:topLinePunct w:val="0"/>
        <w:bidi w:val="0"/>
        <w:spacing w:line="560" w:lineRule="exact"/>
        <w:ind w:left="0" w:right="0" w:firstLine="643" w:firstLineChars="200"/>
        <w:jc w:val="both"/>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b/>
          <w:bCs/>
          <w:snapToGrid w:val="0"/>
          <w:color w:val="000000"/>
          <w:spacing w:val="0"/>
          <w:kern w:val="0"/>
          <w:sz w:val="32"/>
          <w:szCs w:val="32"/>
          <w:lang w:val="en-US" w:eastAsia="zh-CN" w:bidi="ar-SA"/>
        </w:rPr>
        <w:t>1.全面整治自2018年11月深化殡葬改革工作以来新增散埋乱葬、新建活人墓、豪华墓。</w:t>
      </w:r>
      <w:r>
        <w:rPr>
          <w:rFonts w:hint="eastAsia" w:ascii="仿宋_GB2312" w:hAnsi="仿宋_GB2312" w:eastAsia="仿宋_GB2312" w:cs="仿宋_GB2312"/>
          <w:spacing w:val="0"/>
          <w:sz w:val="32"/>
          <w:szCs w:val="32"/>
          <w:lang w:eastAsia="zh-CN"/>
        </w:rPr>
        <w:t>整治区域为全乡“三沿六区”。</w:t>
      </w:r>
      <w:r>
        <w:rPr>
          <w:spacing w:val="0"/>
          <w14:textOutline w14:w="5793" w14:cap="sq" w14:cmpd="sng">
            <w14:solidFill>
              <w14:srgbClr w14:val="000000"/>
            </w14:solidFill>
            <w14:prstDash w14:val="solid"/>
            <w14:bevel/>
          </w14:textOutline>
        </w:rPr>
        <w:t>三沿：</w:t>
      </w:r>
      <w:r>
        <w:rPr>
          <w:rFonts w:hint="eastAsia" w:ascii="仿宋_GB2312" w:hAnsi="仿宋_GB2312" w:eastAsia="仿宋_GB2312" w:cs="仿宋_GB2312"/>
          <w:spacing w:val="0"/>
          <w:sz w:val="32"/>
          <w:szCs w:val="32"/>
          <w:lang w:eastAsia="zh-CN"/>
        </w:rPr>
        <w:t>公路沿线、铁路沿线、河流沿线；</w:t>
      </w:r>
      <w:r>
        <w:rPr>
          <w:spacing w:val="0"/>
          <w14:textOutline w14:w="5793" w14:cap="sq" w14:cmpd="sng">
            <w14:solidFill>
              <w14:srgbClr w14:val="000000"/>
            </w14:solidFill>
            <w14:prstDash w14:val="solid"/>
            <w14:bevel/>
          </w14:textOutline>
        </w:rPr>
        <w:t>六区：</w:t>
      </w:r>
      <w:r>
        <w:rPr>
          <w:rFonts w:hint="eastAsia" w:ascii="仿宋_GB2312" w:hAnsi="仿宋_GB2312" w:eastAsia="仿宋_GB2312" w:cs="仿宋_GB2312"/>
          <w:spacing w:val="0"/>
          <w:sz w:val="32"/>
          <w:szCs w:val="32"/>
          <w:lang w:eastAsia="zh-CN"/>
        </w:rPr>
        <w:t>城镇建成（规划）区、风景名胜区、文物保护区、自然保护</w:t>
      </w:r>
    </w:p>
    <w:p>
      <w:pPr>
        <w:pStyle w:val="4"/>
        <w:keepNext w:val="0"/>
        <w:keepLines w:val="0"/>
        <w:pageBreakBefore w:val="0"/>
        <w:wordWrap/>
        <w:overflowPunct/>
        <w:topLinePunct w:val="0"/>
        <w:bidi w:val="0"/>
        <w:spacing w:line="560" w:lineRule="exact"/>
        <w:ind w:left="0" w:right="0" w:firstLine="640" w:firstLineChars="200"/>
        <w:jc w:val="both"/>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lang w:eastAsia="zh-CN"/>
        </w:rPr>
        <w:t>饮用水源保护区、农田保护区</w:t>
      </w:r>
      <w:r>
        <w:rPr>
          <w:rFonts w:hint="eastAsia" w:ascii="仿宋_GB2312" w:hAnsi="仿宋_GB2312" w:eastAsia="仿宋_GB2312" w:cs="仿宋_GB2312"/>
          <w:spacing w:val="0"/>
          <w:sz w:val="32"/>
          <w:szCs w:val="32"/>
          <w:lang w:val="en-US" w:eastAsia="zh-CN"/>
        </w:rPr>
        <w:t>,</w:t>
      </w:r>
      <w:r>
        <w:rPr>
          <w:rFonts w:hint="eastAsia" w:ascii="仿宋_GB2312" w:hAnsi="仿宋_GB2312" w:eastAsia="仿宋_GB2312" w:cs="仿宋_GB2312"/>
          <w:spacing w:val="0"/>
          <w:sz w:val="32"/>
          <w:szCs w:val="32"/>
          <w:lang w:eastAsia="zh-CN"/>
        </w:rPr>
        <w:t>依法拆除“三沿六区”新增散埋乱葬、新建活人墓、豪华墓，妥善安置到乡公益性公墓或农村骨灰堂。</w:t>
      </w:r>
    </w:p>
    <w:p>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3" w:firstLineChars="200"/>
        <w:jc w:val="both"/>
        <w:textAlignment w:val="baseline"/>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b/>
          <w:bCs/>
          <w:snapToGrid w:val="0"/>
          <w:color w:val="000000"/>
          <w:spacing w:val="0"/>
          <w:kern w:val="0"/>
          <w:sz w:val="32"/>
          <w:szCs w:val="32"/>
          <w:lang w:val="en-US" w:eastAsia="zh-CN" w:bidi="ar-SA"/>
        </w:rPr>
        <w:t>2.实现乡域死亡人员</w:t>
      </w:r>
      <w:r>
        <w:rPr>
          <w:rFonts w:hint="default" w:ascii="仿宋_GB2312" w:hAnsi="仿宋_GB2312" w:eastAsia="仿宋_GB2312" w:cs="仿宋_GB2312"/>
          <w:b/>
          <w:bCs/>
          <w:snapToGrid w:val="0"/>
          <w:color w:val="000000"/>
          <w:spacing w:val="0"/>
          <w:kern w:val="0"/>
          <w:sz w:val="32"/>
          <w:szCs w:val="32"/>
          <w:lang w:val="en-US" w:eastAsia="zh-CN" w:bidi="ar-SA"/>
        </w:rPr>
        <w:t>火化率100%的工作目标</w:t>
      </w:r>
      <w:r>
        <w:rPr>
          <w:rFonts w:hint="eastAsia" w:ascii="仿宋_GB2312" w:hAnsi="仿宋_GB2312" w:eastAsia="仿宋_GB2312" w:cs="仿宋_GB2312"/>
          <w:b/>
          <w:bCs/>
          <w:snapToGrid w:val="0"/>
          <w:color w:val="000000"/>
          <w:spacing w:val="0"/>
          <w:kern w:val="0"/>
          <w:sz w:val="32"/>
          <w:szCs w:val="32"/>
          <w:lang w:val="en-US" w:eastAsia="zh-CN" w:bidi="ar-SA"/>
        </w:rPr>
        <w:t>。</w:t>
      </w:r>
      <w:r>
        <w:rPr>
          <w:rFonts w:hint="eastAsia" w:ascii="仿宋_GB2312" w:hAnsi="仿宋_GB2312" w:eastAsia="仿宋_GB2312" w:cs="仿宋_GB2312"/>
          <w:spacing w:val="0"/>
          <w:sz w:val="32"/>
          <w:szCs w:val="32"/>
          <w:lang w:eastAsia="zh-CN"/>
        </w:rPr>
        <w:t>枫边乡户籍或常住枫边乡域范围的死亡人员一律实行遗体火化安葬，实现乡域死亡人员</w:t>
      </w:r>
      <w:r>
        <w:rPr>
          <w:rFonts w:hint="default" w:ascii="仿宋_GB2312" w:hAnsi="仿宋_GB2312" w:eastAsia="仿宋_GB2312" w:cs="仿宋_GB2312"/>
          <w:spacing w:val="0"/>
          <w:sz w:val="32"/>
          <w:szCs w:val="32"/>
          <w:lang w:eastAsia="zh-CN"/>
        </w:rPr>
        <w:t>火化率100%的工作目标。</w:t>
      </w:r>
    </w:p>
    <w:p>
      <w:pPr>
        <w:keepNext w:val="0"/>
        <w:keepLines w:val="0"/>
        <w:pageBreakBefore w:val="0"/>
        <w:wordWrap/>
        <w:overflowPunct/>
        <w:topLinePunct w:val="0"/>
        <w:bidi w:val="0"/>
        <w:spacing w:line="560" w:lineRule="exact"/>
        <w:ind w:left="0" w:right="0" w:firstLine="640" w:firstLineChars="200"/>
        <w:jc w:val="both"/>
        <w:rPr>
          <w:rFonts w:hint="eastAsia" w:ascii="黑体" w:hAnsi="黑体" w:eastAsia="黑体" w:cs="黑体"/>
          <w:spacing w:val="0"/>
          <w:sz w:val="32"/>
          <w:szCs w:val="32"/>
          <w:lang w:eastAsia="zh-CN"/>
        </w:rPr>
      </w:pPr>
      <w:r>
        <w:rPr>
          <w:rFonts w:ascii="黑体" w:hAnsi="黑体" w:eastAsia="黑体" w:cs="黑体"/>
          <w:spacing w:val="0"/>
          <w:sz w:val="32"/>
          <w:szCs w:val="32"/>
        </w:rPr>
        <w:t>三、</w:t>
      </w:r>
      <w:r>
        <w:rPr>
          <w:rFonts w:hint="eastAsia" w:ascii="黑体" w:hAnsi="黑体" w:eastAsia="黑体" w:cs="黑体"/>
          <w:spacing w:val="0"/>
          <w:sz w:val="32"/>
          <w:szCs w:val="32"/>
          <w:lang w:eastAsia="zh-CN"/>
        </w:rPr>
        <w:t>工作内容</w:t>
      </w:r>
    </w:p>
    <w:p>
      <w:pPr>
        <w:pStyle w:val="4"/>
        <w:keepNext w:val="0"/>
        <w:keepLines w:val="0"/>
        <w:pageBreakBefore w:val="0"/>
        <w:wordWrap/>
        <w:overflowPunct/>
        <w:topLinePunct w:val="0"/>
        <w:bidi w:val="0"/>
        <w:spacing w:line="560" w:lineRule="exact"/>
        <w:ind w:left="0" w:right="0" w:firstLine="643" w:firstLineChars="200"/>
        <w:jc w:val="both"/>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b/>
          <w:bCs/>
          <w:snapToGrid w:val="0"/>
          <w:color w:val="000000"/>
          <w:spacing w:val="0"/>
          <w:kern w:val="0"/>
          <w:sz w:val="32"/>
          <w:szCs w:val="32"/>
          <w:lang w:val="en-US" w:eastAsia="zh-CN" w:bidi="ar-SA"/>
        </w:rPr>
        <w:t>1.动员部署阶段（10月10日前）。</w:t>
      </w:r>
      <w:r>
        <w:rPr>
          <w:rFonts w:hint="eastAsia" w:ascii="仿宋_GB2312" w:hAnsi="仿宋_GB2312" w:eastAsia="仿宋_GB2312" w:cs="仿宋_GB2312"/>
          <w:spacing w:val="0"/>
          <w:sz w:val="32"/>
          <w:szCs w:val="32"/>
          <w:lang w:eastAsia="zh-CN"/>
        </w:rPr>
        <w:t>根据县、乡统一安排，各村要根据县、乡集中整治工作方案要求，成立集中整治工作专班，召开殡葬改革工作突出问题专项整治工作部署会议，明确工作任务，落实工作责任，广泛开展宣传动员，于10月10日前将本村集中整治工作实施方案及动员部署工作会议照片上报乡殡改办。</w:t>
      </w:r>
    </w:p>
    <w:p>
      <w:pPr>
        <w:pStyle w:val="4"/>
        <w:keepNext w:val="0"/>
        <w:keepLines w:val="0"/>
        <w:pageBreakBefore w:val="0"/>
        <w:wordWrap/>
        <w:overflowPunct/>
        <w:topLinePunct w:val="0"/>
        <w:bidi w:val="0"/>
        <w:spacing w:line="560" w:lineRule="exact"/>
        <w:ind w:left="0" w:right="0" w:firstLine="643" w:firstLineChars="200"/>
        <w:jc w:val="both"/>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b/>
          <w:bCs/>
          <w:snapToGrid w:val="0"/>
          <w:color w:val="000000"/>
          <w:spacing w:val="0"/>
          <w:kern w:val="0"/>
          <w:sz w:val="32"/>
          <w:szCs w:val="32"/>
          <w:lang w:val="en-US" w:eastAsia="zh-CN" w:bidi="ar-SA"/>
        </w:rPr>
        <w:t>2.摸底排查阶段（10月10日-10月底）。</w:t>
      </w:r>
      <w:r>
        <w:rPr>
          <w:rFonts w:hint="eastAsia" w:ascii="仿宋_GB2312" w:hAnsi="仿宋_GB2312" w:eastAsia="仿宋_GB2312" w:cs="仿宋_GB2312"/>
          <w:spacing w:val="0"/>
          <w:sz w:val="32"/>
          <w:szCs w:val="32"/>
          <w:lang w:eastAsia="zh-CN"/>
        </w:rPr>
        <w:t>各村要认真开展两个摸底排查。</w:t>
      </w:r>
      <w:r>
        <w:rPr>
          <w:spacing w:val="0"/>
          <w14:textOutline w14:w="5793" w14:cap="sq" w14:cmpd="sng">
            <w14:solidFill>
              <w14:srgbClr w14:val="000000"/>
            </w14:solidFill>
            <w14:prstDash w14:val="solid"/>
            <w14:bevel/>
          </w14:textOutline>
        </w:rPr>
        <w:t>一是</w:t>
      </w:r>
      <w:r>
        <w:rPr>
          <w:rFonts w:hint="eastAsia" w:ascii="仿宋_GB2312" w:hAnsi="仿宋_GB2312" w:eastAsia="仿宋_GB2312" w:cs="仿宋_GB2312"/>
          <w:spacing w:val="0"/>
          <w:sz w:val="32"/>
          <w:szCs w:val="32"/>
          <w:lang w:eastAsia="zh-CN"/>
        </w:rPr>
        <w:t>对“三沿六区”新增散埋乱葬、活人墓、豪华墓开展一次全面调查摸底，摄像取证、登记造册、建立台账，对明确需迁移的坟墓，根据属地管理原则，由各村向墓主后人下发迁移通知。</w:t>
      </w:r>
      <w:r>
        <w:rPr>
          <w:rFonts w:hint="eastAsia"/>
          <w:spacing w:val="0"/>
          <w:lang w:eastAsia="zh-CN"/>
          <w14:textOutline w14:w="5793" w14:cap="sq" w14:cmpd="sng">
            <w14:solidFill>
              <w14:srgbClr w14:val="000000"/>
            </w14:solidFill>
            <w14:prstDash w14:val="solid"/>
            <w14:bevel/>
          </w14:textOutline>
        </w:rPr>
        <w:t>二</w:t>
      </w:r>
      <w:r>
        <w:rPr>
          <w:spacing w:val="0"/>
          <w14:textOutline w14:w="5793" w14:cap="sq" w14:cmpd="sng">
            <w14:solidFill>
              <w14:srgbClr w14:val="000000"/>
            </w14:solidFill>
            <w14:prstDash w14:val="solid"/>
            <w14:bevel/>
          </w14:textOutline>
        </w:rPr>
        <w:t>是</w:t>
      </w:r>
      <w:r>
        <w:rPr>
          <w:rFonts w:hint="eastAsia" w:ascii="仿宋_GB2312" w:hAnsi="仿宋_GB2312" w:eastAsia="仿宋_GB2312" w:cs="仿宋_GB2312"/>
          <w:spacing w:val="0"/>
          <w:sz w:val="32"/>
          <w:szCs w:val="32"/>
          <w:lang w:eastAsia="zh-CN"/>
        </w:rPr>
        <w:t>根据属地管理原则，各村为第一属地，村殡葬信息员（由各村民政干部兼任）负责做好本村殡葬信息的搜集、跟踪、核查、每日上报属地去世人员信息等工作。各村要牢牢掌握本辖区高龄老年人及重危病人的信息，村民病故(或突发性死亡)的，做好第一时间入户和火化通知书送达，对拒不执行火化政策的情况要及时向驻村领导和乡民政所汇报。10月30日前将散埋乱葬专项治理自查自纠摸底台账（附件5）经驻村领导、村党组织书记签字加盖公章后报乡殡改办。</w:t>
      </w:r>
    </w:p>
    <w:p>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3" w:firstLineChars="200"/>
        <w:jc w:val="both"/>
        <w:textAlignment w:val="baseline"/>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b/>
          <w:bCs/>
          <w:snapToGrid w:val="0"/>
          <w:color w:val="000000"/>
          <w:spacing w:val="0"/>
          <w:kern w:val="0"/>
          <w:sz w:val="32"/>
          <w:szCs w:val="32"/>
          <w:lang w:val="en-US" w:eastAsia="zh-CN" w:bidi="ar-SA"/>
        </w:rPr>
        <w:t>3.集中整治阶段（11月1日-12月18日）。</w:t>
      </w:r>
      <w:r>
        <w:rPr>
          <w:rFonts w:hint="eastAsia" w:ascii="仿宋_GB2312" w:hAnsi="仿宋_GB2312" w:eastAsia="仿宋_GB2312" w:cs="仿宋_GB2312"/>
          <w:spacing w:val="0"/>
          <w:sz w:val="32"/>
          <w:szCs w:val="32"/>
          <w:lang w:eastAsia="zh-CN"/>
        </w:rPr>
        <w:t>对照台账里“三沿六区”内新增散埋乱葬、活人墓、豪华墓，由各村组织动员丧属在规定时限内将坟墓迁至指定的公益性墓地或骨灰堂。对查不到户主的坟墓，在公告期限内无人认领的，按无主坟墓予以妥善处理。坟墓搬迁后，要及时平坟并清理现场，开展恢复生态建设工作，还坟于林、还坟于田、还坟于景；对拒不搬迁整改的，要组织力量依法整改到位。</w:t>
      </w:r>
    </w:p>
    <w:p>
      <w:pPr>
        <w:pStyle w:val="4"/>
        <w:keepNext w:val="0"/>
        <w:keepLines w:val="0"/>
        <w:pageBreakBefore w:val="0"/>
        <w:wordWrap/>
        <w:overflowPunct/>
        <w:topLinePunct w:val="0"/>
        <w:bidi w:val="0"/>
        <w:spacing w:line="560" w:lineRule="exact"/>
        <w:ind w:left="0" w:right="0" w:firstLine="643" w:firstLineChars="200"/>
        <w:jc w:val="both"/>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b/>
          <w:bCs/>
          <w:snapToGrid w:val="0"/>
          <w:color w:val="000000"/>
          <w:spacing w:val="0"/>
          <w:kern w:val="0"/>
          <w:sz w:val="32"/>
          <w:szCs w:val="32"/>
          <w:lang w:val="en-US" w:eastAsia="zh-CN" w:bidi="ar-SA"/>
        </w:rPr>
        <w:t>4.督查总结阶段（12月5日-12月18日）。</w:t>
      </w:r>
      <w:r>
        <w:rPr>
          <w:rFonts w:hint="eastAsia" w:ascii="仿宋_GB2312" w:hAnsi="仿宋_GB2312" w:eastAsia="仿宋_GB2312" w:cs="仿宋_GB2312"/>
          <w:spacing w:val="0"/>
          <w:sz w:val="32"/>
          <w:szCs w:val="32"/>
          <w:lang w:eastAsia="zh-CN"/>
        </w:rPr>
        <w:t>乡殡葬改革工作领导小组办公室要建立健全专项整治督查机制，通过平时检查、不定期抽查、线索跟踪、暗访等方法，加强对专项整治工作进展情况和实际成效的督导检查，确保集中整治取得实效。整治工作结束后，各村要对开展工作情况进行资料、数据汇总，形成总结报告，并建立常态化工作机制，落实监管措施，明确监管责任，防止整治问题反弹，并持续抓好骨灰堂的使用率提升和日常管理工作。集中整治工作总结报告于12月18日前经驻村领导、村党组织书记签字加盖公章后上报乡殡改办。</w:t>
      </w:r>
    </w:p>
    <w:p>
      <w:pPr>
        <w:keepNext w:val="0"/>
        <w:keepLines w:val="0"/>
        <w:pageBreakBefore w:val="0"/>
        <w:wordWrap/>
        <w:overflowPunct/>
        <w:topLinePunct w:val="0"/>
        <w:bidi w:val="0"/>
        <w:spacing w:line="560" w:lineRule="exact"/>
        <w:ind w:left="0" w:right="0" w:firstLine="640" w:firstLineChars="200"/>
        <w:jc w:val="both"/>
        <w:rPr>
          <w:rFonts w:ascii="黑体" w:hAnsi="黑体" w:eastAsia="黑体" w:cs="黑体"/>
          <w:spacing w:val="0"/>
          <w:sz w:val="32"/>
          <w:szCs w:val="32"/>
        </w:rPr>
      </w:pPr>
      <w:r>
        <w:rPr>
          <w:rFonts w:ascii="黑体" w:hAnsi="黑体" w:eastAsia="黑体" w:cs="黑体"/>
          <w:spacing w:val="0"/>
          <w:sz w:val="32"/>
          <w:szCs w:val="32"/>
        </w:rPr>
        <w:t>四、工作要求</w:t>
      </w:r>
    </w:p>
    <w:p>
      <w:pPr>
        <w:keepNext w:val="0"/>
        <w:keepLines w:val="0"/>
        <w:pageBreakBefore w:val="0"/>
        <w:widowControl w:val="0"/>
        <w:kinsoku/>
        <w:wordWrap/>
        <w:overflowPunct/>
        <w:topLinePunct w:val="0"/>
        <w:autoSpaceDE/>
        <w:autoSpaceDN/>
        <w:bidi w:val="0"/>
        <w:adjustRightInd/>
        <w:snapToGrid/>
        <w:spacing w:line="560" w:lineRule="exact"/>
        <w:ind w:left="0" w:right="0" w:firstLine="643" w:firstLineChars="200"/>
        <w:jc w:val="both"/>
        <w:textAlignment w:val="auto"/>
        <w:rPr>
          <w:rFonts w:hint="eastAsia" w:ascii="仿宋_GB2312" w:hAnsi="仿宋_GB2312" w:eastAsia="仿宋_GB2312" w:cs="仿宋_GB2312"/>
          <w:snapToGrid w:val="0"/>
          <w:color w:val="000000"/>
          <w:spacing w:val="0"/>
          <w:kern w:val="0"/>
          <w:sz w:val="32"/>
          <w:szCs w:val="32"/>
          <w:lang w:val="en-US" w:eastAsia="zh-CN" w:bidi="ar-SA"/>
        </w:rPr>
      </w:pPr>
      <w:r>
        <w:rPr>
          <w:rFonts w:hint="eastAsia" w:ascii="仿宋_GB2312" w:hAnsi="仿宋_GB2312" w:eastAsia="仿宋_GB2312" w:cs="仿宋_GB2312"/>
          <w:b/>
          <w:bCs/>
          <w:snapToGrid w:val="0"/>
          <w:color w:val="000000"/>
          <w:spacing w:val="0"/>
          <w:kern w:val="0"/>
          <w:sz w:val="32"/>
          <w:szCs w:val="32"/>
          <w:lang w:val="en-US" w:eastAsia="zh-CN" w:bidi="ar-SA"/>
        </w:rPr>
        <w:t>1.提高政治站位，强化组织领导。</w:t>
      </w:r>
      <w:r>
        <w:rPr>
          <w:rFonts w:hint="eastAsia" w:ascii="仿宋_GB2312" w:hAnsi="仿宋_GB2312" w:eastAsia="仿宋_GB2312" w:cs="仿宋_GB2312"/>
          <w:snapToGrid w:val="0"/>
          <w:color w:val="000000"/>
          <w:spacing w:val="0"/>
          <w:kern w:val="0"/>
          <w:sz w:val="32"/>
          <w:szCs w:val="32"/>
          <w:lang w:val="en-US" w:eastAsia="zh-CN" w:bidi="ar-SA"/>
        </w:rPr>
        <w:t>2018年以来，国家有关部委、省政府、省直有关厅局出台了一系列关于殡葬改革有关的文件，对殡葬服务管理工作作出了安排部署。各村务必要充分认清当前形势，深化思想认识，提高政治站位，切实承担起属地管理责任，以高度重视的态度将殡葬改革工作作为一项重要工作来抓。各村要成立以党组织主要负责人为组长的工作专班，明确具体责任人员及责任范围，确保上下协调、运转顺畅，按照属地管理原则，认真抓好本辖区内专项整治工作的统筹和推进落实工作。</w:t>
      </w:r>
    </w:p>
    <w:p>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3" w:firstLineChars="200"/>
        <w:jc w:val="both"/>
        <w:textAlignment w:val="baseline"/>
        <w:rPr>
          <w:rFonts w:hint="eastAsia" w:ascii="仿宋_GB2312" w:hAnsi="仿宋_GB2312" w:eastAsia="仿宋_GB2312" w:cs="仿宋_GB2312"/>
          <w:snapToGrid w:val="0"/>
          <w:color w:val="000000"/>
          <w:spacing w:val="0"/>
          <w:kern w:val="0"/>
          <w:sz w:val="32"/>
          <w:szCs w:val="32"/>
          <w:lang w:val="en-US" w:eastAsia="zh-CN" w:bidi="ar-SA"/>
        </w:rPr>
      </w:pPr>
      <w:r>
        <w:rPr>
          <w:rFonts w:hint="eastAsia" w:ascii="仿宋_GB2312" w:hAnsi="仿宋_GB2312" w:eastAsia="仿宋_GB2312" w:cs="仿宋_GB2312"/>
          <w:b/>
          <w:bCs/>
          <w:snapToGrid w:val="0"/>
          <w:color w:val="000000"/>
          <w:spacing w:val="0"/>
          <w:kern w:val="0"/>
          <w:sz w:val="32"/>
          <w:szCs w:val="32"/>
          <w:lang w:val="en-US" w:eastAsia="zh-CN" w:bidi="ar-SA"/>
        </w:rPr>
        <w:t>2.压实工作责任，明确惩罚措施。</w:t>
      </w:r>
      <w:r>
        <w:rPr>
          <w:rFonts w:hint="eastAsia" w:ascii="仿宋_GB2312" w:hAnsi="仿宋_GB2312" w:eastAsia="仿宋_GB2312" w:cs="仿宋_GB2312"/>
          <w:snapToGrid w:val="0"/>
          <w:color w:val="000000"/>
          <w:spacing w:val="0"/>
          <w:kern w:val="0"/>
          <w:sz w:val="32"/>
          <w:szCs w:val="32"/>
          <w:lang w:val="en-US" w:eastAsia="zh-CN" w:bidi="ar-SA"/>
        </w:rPr>
        <w:t>民政、林业、自然资源、派出所、综合执法等各职能部门要根据各自的工作职责，各司其职，通力协作，形成合力推动专项整治工作。乡村两级要加强党员干部管理，充分发挥党员干部带头示范作用，落实好“五带头、五严禁”规定（附件1），执行好殡葬改革各项要求，引导群众（丧属）将亲人骨灰安葬于公墓或骨灰堂内，自觉抵制散埋乱葬行为。同时，村党组织书记要签订殡葬改革工作突出问题整治工作承诺书（附件3），并按照“驻村领导包村、乡村联动、全面覆盖”的原则，压实乡、村、组干部责任，一体化推进集中整治工作。将殡葬改革工作考评与年终综合绩效考评挂钩，考评结果倒数的驻村领导、驻村干部、党组织主要负责人不得评为优秀等次，倒数二名的村不得评为第一等次。坚决查处违法违规行为，凡发现因工作不力、整治不到位，导致出现散埋乱葬造成不良影响或存在违规违纪行为的，将有关问题线索一律移交县纪委处理，严肃追究相关责任。</w:t>
      </w:r>
    </w:p>
    <w:p>
      <w:pPr>
        <w:pStyle w:val="4"/>
        <w:keepNext w:val="0"/>
        <w:keepLines w:val="0"/>
        <w:pageBreakBefore w:val="0"/>
        <w:wordWrap/>
        <w:overflowPunct/>
        <w:topLinePunct w:val="0"/>
        <w:bidi w:val="0"/>
        <w:spacing w:line="560" w:lineRule="exact"/>
        <w:ind w:left="0" w:right="0" w:firstLine="643" w:firstLineChars="200"/>
        <w:jc w:val="both"/>
        <w:rPr>
          <w:rFonts w:hint="eastAsia" w:ascii="仿宋_GB2312" w:hAnsi="仿宋_GB2312" w:eastAsia="仿宋_GB2312" w:cs="仿宋_GB2312"/>
          <w:snapToGrid w:val="0"/>
          <w:color w:val="000000"/>
          <w:spacing w:val="0"/>
          <w:kern w:val="0"/>
          <w:sz w:val="32"/>
          <w:szCs w:val="32"/>
          <w:lang w:val="en-US" w:eastAsia="zh-CN" w:bidi="ar-SA"/>
        </w:rPr>
      </w:pPr>
      <w:r>
        <w:rPr>
          <w:rFonts w:hint="eastAsia" w:ascii="仿宋_GB2312" w:hAnsi="仿宋_GB2312" w:eastAsia="仿宋_GB2312" w:cs="仿宋_GB2312"/>
          <w:b/>
          <w:bCs/>
          <w:snapToGrid w:val="0"/>
          <w:color w:val="000000"/>
          <w:spacing w:val="0"/>
          <w:kern w:val="0"/>
          <w:sz w:val="32"/>
          <w:szCs w:val="32"/>
          <w:lang w:val="en-US" w:eastAsia="zh-CN" w:bidi="ar-SA"/>
        </w:rPr>
        <w:t>3.健全工作机制，形成常态管理。</w:t>
      </w:r>
      <w:r>
        <w:rPr>
          <w:rFonts w:hint="eastAsia" w:ascii="仿宋_GB2312" w:hAnsi="仿宋_GB2312" w:eastAsia="仿宋_GB2312" w:cs="仿宋_GB2312"/>
          <w:snapToGrid w:val="0"/>
          <w:color w:val="000000"/>
          <w:spacing w:val="0"/>
          <w:kern w:val="0"/>
          <w:sz w:val="32"/>
          <w:szCs w:val="32"/>
          <w:lang w:val="en-US" w:eastAsia="zh-CN" w:bidi="ar-SA"/>
        </w:rPr>
        <w:t>集中整治工作结束后，要进一步加强骨灰去向闭环管理，强化“日查、周报、月核”联动机制，形成常态化管理体系，严防突出问题反弹。村级要建立常态化日常巡查机制，做好包组村干部、护林员日常巡查排班表，落实好日常巡查工作，建立巡查台账和问题整改台账，实行定期销号整改；各村要建立骨灰去向跟踪台账，并做好周报表（附件4），安排村殡葬信息员（由各村民政干部兼任），强化殡葬信息统计，将骨灰去向周报表每周五上午12:00前上报乡殡改办。为巩固提高遗体火化率，各村需狠抓土葬源头管控，建立70周岁以上的老年人花名册，并紧盯重病体弱对象，如发现去世，主动介入及时发放《遗体火化告知书》，如发现逝者后人对火化有抵触情绪的及时下发《责令限期火化告知书》立即启动预案，采取强制措施督促其在规定时间内自行起棺火化。一经发现违规土葬的给予该村党组织书记降职处理，并取消该村一切年终评优评先的资格。乡殡改办要健全殡葬改革工作考核和月调度机制，制定详细的考核细则，明确评分标准，每月定期调度全乡殡葬改革工作，通报全乡殡葬改革工作情况。</w:t>
      </w:r>
    </w:p>
    <w:p>
      <w:pPr>
        <w:pStyle w:val="4"/>
        <w:keepNext w:val="0"/>
        <w:keepLines w:val="0"/>
        <w:pageBreakBefore w:val="0"/>
        <w:wordWrap/>
        <w:overflowPunct/>
        <w:topLinePunct w:val="0"/>
        <w:bidi w:val="0"/>
        <w:spacing w:line="560" w:lineRule="exact"/>
        <w:ind w:left="0" w:right="0" w:firstLine="643" w:firstLineChars="200"/>
        <w:jc w:val="both"/>
        <w:rPr>
          <w:rFonts w:hint="eastAsia" w:ascii="仿宋_GB2312" w:hAnsi="仿宋_GB2312" w:eastAsia="仿宋_GB2312" w:cs="仿宋_GB2312"/>
          <w:snapToGrid w:val="0"/>
          <w:color w:val="000000"/>
          <w:spacing w:val="0"/>
          <w:kern w:val="0"/>
          <w:sz w:val="32"/>
          <w:szCs w:val="32"/>
          <w:lang w:val="en-US" w:eastAsia="zh-CN" w:bidi="ar-SA"/>
        </w:rPr>
      </w:pPr>
      <w:r>
        <w:rPr>
          <w:rFonts w:hint="eastAsia" w:ascii="仿宋_GB2312" w:hAnsi="仿宋_GB2312" w:eastAsia="仿宋_GB2312" w:cs="仿宋_GB2312"/>
          <w:b/>
          <w:bCs/>
          <w:snapToGrid w:val="0"/>
          <w:color w:val="000000"/>
          <w:spacing w:val="0"/>
          <w:kern w:val="0"/>
          <w:sz w:val="32"/>
          <w:szCs w:val="32"/>
          <w:lang w:val="en-US" w:eastAsia="zh-CN" w:bidi="ar-SA"/>
        </w:rPr>
        <w:t>4.加强宣传教育，形成工作合力。</w:t>
      </w:r>
      <w:r>
        <w:rPr>
          <w:rFonts w:hint="eastAsia" w:ascii="仿宋_GB2312" w:hAnsi="仿宋_GB2312" w:eastAsia="仿宋_GB2312" w:cs="仿宋_GB2312"/>
          <w:snapToGrid w:val="0"/>
          <w:color w:val="000000"/>
          <w:spacing w:val="0"/>
          <w:kern w:val="0"/>
          <w:sz w:val="32"/>
          <w:szCs w:val="32"/>
          <w:lang w:val="en-US" w:eastAsia="zh-CN" w:bidi="ar-SA"/>
        </w:rPr>
        <w:t>加大宣传力度，建立巡查机制，要求村干部、护林员、配合乡执法队开展日常巡查，充分调动乡村力量，形成上下联动、齐抓共管的工作合力，把新建坟墓的苗头消灭在萌芽状态；各村通过党员干部带头、印发倡议书（附件2）、召开动员大会、发放公告等形式，广泛深入开展集中整治宣传动员工作，把这次专项整治的目的、意义、时间、范围、措施、要求和所依据的政策法规宣传到村、到组、到户，做到家喻户晓、应知尽知，推动形成移风易俗的大洗礼、大转变；要坚持从实际出发，结合当地风水文化习俗，加强殡葬从业人员教育、引导和管理，定期组织辖区内的风水先生进行殡葬政策培训，要做细做实群众的思想工作，积极稳妥推进专项整治工作。</w:t>
      </w:r>
    </w:p>
    <w:p>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firstLine="0"/>
        <w:textAlignment w:val="baseline"/>
        <w:rPr>
          <w:rFonts w:hint="eastAsia" w:ascii="仿宋_GB2312" w:hAnsi="仿宋_GB2312" w:eastAsia="仿宋_GB2312" w:cs="仿宋_GB2312"/>
          <w:snapToGrid w:val="0"/>
          <w:color w:val="000000"/>
          <w:spacing w:val="0"/>
          <w:kern w:val="0"/>
          <w:sz w:val="32"/>
          <w:szCs w:val="32"/>
          <w:lang w:val="en-US" w:eastAsia="zh-CN" w:bidi="ar-SA"/>
        </w:rPr>
      </w:pPr>
    </w:p>
    <w:p>
      <w:pPr>
        <w:pStyle w:val="4"/>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napToGrid w:val="0"/>
          <w:color w:val="000000"/>
          <w:spacing w:val="0"/>
          <w:kern w:val="0"/>
          <w:sz w:val="32"/>
          <w:szCs w:val="32"/>
          <w:lang w:val="en-US" w:eastAsia="zh-CN" w:bidi="ar-SA"/>
        </w:rPr>
      </w:pPr>
      <w:r>
        <w:rPr>
          <w:rFonts w:hint="eastAsia" w:ascii="仿宋_GB2312" w:hAnsi="仿宋_GB2312" w:eastAsia="仿宋_GB2312" w:cs="仿宋_GB2312"/>
          <w:snapToGrid w:val="0"/>
          <w:color w:val="000000"/>
          <w:spacing w:val="0"/>
          <w:kern w:val="0"/>
          <w:sz w:val="32"/>
          <w:szCs w:val="32"/>
          <w:lang w:val="en-US" w:eastAsia="zh-CN" w:bidi="ar-SA"/>
        </w:rPr>
        <w:t>附件：1.党员干部“五带头、五严禁”</w:t>
      </w:r>
    </w:p>
    <w:p>
      <w:pPr>
        <w:pStyle w:val="4"/>
        <w:keepNext w:val="0"/>
        <w:keepLines w:val="0"/>
        <w:pageBreakBefore w:val="0"/>
        <w:widowControl/>
        <w:kinsoku w:val="0"/>
        <w:wordWrap/>
        <w:overflowPunct/>
        <w:topLinePunct w:val="0"/>
        <w:autoSpaceDE w:val="0"/>
        <w:autoSpaceDN w:val="0"/>
        <w:bidi w:val="0"/>
        <w:adjustRightInd w:val="0"/>
        <w:snapToGrid w:val="0"/>
        <w:spacing w:line="560" w:lineRule="exact"/>
        <w:ind w:firstLine="1600" w:firstLineChars="500"/>
        <w:textAlignment w:val="baseline"/>
        <w:rPr>
          <w:rFonts w:hint="eastAsia" w:ascii="仿宋_GB2312" w:hAnsi="仿宋_GB2312" w:eastAsia="仿宋_GB2312" w:cs="仿宋_GB2312"/>
          <w:snapToGrid w:val="0"/>
          <w:color w:val="000000"/>
          <w:spacing w:val="0"/>
          <w:kern w:val="0"/>
          <w:sz w:val="32"/>
          <w:szCs w:val="32"/>
          <w:lang w:val="en-US" w:eastAsia="zh-CN" w:bidi="ar-SA"/>
        </w:rPr>
      </w:pPr>
      <w:r>
        <w:rPr>
          <w:rFonts w:hint="eastAsia" w:ascii="仿宋_GB2312" w:hAnsi="仿宋_GB2312" w:eastAsia="仿宋_GB2312" w:cs="仿宋_GB2312"/>
          <w:snapToGrid w:val="0"/>
          <w:color w:val="000000"/>
          <w:spacing w:val="0"/>
          <w:kern w:val="0"/>
          <w:sz w:val="32"/>
          <w:szCs w:val="32"/>
          <w:lang w:val="en-US" w:eastAsia="zh-CN" w:bidi="ar-SA"/>
        </w:rPr>
        <w:t>2.殡葬改革倡议书</w:t>
      </w:r>
    </w:p>
    <w:p>
      <w:pPr>
        <w:pStyle w:val="4"/>
        <w:keepNext w:val="0"/>
        <w:keepLines w:val="0"/>
        <w:pageBreakBefore w:val="0"/>
        <w:widowControl/>
        <w:kinsoku w:val="0"/>
        <w:wordWrap/>
        <w:overflowPunct/>
        <w:topLinePunct w:val="0"/>
        <w:autoSpaceDE w:val="0"/>
        <w:autoSpaceDN w:val="0"/>
        <w:bidi w:val="0"/>
        <w:adjustRightInd w:val="0"/>
        <w:snapToGrid w:val="0"/>
        <w:spacing w:line="560" w:lineRule="exact"/>
        <w:ind w:firstLine="1600" w:firstLineChars="500"/>
        <w:textAlignment w:val="baseline"/>
        <w:rPr>
          <w:rFonts w:hint="eastAsia" w:ascii="仿宋_GB2312" w:hAnsi="仿宋_GB2312" w:eastAsia="仿宋_GB2312" w:cs="仿宋_GB2312"/>
          <w:snapToGrid w:val="0"/>
          <w:color w:val="000000"/>
          <w:spacing w:val="0"/>
          <w:kern w:val="0"/>
          <w:sz w:val="32"/>
          <w:szCs w:val="32"/>
          <w:lang w:val="en-US" w:eastAsia="zh-CN" w:bidi="ar-SA"/>
        </w:rPr>
      </w:pPr>
      <w:r>
        <w:rPr>
          <w:rFonts w:hint="eastAsia" w:ascii="仿宋_GB2312" w:hAnsi="仿宋_GB2312" w:eastAsia="仿宋_GB2312" w:cs="仿宋_GB2312"/>
          <w:snapToGrid w:val="0"/>
          <w:color w:val="000000"/>
          <w:spacing w:val="0"/>
          <w:kern w:val="0"/>
          <w:sz w:val="32"/>
          <w:szCs w:val="32"/>
          <w:lang w:val="en-US" w:eastAsia="zh-CN" w:bidi="ar-SA"/>
        </w:rPr>
        <w:t>3.殡葬改革工作突出问题整治工作承诺书</w:t>
      </w:r>
    </w:p>
    <w:p>
      <w:pPr>
        <w:pStyle w:val="4"/>
        <w:keepNext w:val="0"/>
        <w:keepLines w:val="0"/>
        <w:pageBreakBefore w:val="0"/>
        <w:widowControl/>
        <w:kinsoku w:val="0"/>
        <w:wordWrap/>
        <w:overflowPunct/>
        <w:topLinePunct w:val="0"/>
        <w:autoSpaceDE w:val="0"/>
        <w:autoSpaceDN w:val="0"/>
        <w:bidi w:val="0"/>
        <w:adjustRightInd w:val="0"/>
        <w:snapToGrid w:val="0"/>
        <w:spacing w:line="560" w:lineRule="exact"/>
        <w:ind w:firstLine="1600" w:firstLineChars="500"/>
        <w:textAlignment w:val="baseline"/>
        <w:rPr>
          <w:rFonts w:hint="eastAsia" w:ascii="仿宋_GB2312" w:hAnsi="仿宋_GB2312" w:eastAsia="仿宋_GB2312" w:cs="仿宋_GB2312"/>
          <w:snapToGrid w:val="0"/>
          <w:color w:val="000000"/>
          <w:spacing w:val="0"/>
          <w:kern w:val="0"/>
          <w:sz w:val="32"/>
          <w:szCs w:val="32"/>
          <w:lang w:val="en-US" w:eastAsia="zh-CN" w:bidi="ar-SA"/>
        </w:rPr>
      </w:pPr>
      <w:r>
        <w:rPr>
          <w:rFonts w:hint="eastAsia" w:ascii="仿宋_GB2312" w:hAnsi="仿宋_GB2312" w:eastAsia="仿宋_GB2312" w:cs="仿宋_GB2312"/>
          <w:snapToGrid w:val="0"/>
          <w:color w:val="000000"/>
          <w:spacing w:val="0"/>
          <w:kern w:val="0"/>
          <w:sz w:val="32"/>
          <w:szCs w:val="32"/>
          <w:lang w:val="en-US" w:eastAsia="zh-CN" w:bidi="ar-SA"/>
        </w:rPr>
        <w:t>4.骨灰去向周报告制度</w:t>
      </w:r>
    </w:p>
    <w:p>
      <w:pPr>
        <w:spacing w:before="162" w:line="230" w:lineRule="auto"/>
        <w:ind w:firstLine="1600" w:firstLineChars="500"/>
        <w:rPr>
          <w:rFonts w:hint="eastAsia" w:ascii="仿宋_GB2312" w:hAnsi="仿宋_GB2312" w:eastAsia="仿宋_GB2312" w:cs="仿宋_GB2312"/>
          <w:snapToGrid w:val="0"/>
          <w:color w:val="000000"/>
          <w:spacing w:val="0"/>
          <w:kern w:val="0"/>
          <w:sz w:val="32"/>
          <w:szCs w:val="32"/>
          <w:lang w:val="en-US" w:eastAsia="zh-CN" w:bidi="ar-SA"/>
        </w:rPr>
      </w:pPr>
      <w:r>
        <w:rPr>
          <w:rFonts w:hint="eastAsia" w:ascii="仿宋_GB2312" w:hAnsi="仿宋_GB2312" w:eastAsia="仿宋_GB2312" w:cs="仿宋_GB2312"/>
          <w:snapToGrid w:val="0"/>
          <w:color w:val="000000"/>
          <w:spacing w:val="0"/>
          <w:kern w:val="0"/>
          <w:sz w:val="32"/>
          <w:szCs w:val="32"/>
          <w:lang w:val="en-US" w:eastAsia="zh-CN" w:bidi="ar-SA"/>
        </w:rPr>
        <w:t>5.枫边乡XX村“三沿六区”散埋乱葬坟墓摸底表</w:t>
      </w:r>
    </w:p>
    <w:p>
      <w:pPr>
        <w:spacing w:before="162" w:line="230" w:lineRule="auto"/>
        <w:ind w:left="44"/>
        <w:rPr>
          <w:rFonts w:hint="eastAsia" w:ascii="仿宋_GB2312" w:hAnsi="仿宋_GB2312" w:eastAsia="仿宋_GB2312" w:cs="仿宋_GB2312"/>
          <w:snapToGrid w:val="0"/>
          <w:color w:val="000000"/>
          <w:spacing w:val="22"/>
          <w:kern w:val="0"/>
          <w:sz w:val="32"/>
          <w:szCs w:val="32"/>
          <w:lang w:val="en-US" w:eastAsia="zh-CN" w:bidi="ar-SA"/>
        </w:rPr>
      </w:pPr>
    </w:p>
    <w:p>
      <w:pPr>
        <w:spacing w:before="162" w:line="230" w:lineRule="auto"/>
        <w:ind w:left="44"/>
        <w:rPr>
          <w:rFonts w:hint="eastAsia" w:ascii="仿宋_GB2312" w:hAnsi="仿宋_GB2312" w:eastAsia="仿宋_GB2312" w:cs="仿宋_GB2312"/>
          <w:snapToGrid w:val="0"/>
          <w:color w:val="000000"/>
          <w:spacing w:val="22"/>
          <w:kern w:val="0"/>
          <w:sz w:val="32"/>
          <w:szCs w:val="32"/>
          <w:lang w:val="en-US" w:eastAsia="zh-CN" w:bidi="ar-SA"/>
        </w:rPr>
      </w:pPr>
    </w:p>
    <w:p>
      <w:pPr>
        <w:spacing w:before="162" w:line="230" w:lineRule="auto"/>
        <w:ind w:left="44"/>
        <w:rPr>
          <w:rFonts w:hint="eastAsia" w:ascii="仿宋_GB2312" w:hAnsi="仿宋_GB2312" w:eastAsia="仿宋_GB2312" w:cs="仿宋_GB2312"/>
          <w:snapToGrid w:val="0"/>
          <w:color w:val="000000"/>
          <w:spacing w:val="22"/>
          <w:kern w:val="0"/>
          <w:sz w:val="32"/>
          <w:szCs w:val="32"/>
          <w:lang w:val="en-US" w:eastAsia="zh-CN" w:bidi="ar-SA"/>
        </w:rPr>
      </w:pPr>
    </w:p>
    <w:p>
      <w:pPr>
        <w:spacing w:before="162" w:line="230" w:lineRule="auto"/>
        <w:ind w:left="44"/>
        <w:rPr>
          <w:rFonts w:hint="eastAsia" w:ascii="仿宋_GB2312" w:hAnsi="仿宋_GB2312" w:eastAsia="仿宋_GB2312" w:cs="仿宋_GB2312"/>
          <w:snapToGrid w:val="0"/>
          <w:color w:val="000000"/>
          <w:spacing w:val="22"/>
          <w:kern w:val="0"/>
          <w:sz w:val="32"/>
          <w:szCs w:val="32"/>
          <w:lang w:val="en-US" w:eastAsia="zh-CN" w:bidi="ar-SA"/>
        </w:rPr>
      </w:pPr>
    </w:p>
    <w:p>
      <w:pPr>
        <w:spacing w:before="162" w:line="230" w:lineRule="auto"/>
        <w:ind w:left="44"/>
        <w:rPr>
          <w:rFonts w:hint="eastAsia" w:ascii="仿宋_GB2312" w:hAnsi="仿宋_GB2312" w:eastAsia="仿宋_GB2312" w:cs="仿宋_GB2312"/>
          <w:snapToGrid w:val="0"/>
          <w:color w:val="000000"/>
          <w:spacing w:val="22"/>
          <w:kern w:val="0"/>
          <w:sz w:val="32"/>
          <w:szCs w:val="32"/>
          <w:lang w:val="en-US" w:eastAsia="zh-CN" w:bidi="ar-SA"/>
        </w:rPr>
      </w:pPr>
    </w:p>
    <w:p>
      <w:pPr>
        <w:spacing w:before="162" w:line="230" w:lineRule="auto"/>
        <w:ind w:left="44"/>
        <w:rPr>
          <w:rFonts w:hint="eastAsia" w:ascii="仿宋_GB2312" w:hAnsi="仿宋_GB2312" w:eastAsia="仿宋_GB2312" w:cs="仿宋_GB2312"/>
          <w:snapToGrid w:val="0"/>
          <w:color w:val="000000"/>
          <w:spacing w:val="22"/>
          <w:kern w:val="0"/>
          <w:sz w:val="32"/>
          <w:szCs w:val="32"/>
          <w:lang w:val="en-US" w:eastAsia="zh-CN" w:bidi="ar-SA"/>
        </w:rPr>
      </w:pPr>
    </w:p>
    <w:p>
      <w:pPr>
        <w:spacing w:before="162" w:line="230" w:lineRule="auto"/>
        <w:ind w:left="44"/>
        <w:rPr>
          <w:rFonts w:hint="eastAsia" w:ascii="仿宋_GB2312" w:hAnsi="仿宋_GB2312" w:eastAsia="仿宋_GB2312" w:cs="仿宋_GB2312"/>
          <w:snapToGrid w:val="0"/>
          <w:color w:val="000000"/>
          <w:spacing w:val="22"/>
          <w:kern w:val="0"/>
          <w:sz w:val="32"/>
          <w:szCs w:val="32"/>
          <w:lang w:val="en-US" w:eastAsia="zh-CN" w:bidi="ar-SA"/>
        </w:rPr>
      </w:pPr>
    </w:p>
    <w:p>
      <w:pPr>
        <w:spacing w:before="162" w:line="230" w:lineRule="auto"/>
        <w:rPr>
          <w:rFonts w:ascii="黑体" w:hAnsi="黑体" w:eastAsia="黑体" w:cs="黑体"/>
          <w:spacing w:val="-4"/>
          <w:sz w:val="32"/>
          <w:szCs w:val="32"/>
        </w:rPr>
      </w:pPr>
    </w:p>
    <w:p>
      <w:pPr>
        <w:spacing w:before="162" w:line="230" w:lineRule="auto"/>
        <w:rPr>
          <w:rFonts w:ascii="黑体" w:hAnsi="黑体" w:eastAsia="黑体" w:cs="黑体"/>
          <w:spacing w:val="-4"/>
          <w:sz w:val="32"/>
          <w:szCs w:val="32"/>
        </w:rPr>
      </w:pPr>
    </w:p>
    <w:p>
      <w:pPr>
        <w:spacing w:before="162" w:line="230" w:lineRule="auto"/>
        <w:rPr>
          <w:rFonts w:ascii="黑体" w:hAnsi="黑体" w:eastAsia="黑体" w:cs="黑体"/>
          <w:spacing w:val="-4"/>
          <w:sz w:val="32"/>
          <w:szCs w:val="32"/>
        </w:rPr>
      </w:pPr>
    </w:p>
    <w:p>
      <w:pPr>
        <w:spacing w:before="162" w:line="230" w:lineRule="auto"/>
        <w:rPr>
          <w:rFonts w:ascii="黑体" w:hAnsi="黑体" w:eastAsia="黑体" w:cs="黑体"/>
          <w:spacing w:val="-4"/>
          <w:sz w:val="32"/>
          <w:szCs w:val="32"/>
        </w:rPr>
      </w:pPr>
    </w:p>
    <w:p>
      <w:pPr>
        <w:spacing w:before="162" w:line="230" w:lineRule="auto"/>
        <w:rPr>
          <w:rFonts w:ascii="黑体" w:hAnsi="黑体" w:eastAsia="黑体" w:cs="黑体"/>
          <w:spacing w:val="-4"/>
          <w:sz w:val="32"/>
          <w:szCs w:val="32"/>
        </w:rPr>
      </w:pPr>
    </w:p>
    <w:p>
      <w:pPr>
        <w:spacing w:before="162" w:line="230" w:lineRule="auto"/>
        <w:rPr>
          <w:rFonts w:ascii="黑体" w:hAnsi="黑体" w:eastAsia="黑体" w:cs="黑体"/>
          <w:spacing w:val="-4"/>
          <w:sz w:val="32"/>
          <w:szCs w:val="32"/>
        </w:rPr>
      </w:pPr>
    </w:p>
    <w:p>
      <w:pPr>
        <w:spacing w:before="162" w:line="230" w:lineRule="auto"/>
        <w:rPr>
          <w:rFonts w:ascii="黑体" w:hAnsi="黑体" w:eastAsia="黑体" w:cs="黑体"/>
          <w:spacing w:val="-4"/>
          <w:sz w:val="32"/>
          <w:szCs w:val="32"/>
        </w:rPr>
      </w:pPr>
    </w:p>
    <w:p>
      <w:pPr>
        <w:spacing w:before="162" w:line="230" w:lineRule="auto"/>
        <w:rPr>
          <w:rFonts w:ascii="黑体" w:hAnsi="黑体" w:eastAsia="黑体" w:cs="黑体"/>
          <w:spacing w:val="-4"/>
          <w:sz w:val="32"/>
          <w:szCs w:val="32"/>
        </w:rPr>
      </w:pPr>
    </w:p>
    <w:p>
      <w:pPr>
        <w:spacing w:before="162" w:line="230" w:lineRule="auto"/>
        <w:rPr>
          <w:rFonts w:ascii="黑体" w:hAnsi="黑体" w:eastAsia="黑体" w:cs="黑体"/>
          <w:spacing w:val="-4"/>
          <w:sz w:val="32"/>
          <w:szCs w:val="32"/>
        </w:rPr>
      </w:pPr>
    </w:p>
    <w:p>
      <w:pPr>
        <w:spacing w:before="162" w:line="230" w:lineRule="auto"/>
        <w:rPr>
          <w:rFonts w:ascii="黑体" w:hAnsi="黑体" w:eastAsia="黑体" w:cs="黑体"/>
          <w:spacing w:val="-4"/>
          <w:sz w:val="32"/>
          <w:szCs w:val="32"/>
        </w:rPr>
      </w:pPr>
    </w:p>
    <w:p>
      <w:pPr>
        <w:spacing w:before="162" w:line="230" w:lineRule="auto"/>
        <w:rPr>
          <w:rFonts w:ascii="黑体" w:hAnsi="黑体" w:eastAsia="黑体" w:cs="黑体"/>
          <w:spacing w:val="-4"/>
          <w:sz w:val="32"/>
          <w:szCs w:val="32"/>
        </w:rPr>
      </w:pPr>
    </w:p>
    <w:p>
      <w:pPr>
        <w:spacing w:before="162" w:line="230" w:lineRule="auto"/>
        <w:rPr>
          <w:rFonts w:ascii="黑体" w:hAnsi="黑体" w:eastAsia="黑体" w:cs="黑体"/>
          <w:spacing w:val="-4"/>
          <w:sz w:val="32"/>
          <w:szCs w:val="32"/>
        </w:rPr>
      </w:pPr>
    </w:p>
    <w:p>
      <w:pPr>
        <w:spacing w:before="162" w:line="230" w:lineRule="auto"/>
        <w:rPr>
          <w:rFonts w:ascii="黑体" w:hAnsi="黑体" w:eastAsia="黑体" w:cs="黑体"/>
          <w:spacing w:val="-4"/>
          <w:sz w:val="32"/>
          <w:szCs w:val="32"/>
        </w:rPr>
      </w:pPr>
    </w:p>
    <w:p>
      <w:pPr>
        <w:spacing w:before="162" w:line="230" w:lineRule="auto"/>
        <w:rPr>
          <w:rFonts w:ascii="黑体" w:hAnsi="黑体" w:eastAsia="黑体" w:cs="黑体"/>
          <w:spacing w:val="-4"/>
          <w:sz w:val="32"/>
          <w:szCs w:val="32"/>
        </w:rPr>
      </w:pPr>
    </w:p>
    <w:p>
      <w:pPr>
        <w:spacing w:before="162" w:line="230" w:lineRule="auto"/>
        <w:rPr>
          <w:rFonts w:ascii="黑体" w:hAnsi="黑体" w:eastAsia="黑体" w:cs="黑体"/>
          <w:spacing w:val="-4"/>
          <w:sz w:val="32"/>
          <w:szCs w:val="32"/>
        </w:rPr>
      </w:pPr>
    </w:p>
    <w:p>
      <w:pPr>
        <w:spacing w:before="162" w:line="230" w:lineRule="auto"/>
        <w:rPr>
          <w:rFonts w:ascii="黑体" w:hAnsi="黑体" w:eastAsia="黑体" w:cs="黑体"/>
          <w:spacing w:val="-4"/>
          <w:sz w:val="32"/>
          <w:szCs w:val="32"/>
        </w:rPr>
      </w:pPr>
    </w:p>
    <w:p>
      <w:pPr>
        <w:spacing w:before="162" w:line="230" w:lineRule="auto"/>
        <w:rPr>
          <w:rFonts w:ascii="黑体" w:hAnsi="黑体" w:eastAsia="黑体" w:cs="黑体"/>
          <w:sz w:val="32"/>
          <w:szCs w:val="32"/>
        </w:rPr>
      </w:pPr>
      <w:r>
        <w:rPr>
          <w:rFonts w:ascii="黑体" w:hAnsi="黑体" w:eastAsia="黑体" w:cs="黑体"/>
          <w:spacing w:val="-4"/>
          <w:sz w:val="32"/>
          <w:szCs w:val="32"/>
        </w:rPr>
        <w:t>附件1</w:t>
      </w:r>
    </w:p>
    <w:p>
      <w:pPr>
        <w:spacing w:before="101" w:line="230" w:lineRule="auto"/>
        <w:jc w:val="center"/>
        <w:rPr>
          <w:rFonts w:hint="eastAsia" w:ascii="方正公文小标宋" w:hAnsi="方正公文小标宋" w:eastAsia="方正公文小标宋" w:cs="方正公文小标宋"/>
          <w:spacing w:val="-4"/>
          <w:sz w:val="44"/>
          <w:szCs w:val="44"/>
          <w:lang w:val="en-US" w:eastAsia="zh-CN"/>
        </w:rPr>
      </w:pPr>
      <w:r>
        <w:rPr>
          <w:rFonts w:hint="eastAsia" w:ascii="方正公文小标宋" w:hAnsi="方正公文小标宋" w:eastAsia="方正公文小标宋" w:cs="方正公文小标宋"/>
          <w:spacing w:val="-4"/>
          <w:sz w:val="44"/>
          <w:szCs w:val="44"/>
          <w:lang w:val="en-US" w:eastAsia="zh-CN"/>
        </w:rPr>
        <w:t>党员干部“五带头、五严禁”</w:t>
      </w:r>
    </w:p>
    <w:p>
      <w:pPr>
        <w:spacing w:line="299" w:lineRule="auto"/>
        <w:rPr>
          <w:rFonts w:hint="eastAsia" w:ascii="方正公文小标宋" w:hAnsi="方正公文小标宋" w:eastAsia="方正公文小标宋" w:cs="方正公文小标宋"/>
          <w:sz w:val="44"/>
          <w:szCs w:val="44"/>
        </w:rPr>
      </w:pPr>
    </w:p>
    <w:p>
      <w:pPr>
        <w:pStyle w:val="4"/>
        <w:keepNext w:val="0"/>
        <w:keepLines w:val="0"/>
        <w:pageBreakBefore w:val="0"/>
        <w:wordWrap/>
        <w:overflowPunct/>
        <w:topLinePunct w:val="0"/>
        <w:bidi w:val="0"/>
        <w:spacing w:line="560" w:lineRule="exact"/>
        <w:ind w:left="0" w:right="0" w:firstLine="640" w:firstLineChars="200"/>
        <w:jc w:val="both"/>
        <w:rPr>
          <w:rFonts w:hint="eastAsia" w:ascii="仿宋_GB2312" w:hAnsi="仿宋_GB2312" w:eastAsia="仿宋_GB2312" w:cs="仿宋_GB2312"/>
          <w:snapToGrid w:val="0"/>
          <w:color w:val="000000"/>
          <w:spacing w:val="0"/>
          <w:kern w:val="0"/>
          <w:sz w:val="32"/>
          <w:szCs w:val="32"/>
          <w:lang w:val="en-US" w:eastAsia="zh-CN" w:bidi="ar-SA"/>
        </w:rPr>
      </w:pPr>
      <w:r>
        <w:rPr>
          <w:rFonts w:hint="eastAsia" w:ascii="仿宋_GB2312" w:hAnsi="仿宋_GB2312" w:eastAsia="仿宋_GB2312" w:cs="仿宋_GB2312"/>
          <w:snapToGrid w:val="0"/>
          <w:color w:val="000000"/>
          <w:spacing w:val="0"/>
          <w:kern w:val="0"/>
          <w:sz w:val="32"/>
          <w:szCs w:val="32"/>
          <w:lang w:val="en-US" w:eastAsia="zh-CN" w:bidi="ar-SA"/>
        </w:rPr>
        <w:t>1.带头革除丧葬陋习，严禁党员干部及其直系亲属遗体土葬、骨灰装棺再葬；</w:t>
      </w:r>
    </w:p>
    <w:p>
      <w:pPr>
        <w:pStyle w:val="4"/>
        <w:keepNext w:val="0"/>
        <w:keepLines w:val="0"/>
        <w:pageBreakBefore w:val="0"/>
        <w:wordWrap/>
        <w:overflowPunct/>
        <w:topLinePunct w:val="0"/>
        <w:bidi w:val="0"/>
        <w:spacing w:line="560" w:lineRule="exact"/>
        <w:ind w:left="0" w:right="0" w:firstLine="640" w:firstLineChars="200"/>
        <w:jc w:val="both"/>
        <w:rPr>
          <w:rFonts w:hint="eastAsia" w:ascii="仿宋_GB2312" w:hAnsi="仿宋_GB2312" w:eastAsia="仿宋_GB2312" w:cs="仿宋_GB2312"/>
          <w:snapToGrid w:val="0"/>
          <w:color w:val="000000"/>
          <w:spacing w:val="0"/>
          <w:kern w:val="0"/>
          <w:sz w:val="32"/>
          <w:szCs w:val="32"/>
          <w:lang w:val="en-US" w:eastAsia="zh-CN" w:bidi="ar-SA"/>
        </w:rPr>
      </w:pPr>
      <w:r>
        <w:rPr>
          <w:rFonts w:hint="eastAsia" w:ascii="仿宋_GB2312" w:hAnsi="仿宋_GB2312" w:eastAsia="仿宋_GB2312" w:cs="仿宋_GB2312"/>
          <w:snapToGrid w:val="0"/>
          <w:color w:val="000000"/>
          <w:spacing w:val="0"/>
          <w:kern w:val="0"/>
          <w:sz w:val="32"/>
          <w:szCs w:val="32"/>
          <w:lang w:val="en-US" w:eastAsia="zh-CN" w:bidi="ar-SA"/>
        </w:rPr>
        <w:t>2.带头文明节俭办丧，严禁党员干部及其直系亲属大操大办，收受红包、请客送礼；</w:t>
      </w:r>
    </w:p>
    <w:p>
      <w:pPr>
        <w:pStyle w:val="4"/>
        <w:keepNext w:val="0"/>
        <w:keepLines w:val="0"/>
        <w:pageBreakBefore w:val="0"/>
        <w:wordWrap/>
        <w:overflowPunct/>
        <w:topLinePunct w:val="0"/>
        <w:bidi w:val="0"/>
        <w:spacing w:line="560" w:lineRule="exact"/>
        <w:ind w:left="0" w:right="0" w:firstLine="640" w:firstLineChars="200"/>
        <w:jc w:val="both"/>
        <w:rPr>
          <w:rFonts w:hint="eastAsia" w:ascii="仿宋_GB2312" w:hAnsi="仿宋_GB2312" w:eastAsia="仿宋_GB2312" w:cs="仿宋_GB2312"/>
          <w:snapToGrid w:val="0"/>
          <w:color w:val="000000"/>
          <w:spacing w:val="0"/>
          <w:kern w:val="0"/>
          <w:sz w:val="32"/>
          <w:szCs w:val="32"/>
          <w:lang w:val="en-US" w:eastAsia="zh-CN" w:bidi="ar-SA"/>
        </w:rPr>
      </w:pPr>
      <w:r>
        <w:rPr>
          <w:rFonts w:hint="eastAsia" w:ascii="仿宋_GB2312" w:hAnsi="仿宋_GB2312" w:eastAsia="仿宋_GB2312" w:cs="仿宋_GB2312"/>
          <w:snapToGrid w:val="0"/>
          <w:color w:val="000000"/>
          <w:spacing w:val="0"/>
          <w:kern w:val="0"/>
          <w:sz w:val="32"/>
          <w:szCs w:val="32"/>
          <w:lang w:val="en-US" w:eastAsia="zh-CN" w:bidi="ar-SA"/>
        </w:rPr>
        <w:t>3.带头倡导绿色殡葬，严禁党员干部及其直系亲属在公墓（骨灰堂）区外散埋乱葬；</w:t>
      </w:r>
    </w:p>
    <w:p>
      <w:pPr>
        <w:pStyle w:val="4"/>
        <w:keepNext w:val="0"/>
        <w:keepLines w:val="0"/>
        <w:pageBreakBefore w:val="0"/>
        <w:wordWrap/>
        <w:overflowPunct/>
        <w:topLinePunct w:val="0"/>
        <w:bidi w:val="0"/>
        <w:spacing w:line="560" w:lineRule="exact"/>
        <w:ind w:left="0" w:right="0" w:firstLine="640" w:firstLineChars="200"/>
        <w:jc w:val="both"/>
        <w:rPr>
          <w:rFonts w:hint="eastAsia" w:ascii="仿宋_GB2312" w:hAnsi="仿宋_GB2312" w:eastAsia="仿宋_GB2312" w:cs="仿宋_GB2312"/>
          <w:snapToGrid w:val="0"/>
          <w:color w:val="000000"/>
          <w:spacing w:val="0"/>
          <w:kern w:val="0"/>
          <w:sz w:val="32"/>
          <w:szCs w:val="32"/>
          <w:lang w:val="en-US" w:eastAsia="zh-CN" w:bidi="ar-SA"/>
        </w:rPr>
      </w:pPr>
      <w:r>
        <w:rPr>
          <w:rFonts w:hint="eastAsia" w:ascii="仿宋_GB2312" w:hAnsi="仿宋_GB2312" w:eastAsia="仿宋_GB2312" w:cs="仿宋_GB2312"/>
          <w:snapToGrid w:val="0"/>
          <w:color w:val="000000"/>
          <w:spacing w:val="0"/>
          <w:kern w:val="0"/>
          <w:sz w:val="32"/>
          <w:szCs w:val="32"/>
          <w:lang w:val="en-US" w:eastAsia="zh-CN" w:bidi="ar-SA"/>
        </w:rPr>
        <w:t>4.带头宣传殡葬改革，严禁党员干部及其直系亲属兴建活人墓、超大墓、豪华墓，旧坟改扩建；</w:t>
      </w:r>
    </w:p>
    <w:p>
      <w:pPr>
        <w:pStyle w:val="4"/>
        <w:keepNext w:val="0"/>
        <w:keepLines w:val="0"/>
        <w:pageBreakBefore w:val="0"/>
        <w:wordWrap/>
        <w:overflowPunct/>
        <w:topLinePunct w:val="0"/>
        <w:bidi w:val="0"/>
        <w:spacing w:line="560" w:lineRule="exact"/>
        <w:ind w:left="0" w:right="0" w:firstLine="640" w:firstLineChars="200"/>
        <w:jc w:val="both"/>
        <w:rPr>
          <w:rFonts w:hint="eastAsia" w:ascii="仿宋_GB2312" w:hAnsi="仿宋_GB2312" w:eastAsia="仿宋_GB2312" w:cs="仿宋_GB2312"/>
          <w:snapToGrid w:val="0"/>
          <w:color w:val="000000"/>
          <w:spacing w:val="0"/>
          <w:kern w:val="0"/>
          <w:sz w:val="32"/>
          <w:szCs w:val="32"/>
          <w:lang w:val="en-US" w:eastAsia="zh-CN" w:bidi="ar-SA"/>
        </w:rPr>
      </w:pPr>
      <w:r>
        <w:rPr>
          <w:rFonts w:hint="eastAsia" w:ascii="仿宋_GB2312" w:hAnsi="仿宋_GB2312" w:eastAsia="仿宋_GB2312" w:cs="仿宋_GB2312"/>
          <w:snapToGrid w:val="0"/>
          <w:color w:val="000000"/>
          <w:spacing w:val="0"/>
          <w:kern w:val="0"/>
          <w:sz w:val="32"/>
          <w:szCs w:val="32"/>
          <w:lang w:val="en-US" w:eastAsia="zh-CN" w:bidi="ar-SA"/>
        </w:rPr>
        <w:t>5.带头执行殡葬政策，严禁党员干部及其直系亲属违法参与私自开发销售墓穴。</w:t>
      </w:r>
    </w:p>
    <w:p>
      <w:pPr>
        <w:pStyle w:val="4"/>
        <w:keepNext w:val="0"/>
        <w:keepLines w:val="0"/>
        <w:pageBreakBefore w:val="0"/>
        <w:wordWrap/>
        <w:overflowPunct/>
        <w:topLinePunct w:val="0"/>
        <w:bidi w:val="0"/>
        <w:spacing w:line="560" w:lineRule="exact"/>
        <w:ind w:left="0" w:right="0" w:firstLine="640" w:firstLineChars="200"/>
        <w:jc w:val="both"/>
        <w:rPr>
          <w:rFonts w:hint="eastAsia" w:ascii="仿宋_GB2312" w:hAnsi="仿宋_GB2312" w:eastAsia="仿宋_GB2312" w:cs="仿宋_GB2312"/>
          <w:snapToGrid w:val="0"/>
          <w:color w:val="000000"/>
          <w:spacing w:val="0"/>
          <w:kern w:val="0"/>
          <w:sz w:val="32"/>
          <w:szCs w:val="32"/>
          <w:lang w:val="en-US" w:eastAsia="zh-CN" w:bidi="ar-SA"/>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4"/>
        <w:spacing w:before="102" w:line="222" w:lineRule="auto"/>
        <w:ind w:left="4507"/>
        <w:rPr>
          <w:rFonts w:hint="eastAsia" w:ascii="仿宋_GB2312" w:hAnsi="仿宋_GB2312" w:eastAsia="仿宋_GB2312" w:cs="仿宋_GB2312"/>
          <w:sz w:val="32"/>
          <w:szCs w:val="32"/>
        </w:rPr>
      </w:pPr>
      <w:r>
        <w:rPr>
          <w:rFonts w:hint="eastAsia" w:ascii="仿宋_GB2312" w:hAnsi="仿宋_GB2312" w:eastAsia="仿宋_GB2312" w:cs="仿宋_GB2312"/>
          <w:spacing w:val="5"/>
          <w:sz w:val="32"/>
          <w:szCs w:val="32"/>
        </w:rPr>
        <w:t>本人签字：</w:t>
      </w:r>
    </w:p>
    <w:p>
      <w:pPr>
        <w:spacing w:line="352" w:lineRule="auto"/>
        <w:rPr>
          <w:rFonts w:hint="eastAsia" w:ascii="仿宋_GB2312" w:hAnsi="仿宋_GB2312" w:eastAsia="仿宋_GB2312" w:cs="仿宋_GB2312"/>
          <w:sz w:val="32"/>
          <w:szCs w:val="32"/>
        </w:rPr>
      </w:pPr>
    </w:p>
    <w:p>
      <w:pPr>
        <w:pStyle w:val="4"/>
        <w:spacing w:before="101" w:line="624" w:lineRule="exact"/>
        <w:ind w:firstLine="4524" w:firstLineChars="1300"/>
        <w:rPr>
          <w:rFonts w:hint="eastAsia" w:ascii="仿宋_GB2312" w:hAnsi="仿宋_GB2312" w:eastAsia="仿宋_GB2312" w:cs="仿宋_GB2312"/>
          <w:sz w:val="32"/>
          <w:szCs w:val="32"/>
          <w:lang w:eastAsia="zh-CN"/>
        </w:rPr>
      </w:pPr>
      <w:r>
        <w:rPr>
          <w:rFonts w:hint="eastAsia" w:ascii="仿宋_GB2312" w:hAnsi="仿宋_GB2312" w:eastAsia="仿宋_GB2312" w:cs="仿宋_GB2312"/>
          <w:spacing w:val="14"/>
          <w:position w:val="23"/>
          <w:sz w:val="32"/>
          <w:szCs w:val="32"/>
        </w:rPr>
        <w:t>乡（村</w:t>
      </w:r>
      <w:r>
        <w:rPr>
          <w:rFonts w:hint="eastAsia" w:ascii="仿宋_GB2312" w:hAnsi="仿宋_GB2312" w:eastAsia="仿宋_GB2312" w:cs="仿宋_GB2312"/>
          <w:spacing w:val="-34"/>
          <w:position w:val="23"/>
          <w:sz w:val="32"/>
          <w:szCs w:val="32"/>
        </w:rPr>
        <w:t>）（</w:t>
      </w:r>
      <w:r>
        <w:rPr>
          <w:rFonts w:hint="eastAsia" w:ascii="仿宋_GB2312" w:hAnsi="仿宋_GB2312" w:eastAsia="仿宋_GB2312" w:cs="仿宋_GB2312"/>
          <w:spacing w:val="14"/>
          <w:position w:val="23"/>
          <w:sz w:val="32"/>
          <w:szCs w:val="32"/>
        </w:rPr>
        <w:t>盖章</w:t>
      </w:r>
      <w:r>
        <w:rPr>
          <w:rFonts w:hint="eastAsia" w:ascii="仿宋_GB2312" w:hAnsi="仿宋_GB2312" w:eastAsia="仿宋_GB2312" w:cs="仿宋_GB2312"/>
          <w:spacing w:val="14"/>
          <w:position w:val="23"/>
          <w:sz w:val="32"/>
          <w:szCs w:val="32"/>
          <w:lang w:eastAsia="zh-CN"/>
        </w:rPr>
        <w:t>）：</w:t>
      </w:r>
    </w:p>
    <w:p>
      <w:pPr>
        <w:pStyle w:val="4"/>
        <w:spacing w:before="1" w:line="222" w:lineRule="auto"/>
        <w:ind w:firstLine="5134" w:firstLineChars="1700"/>
        <w:rPr>
          <w:rFonts w:hint="eastAsia" w:ascii="仿宋_GB2312" w:hAnsi="仿宋_GB2312" w:eastAsia="仿宋_GB2312" w:cs="仿宋_GB2312"/>
          <w:sz w:val="32"/>
          <w:szCs w:val="32"/>
        </w:rPr>
      </w:pPr>
      <w:r>
        <w:rPr>
          <w:rFonts w:hint="eastAsia" w:ascii="仿宋_GB2312" w:hAnsi="仿宋_GB2312" w:eastAsia="仿宋_GB2312" w:cs="仿宋_GB2312"/>
          <w:spacing w:val="-9"/>
          <w:sz w:val="32"/>
          <w:szCs w:val="32"/>
        </w:rPr>
        <w:t>年</w:t>
      </w:r>
      <w:r>
        <w:rPr>
          <w:rFonts w:hint="eastAsia" w:ascii="仿宋_GB2312" w:hAnsi="仿宋_GB2312" w:eastAsia="仿宋_GB2312" w:cs="仿宋_GB2312"/>
          <w:spacing w:val="-9"/>
          <w:sz w:val="32"/>
          <w:szCs w:val="32"/>
          <w:lang w:val="en-US" w:eastAsia="zh-CN"/>
        </w:rPr>
        <w:t xml:space="preserve">  </w:t>
      </w:r>
      <w:r>
        <w:rPr>
          <w:rFonts w:hint="eastAsia" w:ascii="仿宋_GB2312" w:hAnsi="仿宋_GB2312" w:eastAsia="仿宋_GB2312" w:cs="仿宋_GB2312"/>
          <w:spacing w:val="-9"/>
          <w:sz w:val="32"/>
          <w:szCs w:val="32"/>
        </w:rPr>
        <w:t>月</w:t>
      </w:r>
      <w:r>
        <w:rPr>
          <w:rFonts w:hint="eastAsia" w:ascii="仿宋_GB2312" w:hAnsi="仿宋_GB2312" w:eastAsia="仿宋_GB2312" w:cs="仿宋_GB2312"/>
          <w:spacing w:val="-9"/>
          <w:sz w:val="32"/>
          <w:szCs w:val="32"/>
          <w:lang w:val="en-US" w:eastAsia="zh-CN"/>
        </w:rPr>
        <w:t xml:space="preserve">  </w:t>
      </w:r>
      <w:r>
        <w:rPr>
          <w:rFonts w:hint="eastAsia" w:ascii="仿宋_GB2312" w:hAnsi="仿宋_GB2312" w:eastAsia="仿宋_GB2312" w:cs="仿宋_GB2312"/>
          <w:spacing w:val="-9"/>
          <w:sz w:val="32"/>
          <w:szCs w:val="32"/>
        </w:rPr>
        <w:t>日</w:t>
      </w:r>
    </w:p>
    <w:p>
      <w:pPr>
        <w:spacing w:line="349" w:lineRule="auto"/>
        <w:rPr>
          <w:rFonts w:hint="eastAsia" w:ascii="仿宋_GB2312" w:hAnsi="仿宋_GB2312" w:eastAsia="仿宋_GB2312" w:cs="仿宋_GB2312"/>
          <w:sz w:val="32"/>
          <w:szCs w:val="32"/>
        </w:rPr>
      </w:pPr>
    </w:p>
    <w:p>
      <w:pPr>
        <w:spacing w:line="350" w:lineRule="auto"/>
        <w:rPr>
          <w:rFonts w:hint="eastAsia" w:ascii="仿宋_GB2312" w:hAnsi="仿宋_GB2312" w:eastAsia="仿宋_GB2312" w:cs="仿宋_GB2312"/>
          <w:sz w:val="32"/>
          <w:szCs w:val="32"/>
        </w:rPr>
      </w:pPr>
    </w:p>
    <w:p>
      <w:pPr>
        <w:pStyle w:val="4"/>
        <w:spacing w:before="101" w:line="222" w:lineRule="auto"/>
        <w:ind w:left="491"/>
        <w:rPr>
          <w:rFonts w:hint="eastAsia" w:ascii="仿宋_GB2312" w:hAnsi="仿宋_GB2312" w:eastAsia="仿宋_GB2312" w:cs="仿宋_GB2312"/>
          <w:sz w:val="32"/>
          <w:szCs w:val="32"/>
        </w:rPr>
      </w:pPr>
      <w:r>
        <w:rPr>
          <w:rFonts w:hint="eastAsia" w:ascii="仿宋_GB2312" w:hAnsi="仿宋_GB2312" w:eastAsia="仿宋_GB2312" w:cs="仿宋_GB2312"/>
          <w:spacing w:val="9"/>
          <w:sz w:val="32"/>
          <w:szCs w:val="32"/>
        </w:rPr>
        <w:t>（说明：此表原则上由乡村所有党员干部本人签字）</w:t>
      </w:r>
    </w:p>
    <w:p>
      <w:pPr>
        <w:spacing w:line="222" w:lineRule="auto"/>
        <w:rPr>
          <w:rFonts w:hint="eastAsia" w:ascii="仿宋_GB2312" w:hAnsi="仿宋_GB2312" w:eastAsia="仿宋_GB2312" w:cs="仿宋_GB2312"/>
          <w:sz w:val="32"/>
          <w:szCs w:val="32"/>
        </w:rPr>
        <w:sectPr>
          <w:footerReference r:id="rId5" w:type="default"/>
          <w:pgSz w:w="11906" w:h="16839"/>
          <w:pgMar w:top="1431" w:right="1785" w:bottom="1157" w:left="1785" w:header="0" w:footer="992" w:gutter="0"/>
          <w:pgNumType w:fmt="decimal"/>
          <w:cols w:space="720" w:num="1"/>
        </w:sectPr>
      </w:pPr>
    </w:p>
    <w:p>
      <w:pPr>
        <w:spacing w:before="162" w:line="230" w:lineRule="auto"/>
        <w:ind w:left="44"/>
        <w:rPr>
          <w:rFonts w:ascii="黑体" w:hAnsi="黑体" w:eastAsia="黑体" w:cs="黑体"/>
          <w:sz w:val="32"/>
          <w:szCs w:val="32"/>
        </w:rPr>
      </w:pPr>
      <w:r>
        <w:rPr>
          <w:rFonts w:ascii="黑体" w:hAnsi="黑体" w:eastAsia="黑体" w:cs="黑体"/>
          <w:spacing w:val="-4"/>
          <w:sz w:val="32"/>
          <w:szCs w:val="32"/>
        </w:rPr>
        <w:t>附件2</w:t>
      </w:r>
    </w:p>
    <w:p>
      <w:pPr>
        <w:spacing w:before="101" w:line="230" w:lineRule="auto"/>
        <w:jc w:val="center"/>
        <w:rPr>
          <w:rFonts w:hint="eastAsia" w:ascii="方正公文小标宋" w:hAnsi="方正公文小标宋" w:eastAsia="方正公文小标宋" w:cs="方正公文小标宋"/>
          <w:spacing w:val="-4"/>
          <w:sz w:val="44"/>
          <w:szCs w:val="44"/>
          <w:lang w:val="en-US" w:eastAsia="zh-CN"/>
        </w:rPr>
      </w:pPr>
      <w:r>
        <w:rPr>
          <w:rFonts w:hint="eastAsia" w:ascii="方正公文小标宋" w:hAnsi="方正公文小标宋" w:eastAsia="方正公文小标宋" w:cs="方正公文小标宋"/>
          <w:spacing w:val="-4"/>
          <w:sz w:val="44"/>
          <w:szCs w:val="44"/>
          <w:lang w:val="en-US" w:eastAsia="zh-CN"/>
        </w:rPr>
        <w:t>殡葬改革倡议书</w:t>
      </w:r>
    </w:p>
    <w:p>
      <w:pPr>
        <w:spacing w:line="342" w:lineRule="auto"/>
        <w:rPr>
          <w:rFonts w:ascii="Arial"/>
          <w:sz w:val="21"/>
        </w:rPr>
      </w:pPr>
    </w:p>
    <w:p>
      <w:pPr>
        <w:pStyle w:val="4"/>
        <w:keepNext w:val="0"/>
        <w:keepLines w:val="0"/>
        <w:pageBreakBefore w:val="0"/>
        <w:widowControl/>
        <w:kinsoku w:val="0"/>
        <w:wordWrap/>
        <w:overflowPunct/>
        <w:topLinePunct w:val="0"/>
        <w:autoSpaceDE w:val="0"/>
        <w:autoSpaceDN w:val="0"/>
        <w:bidi w:val="0"/>
        <w:adjustRightInd w:val="0"/>
        <w:snapToGrid w:val="0"/>
        <w:spacing w:line="560" w:lineRule="exact"/>
        <w:ind w:right="0"/>
        <w:jc w:val="both"/>
        <w:textAlignment w:val="baseline"/>
        <w:rPr>
          <w:rFonts w:hint="eastAsia" w:ascii="仿宋_GB2312" w:hAnsi="仿宋_GB2312" w:eastAsia="仿宋_GB2312" w:cs="仿宋_GB2312"/>
          <w:spacing w:val="0"/>
        </w:rPr>
      </w:pPr>
      <w:r>
        <w:rPr>
          <w:rFonts w:hint="eastAsia" w:ascii="仿宋_GB2312" w:hAnsi="仿宋_GB2312" w:eastAsia="仿宋_GB2312" w:cs="仿宋_GB2312"/>
          <w:spacing w:val="0"/>
        </w:rPr>
        <w:t>尊敬的广大人民群众、社会各界朋友：</w:t>
      </w:r>
    </w:p>
    <w:p>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20" w:firstLineChars="200"/>
        <w:jc w:val="both"/>
        <w:textAlignment w:val="baseline"/>
        <w:rPr>
          <w:rFonts w:hint="eastAsia" w:ascii="仿宋_GB2312" w:hAnsi="仿宋_GB2312" w:eastAsia="仿宋_GB2312" w:cs="仿宋_GB2312"/>
          <w:spacing w:val="0"/>
        </w:rPr>
      </w:pPr>
      <w:r>
        <w:rPr>
          <w:rFonts w:hint="eastAsia" w:ascii="仿宋_GB2312" w:hAnsi="仿宋_GB2312" w:eastAsia="仿宋_GB2312" w:cs="仿宋_GB2312"/>
          <w:spacing w:val="0"/>
        </w:rPr>
        <w:t>为进一步革除丧葬礼俗陋习，推进社会文明新风，促进和谐社会建设，传承传统美德，推动我县科学、文明、绿色殡葬改革，向广大人民群众、社会各界朋友发出如下倡议：</w:t>
      </w:r>
    </w:p>
    <w:p>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22" w:firstLineChars="200"/>
        <w:jc w:val="both"/>
        <w:textAlignment w:val="baseline"/>
        <w:rPr>
          <w:rFonts w:hint="eastAsia" w:ascii="仿宋_GB2312" w:hAnsi="仿宋_GB2312" w:eastAsia="仿宋_GB2312" w:cs="仿宋_GB2312"/>
          <w:spacing w:val="0"/>
        </w:rPr>
      </w:pPr>
      <w:r>
        <w:rPr>
          <w:rFonts w:hint="eastAsia" w:ascii="仿宋_GB2312" w:hAnsi="仿宋_GB2312" w:eastAsia="仿宋_GB2312" w:cs="仿宋_GB2312"/>
          <w:b/>
          <w:bCs/>
          <w:spacing w:val="0"/>
        </w:rPr>
        <w:t>1.倡议摈弃丧葬陋习，弘扬殡葬新风。</w:t>
      </w:r>
      <w:r>
        <w:rPr>
          <w:rFonts w:hint="eastAsia" w:ascii="仿宋_GB2312" w:hAnsi="仿宋_GB2312" w:eastAsia="仿宋_GB2312" w:cs="仿宋_GB2312"/>
          <w:spacing w:val="0"/>
        </w:rPr>
        <w:t>自觉抵制迷信低俗活动，文明治丧；遵守公共秩序，尊重他人合法权益，不在居民区、城区街道、公共场所搭建灵棚；自觉严格控制规模，丧事简办，弘扬厚养薄葬新风。</w:t>
      </w:r>
    </w:p>
    <w:p>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22" w:firstLineChars="200"/>
        <w:jc w:val="both"/>
        <w:textAlignment w:val="baseline"/>
        <w:rPr>
          <w:rFonts w:hint="eastAsia" w:ascii="仿宋_GB2312" w:hAnsi="仿宋_GB2312" w:eastAsia="仿宋_GB2312" w:cs="仿宋_GB2312"/>
          <w:spacing w:val="0"/>
        </w:rPr>
      </w:pPr>
      <w:r>
        <w:rPr>
          <w:rFonts w:hint="eastAsia" w:ascii="仿宋_GB2312" w:hAnsi="仿宋_GB2312" w:eastAsia="仿宋_GB2312" w:cs="仿宋_GB2312"/>
          <w:b/>
          <w:bCs/>
          <w:spacing w:val="0"/>
        </w:rPr>
        <w:t>2.倡议实施生态安葬，保护生态环境。</w:t>
      </w:r>
      <w:r>
        <w:rPr>
          <w:rFonts w:hint="eastAsia" w:ascii="仿宋_GB2312" w:hAnsi="仿宋_GB2312" w:eastAsia="仿宋_GB2312" w:cs="仿宋_GB2312"/>
          <w:spacing w:val="0"/>
        </w:rPr>
        <w:t>亲属去世后自觉对遗体实行火化，自觉将骨灰在公墓或骨灰堂内集中安葬，不乱埋乱葬。主动实行生态安葬，倡导骨灰存放、树葬、花葬、草坪葬等节地葬法，积极参与骨灰撒散、深埋、不留坟头。</w:t>
      </w:r>
    </w:p>
    <w:p>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22" w:firstLineChars="200"/>
        <w:jc w:val="both"/>
        <w:textAlignment w:val="baseline"/>
        <w:rPr>
          <w:rFonts w:hint="eastAsia" w:ascii="仿宋_GB2312" w:hAnsi="仿宋_GB2312" w:eastAsia="仿宋_GB2312" w:cs="仿宋_GB2312"/>
          <w:spacing w:val="0"/>
        </w:rPr>
      </w:pPr>
      <w:r>
        <w:rPr>
          <w:rFonts w:hint="eastAsia" w:ascii="仿宋_GB2312" w:hAnsi="仿宋_GB2312" w:eastAsia="仿宋_GB2312" w:cs="仿宋_GB2312"/>
          <w:b/>
          <w:bCs/>
          <w:spacing w:val="0"/>
        </w:rPr>
        <w:t>3.倡议实行低碳祭扫，传承先进文化。</w:t>
      </w:r>
      <w:r>
        <w:rPr>
          <w:rFonts w:hint="eastAsia" w:ascii="仿宋_GB2312" w:hAnsi="仿宋_GB2312" w:eastAsia="仿宋_GB2312" w:cs="仿宋_GB2312"/>
          <w:spacing w:val="0"/>
        </w:rPr>
        <w:t>自觉实行文明祭奠、低碳祭扫，主动采用敬献鲜花、植树绿化、踏青遥祭</w:t>
      </w:r>
      <w:r>
        <w:rPr>
          <w:rFonts w:hint="eastAsia" w:ascii="仿宋_GB2312" w:hAnsi="仿宋_GB2312" w:eastAsia="仿宋_GB2312" w:cs="仿宋_GB2312"/>
          <w:spacing w:val="0"/>
          <w:lang w:eastAsia="zh-CN"/>
        </w:rPr>
        <w:t>、</w:t>
      </w:r>
      <w:r>
        <w:rPr>
          <w:rFonts w:hint="eastAsia" w:ascii="仿宋_GB2312" w:hAnsi="仿宋_GB2312" w:eastAsia="仿宋_GB2312" w:cs="仿宋_GB2312"/>
          <w:spacing w:val="0"/>
        </w:rPr>
        <w:t>经典诵读等方式缅怀故人，弘扬慎终追远等优秀传统文化</w:t>
      </w:r>
      <w:r>
        <w:rPr>
          <w:rFonts w:hint="eastAsia" w:ascii="仿宋_GB2312" w:hAnsi="仿宋_GB2312" w:eastAsia="仿宋_GB2312" w:cs="仿宋_GB2312"/>
          <w:spacing w:val="0"/>
          <w:lang w:eastAsia="zh-CN"/>
        </w:rPr>
        <w:t>，</w:t>
      </w:r>
      <w:r>
        <w:rPr>
          <w:rFonts w:hint="eastAsia" w:ascii="仿宋_GB2312" w:hAnsi="仿宋_GB2312" w:eastAsia="仿宋_GB2312" w:cs="仿宋_GB2312"/>
          <w:spacing w:val="0"/>
        </w:rPr>
        <w:t>不在林区、景区等禁火区域焚烧纸钱、燃放鞭炮。</w:t>
      </w:r>
    </w:p>
    <w:p>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22" w:firstLineChars="200"/>
        <w:jc w:val="both"/>
        <w:textAlignment w:val="baseline"/>
        <w:rPr>
          <w:rFonts w:hint="eastAsia" w:ascii="仿宋_GB2312" w:hAnsi="仿宋_GB2312" w:eastAsia="仿宋_GB2312" w:cs="仿宋_GB2312"/>
          <w:spacing w:val="0"/>
        </w:rPr>
        <w:sectPr>
          <w:footerReference r:id="rId6" w:type="default"/>
          <w:pgSz w:w="11906" w:h="16839"/>
          <w:pgMar w:top="1431" w:right="1785" w:bottom="1157" w:left="1785" w:header="0" w:footer="992" w:gutter="0"/>
          <w:pgNumType w:fmt="decimal"/>
          <w:cols w:space="720" w:num="1"/>
        </w:sectPr>
      </w:pPr>
      <w:r>
        <w:rPr>
          <w:rFonts w:hint="eastAsia" w:ascii="仿宋_GB2312" w:hAnsi="仿宋_GB2312" w:eastAsia="仿宋_GB2312" w:cs="仿宋_GB2312"/>
          <w:b/>
          <w:bCs/>
          <w:spacing w:val="0"/>
        </w:rPr>
        <w:t>4.积极宣传殡葬政策，发挥模范作用。</w:t>
      </w:r>
      <w:r>
        <w:rPr>
          <w:rFonts w:hint="eastAsia" w:ascii="仿宋_GB2312" w:hAnsi="仿宋_GB2312" w:eastAsia="仿宋_GB2312" w:cs="仿宋_GB2312"/>
          <w:spacing w:val="0"/>
        </w:rPr>
        <w:t>积极主动宣传殡葬改革政策，加强对亲属、朋友和周围群众的教育引导</w:t>
      </w:r>
      <w:r>
        <w:rPr>
          <w:rFonts w:hint="eastAsia" w:ascii="仿宋_GB2312" w:hAnsi="仿宋_GB2312" w:eastAsia="仿宋_GB2312" w:cs="仿宋_GB2312"/>
          <w:spacing w:val="0"/>
          <w:lang w:eastAsia="zh-CN"/>
        </w:rPr>
        <w:t>，</w:t>
      </w:r>
      <w:r>
        <w:rPr>
          <w:rFonts w:hint="eastAsia" w:ascii="仿宋_GB2312" w:hAnsi="仿宋_GB2312" w:eastAsia="仿宋_GB2312" w:cs="仿宋_GB2312"/>
          <w:spacing w:val="0"/>
        </w:rPr>
        <w:t>及时劝阻不良治丧行为</w:t>
      </w:r>
      <w:r>
        <w:rPr>
          <w:rFonts w:hint="eastAsia" w:ascii="仿宋_GB2312" w:hAnsi="仿宋_GB2312" w:eastAsia="仿宋_GB2312" w:cs="仿宋_GB2312"/>
          <w:spacing w:val="0"/>
          <w:lang w:eastAsia="zh-CN"/>
        </w:rPr>
        <w:t>，</w:t>
      </w:r>
      <w:r>
        <w:rPr>
          <w:rFonts w:hint="eastAsia" w:ascii="仿宋_GB2312" w:hAnsi="仿宋_GB2312" w:eastAsia="仿宋_GB2312" w:cs="仿宋_GB2312"/>
          <w:spacing w:val="0"/>
        </w:rPr>
        <w:t>抵制陈规陋俗和封建迷信活动，加强对直系亲属和身边工作人员丧事活动的约束，对不良倾向和苗头性问题，做到早提醒、早制止、早纠正。</w:t>
      </w:r>
    </w:p>
    <w:p>
      <w:pPr>
        <w:spacing w:before="162" w:line="230" w:lineRule="auto"/>
        <w:rPr>
          <w:rFonts w:ascii="黑体" w:hAnsi="黑体" w:eastAsia="黑体" w:cs="黑体"/>
          <w:spacing w:val="0"/>
          <w:sz w:val="32"/>
          <w:szCs w:val="32"/>
        </w:rPr>
      </w:pPr>
      <w:r>
        <w:rPr>
          <w:rFonts w:ascii="黑体" w:hAnsi="黑体" w:eastAsia="黑体" w:cs="黑体"/>
          <w:spacing w:val="0"/>
          <w:sz w:val="32"/>
          <w:szCs w:val="32"/>
        </w:rPr>
        <w:t>附件3</w:t>
      </w:r>
    </w:p>
    <w:p>
      <w:pPr>
        <w:spacing w:before="101" w:line="230" w:lineRule="auto"/>
        <w:jc w:val="center"/>
        <w:rPr>
          <w:rFonts w:hint="eastAsia" w:ascii="方正公文小标宋" w:hAnsi="方正公文小标宋" w:eastAsia="方正公文小标宋" w:cs="方正公文小标宋"/>
          <w:spacing w:val="0"/>
          <w:sz w:val="44"/>
          <w:szCs w:val="44"/>
          <w:lang w:val="en-US" w:eastAsia="zh-CN"/>
        </w:rPr>
      </w:pPr>
      <w:r>
        <w:rPr>
          <w:rFonts w:hint="eastAsia" w:ascii="方正公文小标宋" w:hAnsi="方正公文小标宋" w:eastAsia="方正公文小标宋" w:cs="方正公文小标宋"/>
          <w:spacing w:val="0"/>
          <w:sz w:val="44"/>
          <w:szCs w:val="44"/>
          <w:lang w:val="en-US" w:eastAsia="zh-CN"/>
        </w:rPr>
        <w:t>殡葬改革工作突出问题整治工作承诺书</w:t>
      </w:r>
    </w:p>
    <w:p>
      <w:pPr>
        <w:pStyle w:val="4"/>
        <w:keepNext w:val="0"/>
        <w:keepLines w:val="0"/>
        <w:pageBreakBefore w:val="0"/>
        <w:widowControl/>
        <w:kinsoku w:val="0"/>
        <w:wordWrap/>
        <w:overflowPunct/>
        <w:topLinePunct w:val="0"/>
        <w:autoSpaceDE w:val="0"/>
        <w:autoSpaceDN w:val="0"/>
        <w:bidi w:val="0"/>
        <w:adjustRightInd w:val="0"/>
        <w:snapToGrid w:val="0"/>
        <w:spacing w:line="560" w:lineRule="exact"/>
        <w:ind w:right="0"/>
        <w:jc w:val="both"/>
        <w:textAlignment w:val="baseline"/>
        <w:rPr>
          <w:rFonts w:hint="eastAsia" w:ascii="仿宋_GB2312" w:hAnsi="仿宋_GB2312" w:eastAsia="仿宋_GB2312" w:cs="仿宋_GB2312"/>
          <w:spacing w:val="0"/>
          <w:sz w:val="32"/>
          <w:szCs w:val="32"/>
        </w:rPr>
      </w:pPr>
    </w:p>
    <w:p>
      <w:pPr>
        <w:pStyle w:val="4"/>
        <w:keepNext w:val="0"/>
        <w:keepLines w:val="0"/>
        <w:pageBreakBefore w:val="0"/>
        <w:widowControl/>
        <w:kinsoku w:val="0"/>
        <w:wordWrap/>
        <w:overflowPunct/>
        <w:topLinePunct w:val="0"/>
        <w:autoSpaceDE w:val="0"/>
        <w:autoSpaceDN w:val="0"/>
        <w:bidi w:val="0"/>
        <w:adjustRightInd w:val="0"/>
        <w:snapToGrid w:val="0"/>
        <w:spacing w:line="560" w:lineRule="exact"/>
        <w:ind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为全面落实县委</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县政府布置的殡葬改革突出问题整治工作任务，扎实推进我县殡葬改革工作高质量发展，认真履行属地管理主体责任，现向乡党委、政府承诺如下：</w:t>
      </w:r>
    </w:p>
    <w:p>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3"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1.提高政治站位，强化组织领导。</w:t>
      </w:r>
      <w:r>
        <w:rPr>
          <w:rFonts w:hint="eastAsia" w:ascii="仿宋_GB2312" w:hAnsi="仿宋_GB2312" w:eastAsia="仿宋_GB2312" w:cs="仿宋_GB2312"/>
          <w:spacing w:val="0"/>
          <w:sz w:val="32"/>
          <w:szCs w:val="32"/>
        </w:rPr>
        <w:t>切实提高思想认识，提高政治站位，成立由主要负责人任组长的殡葬改革突出问题专项整治工作领导小组，做到主要领导亲自抓，定期召开工作调度会，将殡葬改革工作作为一项重要工作列入日程，确保各项任务落到实处。</w:t>
      </w:r>
    </w:p>
    <w:p>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3"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2.认真履行职责，严肃责任追究</w:t>
      </w:r>
      <w:r>
        <w:rPr>
          <w:rFonts w:hint="eastAsia" w:ascii="仿宋_GB2312" w:hAnsi="仿宋_GB2312" w:eastAsia="仿宋_GB2312" w:cs="仿宋_GB2312"/>
          <w:b/>
          <w:bCs/>
          <w:spacing w:val="0"/>
          <w:sz w:val="32"/>
          <w:szCs w:val="32"/>
          <w:lang w:eastAsia="zh-CN"/>
        </w:rPr>
        <w:t>。</w:t>
      </w:r>
      <w:r>
        <w:rPr>
          <w:rFonts w:hint="eastAsia" w:ascii="仿宋_GB2312" w:hAnsi="仿宋_GB2312" w:eastAsia="仿宋_GB2312" w:cs="仿宋_GB2312"/>
          <w:spacing w:val="0"/>
          <w:sz w:val="32"/>
          <w:szCs w:val="32"/>
        </w:rPr>
        <w:t>认真履行属地管理工作主体责任</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充分发挥党员干部和行业人员带头引导作用</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严格执行殡葬工作的有关政策，加强对党员干部和殡葬行业从业人员管理，发现党员干部存在违反殡葬改革政策或其他违规违纪突出问题的</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及时移交纪检部门处理，绝不姑息护短。</w:t>
      </w:r>
    </w:p>
    <w:p>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3"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3.坚持问题导向，深化专项治理。</w:t>
      </w:r>
      <w:r>
        <w:rPr>
          <w:rFonts w:hint="eastAsia" w:ascii="仿宋_GB2312" w:hAnsi="仿宋_GB2312" w:eastAsia="仿宋_GB2312" w:cs="仿宋_GB2312"/>
          <w:spacing w:val="0"/>
          <w:sz w:val="32"/>
          <w:szCs w:val="32"/>
        </w:rPr>
        <w:t>按“领导带头、明确职责、压实责任、奖罚分明、强化宣传”的思路推动整改工作。对“三沿六区”发现的新增散埋乱葬、大墓、豪华墓、活人墓等问题</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建立问题整改台账，落实整治工作责任，明确工作时限；对骨灰堂使用率低的问题，按照“五个一批”（政府兜底保障对象使用一批、重大工程搬迁安置一批、党员干部带头消化一批</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动员群众安放一批、为将来预留一批）工作举措强化骨灰堂的使用；针对摸排出的问题做到销号整改。</w:t>
      </w:r>
    </w:p>
    <w:p>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3"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4.坚持标本兼治，健全长效机制。</w:t>
      </w:r>
      <w:r>
        <w:rPr>
          <w:rFonts w:hint="eastAsia" w:ascii="仿宋_GB2312" w:hAnsi="仿宋_GB2312" w:eastAsia="仿宋_GB2312" w:cs="仿宋_GB2312"/>
          <w:spacing w:val="0"/>
          <w:sz w:val="32"/>
          <w:szCs w:val="32"/>
        </w:rPr>
        <w:t>认真研判存在的问题和原因，找准管理漏洞及工作落实中的薄弱环节。建立健全殡葬管理制度，强化源头治理和日常巡查。对殡葬信息联络员、村居信息员及风水先生等殡葬行业从业人员管理，对上报信息不及时、漏报、瞒报及风水先生违规乱选址的严肃追究当事人责任，涉及违法乱纪行为的主动移交纪检部门处理，形成内部监管长效机制。</w:t>
      </w:r>
    </w:p>
    <w:p>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3"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b/>
          <w:bCs/>
          <w:spacing w:val="0"/>
          <w:sz w:val="32"/>
          <w:szCs w:val="32"/>
        </w:rPr>
        <w:t>5.强化日常管理，落实奖惩措施。</w:t>
      </w:r>
      <w:r>
        <w:rPr>
          <w:rFonts w:hint="eastAsia" w:ascii="仿宋_GB2312" w:hAnsi="仿宋_GB2312" w:eastAsia="仿宋_GB2312" w:cs="仿宋_GB2312"/>
          <w:spacing w:val="0"/>
          <w:sz w:val="32"/>
          <w:szCs w:val="32"/>
        </w:rPr>
        <w:t>严格按照兴国县殡葬改革工作考评细则，认真对照考评指标内容落实各项工作，压实压细各项工作举措，积极主动的开展工作，主动接受因工作不到位而发生的扣分、通报及取消评先评优资格等奖惩措施。</w:t>
      </w:r>
    </w:p>
    <w:p>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本承诺书一式两份，村留档一份，10月10日前经村党组织书记签字并加盖公章上报乡殡葬改革工作领导小组办公室备案一份。</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z w:val="32"/>
          <w:szCs w:val="32"/>
        </w:rPr>
      </w:pPr>
    </w:p>
    <w:p>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3360" w:firstLineChars="10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8"/>
          <w:sz w:val="32"/>
          <w:szCs w:val="32"/>
        </w:rPr>
        <w:t>村党组织书记（签字</w:t>
      </w:r>
      <w:r>
        <w:rPr>
          <w:rFonts w:hint="eastAsia" w:ascii="仿宋_GB2312" w:hAnsi="仿宋_GB2312" w:eastAsia="仿宋_GB2312" w:cs="仿宋_GB2312"/>
          <w:spacing w:val="2"/>
          <w:sz w:val="32"/>
          <w:szCs w:val="32"/>
        </w:rPr>
        <w:t>）：</w:t>
      </w:r>
    </w:p>
    <w:p>
      <w:pPr>
        <w:pStyle w:val="4"/>
        <w:keepNext w:val="0"/>
        <w:keepLines w:val="0"/>
        <w:pageBreakBefore w:val="0"/>
        <w:widowControl/>
        <w:kinsoku w:val="0"/>
        <w:wordWrap/>
        <w:overflowPunct/>
        <w:topLinePunct w:val="0"/>
        <w:autoSpaceDE w:val="0"/>
        <w:autoSpaceDN w:val="0"/>
        <w:bidi w:val="0"/>
        <w:adjustRightInd w:val="0"/>
        <w:snapToGrid w:val="0"/>
        <w:spacing w:line="560" w:lineRule="exact"/>
        <w:ind w:right="0" w:firstLine="3652" w:firstLineChars="1100"/>
        <w:jc w:val="both"/>
        <w:textAlignment w:val="baseline"/>
        <w:rPr>
          <w:rFonts w:hint="eastAsia" w:ascii="仿宋_GB2312" w:hAnsi="仿宋_GB2312" w:eastAsia="仿宋_GB2312" w:cs="仿宋_GB2312"/>
          <w:spacing w:val="6"/>
          <w:sz w:val="32"/>
          <w:szCs w:val="32"/>
        </w:rPr>
      </w:pPr>
    </w:p>
    <w:p>
      <w:pPr>
        <w:pStyle w:val="4"/>
        <w:keepNext w:val="0"/>
        <w:keepLines w:val="0"/>
        <w:pageBreakBefore w:val="0"/>
        <w:widowControl/>
        <w:kinsoku w:val="0"/>
        <w:wordWrap/>
        <w:overflowPunct/>
        <w:topLinePunct w:val="0"/>
        <w:autoSpaceDE w:val="0"/>
        <w:autoSpaceDN w:val="0"/>
        <w:bidi w:val="0"/>
        <w:adjustRightInd w:val="0"/>
        <w:snapToGrid w:val="0"/>
        <w:spacing w:line="560" w:lineRule="exact"/>
        <w:ind w:right="0" w:firstLine="4980" w:firstLineChars="1500"/>
        <w:jc w:val="both"/>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pacing w:val="6"/>
          <w:sz w:val="32"/>
          <w:szCs w:val="32"/>
        </w:rPr>
        <w:t>村（盖章）</w:t>
      </w:r>
      <w:r>
        <w:rPr>
          <w:rFonts w:hint="eastAsia" w:ascii="仿宋_GB2312" w:hAnsi="仿宋_GB2312" w:eastAsia="仿宋_GB2312" w:cs="仿宋_GB2312"/>
          <w:spacing w:val="6"/>
          <w:sz w:val="32"/>
          <w:szCs w:val="32"/>
          <w:lang w:eastAsia="zh-CN"/>
        </w:rPr>
        <w:t>：</w:t>
      </w:r>
    </w:p>
    <w:p>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134" w:firstLineChars="17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9"/>
          <w:sz w:val="32"/>
          <w:szCs w:val="32"/>
        </w:rPr>
        <w:t>年</w:t>
      </w:r>
      <w:r>
        <w:rPr>
          <w:rFonts w:hint="eastAsia" w:ascii="仿宋_GB2312" w:hAnsi="仿宋_GB2312" w:eastAsia="仿宋_GB2312" w:cs="仿宋_GB2312"/>
          <w:spacing w:val="-9"/>
          <w:sz w:val="32"/>
          <w:szCs w:val="32"/>
          <w:lang w:val="en-US" w:eastAsia="zh-CN"/>
        </w:rPr>
        <w:t xml:space="preserve">   </w:t>
      </w:r>
      <w:r>
        <w:rPr>
          <w:rFonts w:hint="eastAsia" w:ascii="仿宋_GB2312" w:hAnsi="仿宋_GB2312" w:eastAsia="仿宋_GB2312" w:cs="仿宋_GB2312"/>
          <w:spacing w:val="-9"/>
          <w:sz w:val="32"/>
          <w:szCs w:val="32"/>
        </w:rPr>
        <w:t>月</w:t>
      </w:r>
      <w:r>
        <w:rPr>
          <w:rFonts w:hint="eastAsia" w:ascii="仿宋_GB2312" w:hAnsi="仿宋_GB2312" w:eastAsia="仿宋_GB2312" w:cs="仿宋_GB2312"/>
          <w:spacing w:val="-9"/>
          <w:sz w:val="32"/>
          <w:szCs w:val="32"/>
          <w:lang w:val="en-US" w:eastAsia="zh-CN"/>
        </w:rPr>
        <w:t xml:space="preserve">   </w:t>
      </w:r>
      <w:r>
        <w:rPr>
          <w:rFonts w:hint="eastAsia" w:ascii="仿宋_GB2312" w:hAnsi="仿宋_GB2312" w:eastAsia="仿宋_GB2312" w:cs="仿宋_GB2312"/>
          <w:spacing w:val="-9"/>
          <w:sz w:val="32"/>
          <w:szCs w:val="32"/>
        </w:rPr>
        <w:t>日</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仿宋_GB2312" w:hAnsi="仿宋_GB2312" w:eastAsia="仿宋_GB2312" w:cs="仿宋_GB2312"/>
          <w:sz w:val="32"/>
          <w:szCs w:val="32"/>
        </w:rPr>
        <w:sectPr>
          <w:footerReference r:id="rId7" w:type="default"/>
          <w:pgSz w:w="11906" w:h="16839"/>
          <w:pgMar w:top="1431" w:right="1591" w:bottom="1156" w:left="1593" w:header="0" w:footer="991" w:gutter="0"/>
          <w:pgNumType w:fmt="decimal"/>
          <w:cols w:space="720" w:num="1"/>
        </w:sectPr>
      </w:pPr>
    </w:p>
    <w:p>
      <w:pPr>
        <w:spacing w:before="162" w:line="230" w:lineRule="auto"/>
        <w:ind w:left="44"/>
        <w:rPr>
          <w:rFonts w:ascii="黑体" w:hAnsi="黑体" w:eastAsia="黑体" w:cs="黑体"/>
          <w:sz w:val="32"/>
          <w:szCs w:val="32"/>
        </w:rPr>
      </w:pPr>
      <w:r>
        <w:rPr>
          <w:rFonts w:ascii="黑体" w:hAnsi="黑体" w:eastAsia="黑体" w:cs="黑体"/>
          <w:spacing w:val="-4"/>
          <w:sz w:val="32"/>
          <w:szCs w:val="32"/>
        </w:rPr>
        <w:t>附件4</w:t>
      </w:r>
    </w:p>
    <w:p>
      <w:pPr>
        <w:keepNext w:val="0"/>
        <w:keepLines w:val="0"/>
        <w:pageBreakBefore w:val="0"/>
        <w:kinsoku/>
        <w:wordWrap/>
        <w:overflowPunct/>
        <w:topLinePunct w:val="0"/>
        <w:autoSpaceDE/>
        <w:autoSpaceDN/>
        <w:bidi w:val="0"/>
        <w:adjustRightInd/>
        <w:snapToGrid/>
        <w:spacing w:line="560" w:lineRule="exact"/>
        <w:jc w:val="both"/>
        <w:textAlignment w:val="auto"/>
        <w:rPr>
          <w:rFonts w:hint="default" w:ascii="黑体" w:hAnsi="黑体" w:eastAsia="黑体" w:cs="黑体"/>
          <w:color w:val="auto"/>
          <w:sz w:val="32"/>
          <w:szCs w:val="32"/>
          <w:lang w:val="en-US" w:eastAsia="zh-CN"/>
        </w:rPr>
      </w:pPr>
    </w:p>
    <w:p>
      <w:pPr>
        <w:spacing w:before="101" w:line="230" w:lineRule="auto"/>
        <w:jc w:val="center"/>
        <w:rPr>
          <w:rFonts w:hint="eastAsia" w:ascii="方正公文小标宋" w:hAnsi="方正公文小标宋" w:eastAsia="方正公文小标宋" w:cs="方正公文小标宋"/>
          <w:spacing w:val="-4"/>
          <w:sz w:val="44"/>
          <w:szCs w:val="44"/>
          <w:lang w:val="en-US" w:eastAsia="zh-CN"/>
        </w:rPr>
      </w:pPr>
      <w:r>
        <w:rPr>
          <w:rFonts w:hint="eastAsia" w:ascii="方正公文小标宋" w:hAnsi="方正公文小标宋" w:eastAsia="方正公文小标宋" w:cs="方正公文小标宋"/>
          <w:spacing w:val="-4"/>
          <w:sz w:val="44"/>
          <w:szCs w:val="44"/>
          <w:lang w:val="en-US" w:eastAsia="zh-CN"/>
        </w:rPr>
        <w:t>骨灰去向周报告制度</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强化殡葬信息统计，建立基层殡葬信息员网格化管理制度及每日殡葬信息源采集、报告和预警机制，村（居）殡葬信息员（由各村民政干部兼任）负责建立死亡人员信息台账，每日将骨灰去向登记表报送至乡殡葬信息员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2.乡（镇、区）要安排殡葬联络员（由各乡镇民政助理员兼任），强化殡葬信息统计，根据各村上报信息建立骨灰去向跟踪台账并做好统计周报表，并将骨灰去向周报表每周五上午12：00前上报县殡改办。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乡殡改办落实好核实督查，根据县殡仪馆每日反馈遗体火化人员名单，逐一核实各村上报骨灰去向跟踪情况，并建立工作台账，发现问题及时反馈村予以整改；乡殡改办实行每月内部调度，定期召开工作调度会，解决现实面临的难点、重点问题，通报各村工作落实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sectPr>
          <w:pgSz w:w="11906" w:h="16838"/>
          <w:pgMar w:top="1587" w:right="1587" w:bottom="1587" w:left="1587" w:header="851" w:footer="992" w:gutter="0"/>
          <w:pgNumType w:fmt="decimal"/>
          <w:cols w:space="720" w:num="1"/>
          <w:docGrid w:type="lines" w:linePitch="312" w:charSpace="0"/>
        </w:sectPr>
      </w:pPr>
    </w:p>
    <w:p>
      <w:pPr>
        <w:spacing w:before="101" w:line="230" w:lineRule="auto"/>
        <w:rPr>
          <w:rFonts w:ascii="黑体" w:hAnsi="黑体" w:eastAsia="黑体" w:cs="黑体"/>
          <w:sz w:val="32"/>
          <w:szCs w:val="32"/>
        </w:rPr>
      </w:pPr>
      <w:r>
        <w:rPr>
          <w:rFonts w:ascii="黑体" w:hAnsi="黑体" w:eastAsia="黑体" w:cs="黑体"/>
          <w:spacing w:val="-4"/>
          <w:sz w:val="32"/>
          <w:szCs w:val="32"/>
        </w:rPr>
        <w:t>附件5</w:t>
      </w:r>
    </w:p>
    <w:p>
      <w:pPr>
        <w:spacing w:before="101" w:line="230" w:lineRule="auto"/>
        <w:jc w:val="center"/>
        <w:rPr>
          <w:rFonts w:hint="eastAsia" w:ascii="方正公文小标宋" w:hAnsi="方正公文小标宋" w:eastAsia="方正公文小标宋" w:cs="方正公文小标宋"/>
          <w:spacing w:val="-4"/>
          <w:sz w:val="44"/>
          <w:szCs w:val="44"/>
        </w:rPr>
      </w:pPr>
      <w:r>
        <w:rPr>
          <w:rFonts w:hint="eastAsia" w:ascii="方正公文小标宋" w:hAnsi="方正公文小标宋" w:eastAsia="方正公文小标宋" w:cs="方正公文小标宋"/>
          <w:spacing w:val="-4"/>
          <w:sz w:val="44"/>
          <w:szCs w:val="44"/>
          <w:lang w:eastAsia="zh-CN"/>
        </w:rPr>
        <w:t>枫边乡</w:t>
      </w:r>
      <w:r>
        <w:rPr>
          <w:rFonts w:hint="eastAsia" w:ascii="方正公文小标宋" w:hAnsi="方正公文小标宋" w:eastAsia="方正公文小标宋" w:cs="方正公文小标宋"/>
          <w:spacing w:val="-4"/>
          <w:sz w:val="44"/>
          <w:szCs w:val="44"/>
          <w:lang w:val="en-US" w:eastAsia="zh-CN"/>
        </w:rPr>
        <w:t>XX村</w:t>
      </w:r>
      <w:r>
        <w:rPr>
          <w:rFonts w:hint="eastAsia" w:ascii="方正公文小标宋" w:hAnsi="方正公文小标宋" w:eastAsia="方正公文小标宋" w:cs="方正公文小标宋"/>
          <w:spacing w:val="-4"/>
          <w:sz w:val="44"/>
          <w:szCs w:val="44"/>
        </w:rPr>
        <w:t>“三沿六区”散埋乱葬坟墓摸底表</w:t>
      </w:r>
    </w:p>
    <w:p>
      <w:pPr>
        <w:spacing w:before="182"/>
        <w:rPr>
          <w:rFonts w:hint="default" w:eastAsia="宋体"/>
          <w:lang w:val="en-US" w:eastAsia="zh-CN"/>
        </w:rPr>
      </w:pPr>
      <w:r>
        <w:rPr>
          <w:rFonts w:hint="eastAsia" w:eastAsia="宋体"/>
          <w:lang w:eastAsia="zh-CN"/>
        </w:rPr>
        <w:t>填报单位（盖章）：</w:t>
      </w:r>
      <w:r>
        <w:rPr>
          <w:rFonts w:hint="eastAsia" w:eastAsia="宋体"/>
          <w:lang w:val="en-US" w:eastAsia="zh-CN"/>
        </w:rPr>
        <w:t>填报时间：年月日</w:t>
      </w:r>
    </w:p>
    <w:tbl>
      <w:tblPr>
        <w:tblStyle w:val="11"/>
        <w:tblW w:w="1417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0"/>
        <w:gridCol w:w="1415"/>
        <w:gridCol w:w="1176"/>
        <w:gridCol w:w="1176"/>
        <w:gridCol w:w="1415"/>
        <w:gridCol w:w="1655"/>
        <w:gridCol w:w="1622"/>
        <w:gridCol w:w="906"/>
        <w:gridCol w:w="1173"/>
        <w:gridCol w:w="1176"/>
        <w:gridCol w:w="176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9" w:hRule="atLeast"/>
        </w:trPr>
        <w:tc>
          <w:tcPr>
            <w:tcW w:w="700" w:type="dxa"/>
            <w:vAlign w:val="top"/>
          </w:tcPr>
          <w:p>
            <w:pPr>
              <w:spacing w:before="274" w:line="221" w:lineRule="auto"/>
              <w:ind w:left="116"/>
              <w:rPr>
                <w:rFonts w:ascii="宋体" w:hAnsi="宋体" w:eastAsia="宋体" w:cs="宋体"/>
                <w:sz w:val="24"/>
                <w:szCs w:val="24"/>
              </w:rPr>
            </w:pPr>
            <w:r>
              <w:rPr>
                <w:rFonts w:ascii="宋体" w:hAnsi="宋体" w:eastAsia="宋体" w:cs="宋体"/>
                <w:spacing w:val="-5"/>
                <w:sz w:val="24"/>
                <w:szCs w:val="24"/>
              </w:rPr>
              <w:t>序号</w:t>
            </w:r>
          </w:p>
        </w:tc>
        <w:tc>
          <w:tcPr>
            <w:tcW w:w="1415" w:type="dxa"/>
            <w:vAlign w:val="top"/>
          </w:tcPr>
          <w:p>
            <w:pPr>
              <w:spacing w:before="275" w:line="219" w:lineRule="auto"/>
              <w:ind w:left="113"/>
              <w:rPr>
                <w:rFonts w:ascii="宋体" w:hAnsi="宋体" w:eastAsia="宋体" w:cs="宋体"/>
                <w:sz w:val="24"/>
                <w:szCs w:val="24"/>
              </w:rPr>
            </w:pPr>
            <w:r>
              <w:rPr>
                <w:rFonts w:ascii="宋体" w:hAnsi="宋体" w:eastAsia="宋体" w:cs="宋体"/>
                <w:spacing w:val="-2"/>
                <w:sz w:val="24"/>
                <w:szCs w:val="24"/>
              </w:rPr>
              <w:t>坟墓权属人</w:t>
            </w:r>
          </w:p>
        </w:tc>
        <w:tc>
          <w:tcPr>
            <w:tcW w:w="1176" w:type="dxa"/>
            <w:vAlign w:val="top"/>
          </w:tcPr>
          <w:p>
            <w:pPr>
              <w:spacing w:before="275" w:line="219" w:lineRule="auto"/>
              <w:ind w:left="116"/>
              <w:rPr>
                <w:rFonts w:ascii="宋体" w:hAnsi="宋体" w:eastAsia="宋体" w:cs="宋体"/>
                <w:sz w:val="24"/>
                <w:szCs w:val="24"/>
              </w:rPr>
            </w:pPr>
            <w:r>
              <w:rPr>
                <w:rFonts w:ascii="宋体" w:hAnsi="宋体" w:eastAsia="宋体" w:cs="宋体"/>
                <w:spacing w:val="-3"/>
                <w:sz w:val="24"/>
                <w:szCs w:val="24"/>
              </w:rPr>
              <w:t>后人姓名</w:t>
            </w:r>
          </w:p>
        </w:tc>
        <w:tc>
          <w:tcPr>
            <w:tcW w:w="1176" w:type="dxa"/>
            <w:vAlign w:val="top"/>
          </w:tcPr>
          <w:p>
            <w:pPr>
              <w:spacing w:before="274" w:line="221" w:lineRule="auto"/>
              <w:ind w:left="115"/>
              <w:rPr>
                <w:rFonts w:ascii="宋体" w:hAnsi="宋体" w:eastAsia="宋体" w:cs="宋体"/>
                <w:sz w:val="24"/>
                <w:szCs w:val="24"/>
              </w:rPr>
            </w:pPr>
            <w:r>
              <w:rPr>
                <w:rFonts w:ascii="宋体" w:hAnsi="宋体" w:eastAsia="宋体" w:cs="宋体"/>
                <w:spacing w:val="-3"/>
                <w:sz w:val="24"/>
                <w:szCs w:val="24"/>
              </w:rPr>
              <w:t>联系方式</w:t>
            </w:r>
          </w:p>
        </w:tc>
        <w:tc>
          <w:tcPr>
            <w:tcW w:w="1415" w:type="dxa"/>
            <w:vAlign w:val="top"/>
          </w:tcPr>
          <w:p>
            <w:pPr>
              <w:spacing w:before="274" w:line="219" w:lineRule="auto"/>
              <w:ind w:left="124"/>
              <w:rPr>
                <w:rFonts w:ascii="宋体" w:hAnsi="宋体" w:eastAsia="宋体" w:cs="宋体"/>
                <w:sz w:val="24"/>
                <w:szCs w:val="24"/>
              </w:rPr>
            </w:pPr>
            <w:r>
              <w:rPr>
                <w:rFonts w:ascii="宋体" w:hAnsi="宋体" w:eastAsia="宋体" w:cs="宋体"/>
                <w:spacing w:val="-2"/>
                <w:sz w:val="24"/>
                <w:szCs w:val="24"/>
              </w:rPr>
              <w:t>乡、村、组</w:t>
            </w:r>
          </w:p>
        </w:tc>
        <w:tc>
          <w:tcPr>
            <w:tcW w:w="1655" w:type="dxa"/>
            <w:vAlign w:val="top"/>
          </w:tcPr>
          <w:p>
            <w:pPr>
              <w:spacing w:before="274" w:line="220" w:lineRule="auto"/>
              <w:ind w:left="115"/>
              <w:rPr>
                <w:rFonts w:ascii="宋体" w:hAnsi="宋体" w:eastAsia="宋体" w:cs="宋体"/>
                <w:sz w:val="24"/>
                <w:szCs w:val="24"/>
              </w:rPr>
            </w:pPr>
            <w:r>
              <w:rPr>
                <w:rFonts w:ascii="宋体" w:hAnsi="宋体" w:eastAsia="宋体" w:cs="宋体"/>
                <w:spacing w:val="-2"/>
                <w:sz w:val="24"/>
                <w:szCs w:val="24"/>
              </w:rPr>
              <w:t>坟墓坐落位置</w:t>
            </w:r>
          </w:p>
        </w:tc>
        <w:tc>
          <w:tcPr>
            <w:tcW w:w="1622" w:type="dxa"/>
            <w:vAlign w:val="top"/>
          </w:tcPr>
          <w:p>
            <w:pPr>
              <w:spacing w:before="274" w:line="220" w:lineRule="auto"/>
              <w:ind w:left="339"/>
              <w:rPr>
                <w:rFonts w:ascii="宋体" w:hAnsi="宋体" w:eastAsia="宋体" w:cs="宋体"/>
                <w:sz w:val="24"/>
                <w:szCs w:val="24"/>
              </w:rPr>
            </w:pPr>
            <w:r>
              <w:rPr>
                <w:rFonts w:ascii="宋体" w:hAnsi="宋体" w:eastAsia="宋体" w:cs="宋体"/>
                <w:spacing w:val="-3"/>
                <w:sz w:val="24"/>
                <w:szCs w:val="24"/>
              </w:rPr>
              <w:t>坟墓结构</w:t>
            </w:r>
          </w:p>
        </w:tc>
        <w:tc>
          <w:tcPr>
            <w:tcW w:w="906" w:type="dxa"/>
            <w:vAlign w:val="top"/>
          </w:tcPr>
          <w:p>
            <w:pPr>
              <w:spacing w:before="275" w:line="219" w:lineRule="auto"/>
              <w:ind w:left="224"/>
              <w:rPr>
                <w:rFonts w:ascii="宋体" w:hAnsi="宋体" w:eastAsia="宋体" w:cs="宋体"/>
                <w:sz w:val="24"/>
                <w:szCs w:val="24"/>
              </w:rPr>
            </w:pPr>
            <w:r>
              <w:rPr>
                <w:rFonts w:ascii="宋体" w:hAnsi="宋体" w:eastAsia="宋体" w:cs="宋体"/>
                <w:spacing w:val="-6"/>
                <w:sz w:val="24"/>
                <w:szCs w:val="24"/>
              </w:rPr>
              <w:t>座数</w:t>
            </w:r>
          </w:p>
        </w:tc>
        <w:tc>
          <w:tcPr>
            <w:tcW w:w="1173" w:type="dxa"/>
            <w:vAlign w:val="top"/>
          </w:tcPr>
          <w:p>
            <w:pPr>
              <w:spacing w:before="275" w:line="219" w:lineRule="auto"/>
              <w:ind w:left="357"/>
              <w:rPr>
                <w:rFonts w:ascii="宋体" w:hAnsi="宋体" w:eastAsia="宋体" w:cs="宋体"/>
                <w:sz w:val="24"/>
                <w:szCs w:val="24"/>
              </w:rPr>
            </w:pPr>
            <w:r>
              <w:rPr>
                <w:rFonts w:ascii="宋体" w:hAnsi="宋体" w:eastAsia="宋体" w:cs="宋体"/>
                <w:spacing w:val="-6"/>
                <w:sz w:val="24"/>
                <w:szCs w:val="24"/>
              </w:rPr>
              <w:t>穴数</w:t>
            </w:r>
          </w:p>
        </w:tc>
        <w:tc>
          <w:tcPr>
            <w:tcW w:w="1176" w:type="dxa"/>
            <w:vAlign w:val="top"/>
          </w:tcPr>
          <w:p>
            <w:pPr>
              <w:spacing w:before="275" w:line="219" w:lineRule="auto"/>
              <w:ind w:left="115"/>
              <w:rPr>
                <w:rFonts w:ascii="宋体" w:hAnsi="宋体" w:eastAsia="宋体" w:cs="宋体"/>
                <w:sz w:val="24"/>
                <w:szCs w:val="24"/>
              </w:rPr>
            </w:pPr>
            <w:r>
              <w:rPr>
                <w:rFonts w:ascii="宋体" w:hAnsi="宋体" w:eastAsia="宋体" w:cs="宋体"/>
                <w:spacing w:val="-3"/>
                <w:sz w:val="24"/>
                <w:szCs w:val="24"/>
              </w:rPr>
              <w:t>修建时间</w:t>
            </w:r>
          </w:p>
        </w:tc>
        <w:tc>
          <w:tcPr>
            <w:tcW w:w="1764" w:type="dxa"/>
            <w:vAlign w:val="top"/>
          </w:tcPr>
          <w:p>
            <w:pPr>
              <w:spacing w:before="285" w:line="222" w:lineRule="auto"/>
              <w:ind w:left="669"/>
              <w:rPr>
                <w:rFonts w:ascii="宋体" w:hAnsi="宋体" w:eastAsia="宋体" w:cs="宋体"/>
                <w:sz w:val="22"/>
                <w:szCs w:val="22"/>
              </w:rPr>
            </w:pPr>
            <w:r>
              <w:rPr>
                <w:rFonts w:ascii="宋体" w:hAnsi="宋体" w:eastAsia="宋体" w:cs="宋体"/>
                <w:spacing w:val="-5"/>
                <w:sz w:val="22"/>
                <w:szCs w:val="22"/>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4" w:hRule="atLeast"/>
        </w:trPr>
        <w:tc>
          <w:tcPr>
            <w:tcW w:w="700" w:type="dxa"/>
            <w:vAlign w:val="top"/>
          </w:tcPr>
          <w:p>
            <w:pPr>
              <w:pStyle w:val="12"/>
            </w:pPr>
          </w:p>
        </w:tc>
        <w:tc>
          <w:tcPr>
            <w:tcW w:w="1415" w:type="dxa"/>
            <w:vAlign w:val="top"/>
          </w:tcPr>
          <w:p>
            <w:pPr>
              <w:pStyle w:val="12"/>
            </w:pPr>
          </w:p>
        </w:tc>
        <w:tc>
          <w:tcPr>
            <w:tcW w:w="1176" w:type="dxa"/>
            <w:vAlign w:val="top"/>
          </w:tcPr>
          <w:p>
            <w:pPr>
              <w:pStyle w:val="12"/>
            </w:pPr>
          </w:p>
        </w:tc>
        <w:tc>
          <w:tcPr>
            <w:tcW w:w="1176" w:type="dxa"/>
            <w:vAlign w:val="top"/>
          </w:tcPr>
          <w:p>
            <w:pPr>
              <w:pStyle w:val="12"/>
            </w:pPr>
          </w:p>
        </w:tc>
        <w:tc>
          <w:tcPr>
            <w:tcW w:w="1415" w:type="dxa"/>
            <w:vAlign w:val="top"/>
          </w:tcPr>
          <w:p>
            <w:pPr>
              <w:pStyle w:val="12"/>
            </w:pPr>
          </w:p>
        </w:tc>
        <w:tc>
          <w:tcPr>
            <w:tcW w:w="1655" w:type="dxa"/>
            <w:vAlign w:val="top"/>
          </w:tcPr>
          <w:p>
            <w:pPr>
              <w:pStyle w:val="12"/>
            </w:pPr>
          </w:p>
        </w:tc>
        <w:tc>
          <w:tcPr>
            <w:tcW w:w="1622" w:type="dxa"/>
            <w:vAlign w:val="top"/>
          </w:tcPr>
          <w:p>
            <w:pPr>
              <w:pStyle w:val="12"/>
            </w:pPr>
          </w:p>
        </w:tc>
        <w:tc>
          <w:tcPr>
            <w:tcW w:w="906" w:type="dxa"/>
            <w:vAlign w:val="top"/>
          </w:tcPr>
          <w:p>
            <w:pPr>
              <w:pStyle w:val="12"/>
            </w:pPr>
          </w:p>
        </w:tc>
        <w:tc>
          <w:tcPr>
            <w:tcW w:w="1173" w:type="dxa"/>
            <w:vAlign w:val="top"/>
          </w:tcPr>
          <w:p>
            <w:pPr>
              <w:pStyle w:val="12"/>
            </w:pPr>
          </w:p>
        </w:tc>
        <w:tc>
          <w:tcPr>
            <w:tcW w:w="1176" w:type="dxa"/>
            <w:vAlign w:val="top"/>
          </w:tcPr>
          <w:p>
            <w:pPr>
              <w:pStyle w:val="12"/>
            </w:pPr>
          </w:p>
        </w:tc>
        <w:tc>
          <w:tcPr>
            <w:tcW w:w="1764" w:type="dxa"/>
            <w:vAlign w:val="top"/>
          </w:tcPr>
          <w:p>
            <w:pPr>
              <w:pStyle w:val="12"/>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 w:hRule="atLeast"/>
        </w:trPr>
        <w:tc>
          <w:tcPr>
            <w:tcW w:w="700" w:type="dxa"/>
            <w:vAlign w:val="top"/>
          </w:tcPr>
          <w:p>
            <w:pPr>
              <w:pStyle w:val="12"/>
            </w:pPr>
          </w:p>
        </w:tc>
        <w:tc>
          <w:tcPr>
            <w:tcW w:w="1415" w:type="dxa"/>
            <w:vAlign w:val="top"/>
          </w:tcPr>
          <w:p>
            <w:pPr>
              <w:pStyle w:val="12"/>
            </w:pPr>
          </w:p>
        </w:tc>
        <w:tc>
          <w:tcPr>
            <w:tcW w:w="1176" w:type="dxa"/>
            <w:vAlign w:val="top"/>
          </w:tcPr>
          <w:p>
            <w:pPr>
              <w:pStyle w:val="12"/>
            </w:pPr>
          </w:p>
        </w:tc>
        <w:tc>
          <w:tcPr>
            <w:tcW w:w="1176" w:type="dxa"/>
            <w:vAlign w:val="top"/>
          </w:tcPr>
          <w:p>
            <w:pPr>
              <w:pStyle w:val="12"/>
            </w:pPr>
          </w:p>
        </w:tc>
        <w:tc>
          <w:tcPr>
            <w:tcW w:w="1415" w:type="dxa"/>
            <w:vAlign w:val="top"/>
          </w:tcPr>
          <w:p>
            <w:pPr>
              <w:pStyle w:val="12"/>
            </w:pPr>
          </w:p>
        </w:tc>
        <w:tc>
          <w:tcPr>
            <w:tcW w:w="1655" w:type="dxa"/>
            <w:vAlign w:val="top"/>
          </w:tcPr>
          <w:p>
            <w:pPr>
              <w:pStyle w:val="12"/>
            </w:pPr>
          </w:p>
        </w:tc>
        <w:tc>
          <w:tcPr>
            <w:tcW w:w="1622" w:type="dxa"/>
            <w:vAlign w:val="top"/>
          </w:tcPr>
          <w:p>
            <w:pPr>
              <w:pStyle w:val="12"/>
            </w:pPr>
          </w:p>
        </w:tc>
        <w:tc>
          <w:tcPr>
            <w:tcW w:w="906" w:type="dxa"/>
            <w:vAlign w:val="top"/>
          </w:tcPr>
          <w:p>
            <w:pPr>
              <w:pStyle w:val="12"/>
            </w:pPr>
          </w:p>
        </w:tc>
        <w:tc>
          <w:tcPr>
            <w:tcW w:w="1173" w:type="dxa"/>
            <w:vAlign w:val="top"/>
          </w:tcPr>
          <w:p>
            <w:pPr>
              <w:pStyle w:val="12"/>
            </w:pPr>
          </w:p>
        </w:tc>
        <w:tc>
          <w:tcPr>
            <w:tcW w:w="1176" w:type="dxa"/>
            <w:vAlign w:val="top"/>
          </w:tcPr>
          <w:p>
            <w:pPr>
              <w:pStyle w:val="12"/>
            </w:pPr>
          </w:p>
        </w:tc>
        <w:tc>
          <w:tcPr>
            <w:tcW w:w="1764" w:type="dxa"/>
            <w:vAlign w:val="top"/>
          </w:tcPr>
          <w:p>
            <w:pPr>
              <w:pStyle w:val="12"/>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4" w:hRule="atLeast"/>
        </w:trPr>
        <w:tc>
          <w:tcPr>
            <w:tcW w:w="700" w:type="dxa"/>
            <w:vAlign w:val="top"/>
          </w:tcPr>
          <w:p>
            <w:pPr>
              <w:pStyle w:val="12"/>
            </w:pPr>
          </w:p>
        </w:tc>
        <w:tc>
          <w:tcPr>
            <w:tcW w:w="1415" w:type="dxa"/>
            <w:vAlign w:val="top"/>
          </w:tcPr>
          <w:p>
            <w:pPr>
              <w:pStyle w:val="12"/>
            </w:pPr>
          </w:p>
        </w:tc>
        <w:tc>
          <w:tcPr>
            <w:tcW w:w="1176" w:type="dxa"/>
            <w:vAlign w:val="top"/>
          </w:tcPr>
          <w:p>
            <w:pPr>
              <w:pStyle w:val="12"/>
            </w:pPr>
          </w:p>
        </w:tc>
        <w:tc>
          <w:tcPr>
            <w:tcW w:w="1176" w:type="dxa"/>
            <w:vAlign w:val="top"/>
          </w:tcPr>
          <w:p>
            <w:pPr>
              <w:pStyle w:val="12"/>
            </w:pPr>
          </w:p>
        </w:tc>
        <w:tc>
          <w:tcPr>
            <w:tcW w:w="1415" w:type="dxa"/>
            <w:vAlign w:val="top"/>
          </w:tcPr>
          <w:p>
            <w:pPr>
              <w:pStyle w:val="12"/>
            </w:pPr>
          </w:p>
        </w:tc>
        <w:tc>
          <w:tcPr>
            <w:tcW w:w="1655" w:type="dxa"/>
            <w:vAlign w:val="top"/>
          </w:tcPr>
          <w:p>
            <w:pPr>
              <w:pStyle w:val="12"/>
            </w:pPr>
          </w:p>
        </w:tc>
        <w:tc>
          <w:tcPr>
            <w:tcW w:w="1622" w:type="dxa"/>
            <w:vAlign w:val="top"/>
          </w:tcPr>
          <w:p>
            <w:pPr>
              <w:pStyle w:val="12"/>
            </w:pPr>
          </w:p>
        </w:tc>
        <w:tc>
          <w:tcPr>
            <w:tcW w:w="906" w:type="dxa"/>
            <w:vAlign w:val="top"/>
          </w:tcPr>
          <w:p>
            <w:pPr>
              <w:pStyle w:val="12"/>
            </w:pPr>
          </w:p>
        </w:tc>
        <w:tc>
          <w:tcPr>
            <w:tcW w:w="1173" w:type="dxa"/>
            <w:vAlign w:val="top"/>
          </w:tcPr>
          <w:p>
            <w:pPr>
              <w:pStyle w:val="12"/>
            </w:pPr>
          </w:p>
        </w:tc>
        <w:tc>
          <w:tcPr>
            <w:tcW w:w="1176" w:type="dxa"/>
            <w:vAlign w:val="top"/>
          </w:tcPr>
          <w:p>
            <w:pPr>
              <w:pStyle w:val="12"/>
            </w:pPr>
          </w:p>
        </w:tc>
        <w:tc>
          <w:tcPr>
            <w:tcW w:w="1764" w:type="dxa"/>
            <w:vAlign w:val="top"/>
          </w:tcPr>
          <w:p>
            <w:pPr>
              <w:pStyle w:val="12"/>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4" w:hRule="atLeast"/>
        </w:trPr>
        <w:tc>
          <w:tcPr>
            <w:tcW w:w="700" w:type="dxa"/>
            <w:vAlign w:val="top"/>
          </w:tcPr>
          <w:p>
            <w:pPr>
              <w:pStyle w:val="12"/>
            </w:pPr>
          </w:p>
        </w:tc>
        <w:tc>
          <w:tcPr>
            <w:tcW w:w="1415" w:type="dxa"/>
            <w:vAlign w:val="top"/>
          </w:tcPr>
          <w:p>
            <w:pPr>
              <w:pStyle w:val="12"/>
            </w:pPr>
          </w:p>
        </w:tc>
        <w:tc>
          <w:tcPr>
            <w:tcW w:w="1176" w:type="dxa"/>
            <w:vAlign w:val="top"/>
          </w:tcPr>
          <w:p>
            <w:pPr>
              <w:pStyle w:val="12"/>
            </w:pPr>
          </w:p>
        </w:tc>
        <w:tc>
          <w:tcPr>
            <w:tcW w:w="1176" w:type="dxa"/>
            <w:vAlign w:val="top"/>
          </w:tcPr>
          <w:p>
            <w:pPr>
              <w:pStyle w:val="12"/>
            </w:pPr>
          </w:p>
        </w:tc>
        <w:tc>
          <w:tcPr>
            <w:tcW w:w="1415" w:type="dxa"/>
            <w:vAlign w:val="top"/>
          </w:tcPr>
          <w:p>
            <w:pPr>
              <w:pStyle w:val="12"/>
            </w:pPr>
          </w:p>
        </w:tc>
        <w:tc>
          <w:tcPr>
            <w:tcW w:w="1655" w:type="dxa"/>
            <w:vAlign w:val="top"/>
          </w:tcPr>
          <w:p>
            <w:pPr>
              <w:pStyle w:val="12"/>
            </w:pPr>
          </w:p>
        </w:tc>
        <w:tc>
          <w:tcPr>
            <w:tcW w:w="1622" w:type="dxa"/>
            <w:vAlign w:val="top"/>
          </w:tcPr>
          <w:p>
            <w:pPr>
              <w:pStyle w:val="12"/>
            </w:pPr>
          </w:p>
        </w:tc>
        <w:tc>
          <w:tcPr>
            <w:tcW w:w="906" w:type="dxa"/>
            <w:vAlign w:val="top"/>
          </w:tcPr>
          <w:p>
            <w:pPr>
              <w:pStyle w:val="12"/>
            </w:pPr>
          </w:p>
        </w:tc>
        <w:tc>
          <w:tcPr>
            <w:tcW w:w="1173" w:type="dxa"/>
            <w:vAlign w:val="top"/>
          </w:tcPr>
          <w:p>
            <w:pPr>
              <w:pStyle w:val="12"/>
            </w:pPr>
          </w:p>
        </w:tc>
        <w:tc>
          <w:tcPr>
            <w:tcW w:w="1176" w:type="dxa"/>
            <w:vAlign w:val="top"/>
          </w:tcPr>
          <w:p>
            <w:pPr>
              <w:pStyle w:val="12"/>
            </w:pPr>
          </w:p>
        </w:tc>
        <w:tc>
          <w:tcPr>
            <w:tcW w:w="1764" w:type="dxa"/>
            <w:vAlign w:val="top"/>
          </w:tcPr>
          <w:p>
            <w:pPr>
              <w:pStyle w:val="12"/>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4" w:hRule="atLeast"/>
        </w:trPr>
        <w:tc>
          <w:tcPr>
            <w:tcW w:w="700" w:type="dxa"/>
            <w:vAlign w:val="top"/>
          </w:tcPr>
          <w:p>
            <w:pPr>
              <w:pStyle w:val="12"/>
            </w:pPr>
          </w:p>
        </w:tc>
        <w:tc>
          <w:tcPr>
            <w:tcW w:w="1415" w:type="dxa"/>
            <w:vAlign w:val="top"/>
          </w:tcPr>
          <w:p>
            <w:pPr>
              <w:pStyle w:val="12"/>
            </w:pPr>
          </w:p>
        </w:tc>
        <w:tc>
          <w:tcPr>
            <w:tcW w:w="1176" w:type="dxa"/>
            <w:vAlign w:val="top"/>
          </w:tcPr>
          <w:p>
            <w:pPr>
              <w:pStyle w:val="12"/>
            </w:pPr>
          </w:p>
        </w:tc>
        <w:tc>
          <w:tcPr>
            <w:tcW w:w="1176" w:type="dxa"/>
            <w:vAlign w:val="top"/>
          </w:tcPr>
          <w:p>
            <w:pPr>
              <w:pStyle w:val="12"/>
            </w:pPr>
          </w:p>
        </w:tc>
        <w:tc>
          <w:tcPr>
            <w:tcW w:w="1415" w:type="dxa"/>
            <w:vAlign w:val="top"/>
          </w:tcPr>
          <w:p>
            <w:pPr>
              <w:pStyle w:val="12"/>
            </w:pPr>
          </w:p>
        </w:tc>
        <w:tc>
          <w:tcPr>
            <w:tcW w:w="1655" w:type="dxa"/>
            <w:vAlign w:val="top"/>
          </w:tcPr>
          <w:p>
            <w:pPr>
              <w:pStyle w:val="12"/>
            </w:pPr>
          </w:p>
        </w:tc>
        <w:tc>
          <w:tcPr>
            <w:tcW w:w="1622" w:type="dxa"/>
            <w:vAlign w:val="top"/>
          </w:tcPr>
          <w:p>
            <w:pPr>
              <w:pStyle w:val="12"/>
            </w:pPr>
          </w:p>
        </w:tc>
        <w:tc>
          <w:tcPr>
            <w:tcW w:w="906" w:type="dxa"/>
            <w:vAlign w:val="top"/>
          </w:tcPr>
          <w:p>
            <w:pPr>
              <w:pStyle w:val="12"/>
            </w:pPr>
          </w:p>
        </w:tc>
        <w:tc>
          <w:tcPr>
            <w:tcW w:w="1173" w:type="dxa"/>
            <w:vAlign w:val="top"/>
          </w:tcPr>
          <w:p>
            <w:pPr>
              <w:pStyle w:val="12"/>
            </w:pPr>
          </w:p>
        </w:tc>
        <w:tc>
          <w:tcPr>
            <w:tcW w:w="1176" w:type="dxa"/>
            <w:vAlign w:val="top"/>
          </w:tcPr>
          <w:p>
            <w:pPr>
              <w:pStyle w:val="12"/>
            </w:pPr>
          </w:p>
        </w:tc>
        <w:tc>
          <w:tcPr>
            <w:tcW w:w="1764" w:type="dxa"/>
            <w:vAlign w:val="top"/>
          </w:tcPr>
          <w:p>
            <w:pPr>
              <w:pStyle w:val="12"/>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 w:hRule="atLeast"/>
        </w:trPr>
        <w:tc>
          <w:tcPr>
            <w:tcW w:w="700" w:type="dxa"/>
            <w:vAlign w:val="top"/>
          </w:tcPr>
          <w:p>
            <w:pPr>
              <w:pStyle w:val="12"/>
            </w:pPr>
          </w:p>
        </w:tc>
        <w:tc>
          <w:tcPr>
            <w:tcW w:w="1415" w:type="dxa"/>
            <w:vAlign w:val="top"/>
          </w:tcPr>
          <w:p>
            <w:pPr>
              <w:pStyle w:val="12"/>
            </w:pPr>
          </w:p>
        </w:tc>
        <w:tc>
          <w:tcPr>
            <w:tcW w:w="1176" w:type="dxa"/>
            <w:vAlign w:val="top"/>
          </w:tcPr>
          <w:p>
            <w:pPr>
              <w:pStyle w:val="12"/>
            </w:pPr>
          </w:p>
        </w:tc>
        <w:tc>
          <w:tcPr>
            <w:tcW w:w="1176" w:type="dxa"/>
            <w:vAlign w:val="top"/>
          </w:tcPr>
          <w:p>
            <w:pPr>
              <w:pStyle w:val="12"/>
            </w:pPr>
          </w:p>
        </w:tc>
        <w:tc>
          <w:tcPr>
            <w:tcW w:w="1415" w:type="dxa"/>
            <w:vAlign w:val="top"/>
          </w:tcPr>
          <w:p>
            <w:pPr>
              <w:pStyle w:val="12"/>
            </w:pPr>
          </w:p>
        </w:tc>
        <w:tc>
          <w:tcPr>
            <w:tcW w:w="1655" w:type="dxa"/>
            <w:vAlign w:val="top"/>
          </w:tcPr>
          <w:p>
            <w:pPr>
              <w:pStyle w:val="12"/>
            </w:pPr>
          </w:p>
        </w:tc>
        <w:tc>
          <w:tcPr>
            <w:tcW w:w="1622" w:type="dxa"/>
            <w:vAlign w:val="top"/>
          </w:tcPr>
          <w:p>
            <w:pPr>
              <w:pStyle w:val="12"/>
            </w:pPr>
          </w:p>
        </w:tc>
        <w:tc>
          <w:tcPr>
            <w:tcW w:w="906" w:type="dxa"/>
            <w:vAlign w:val="top"/>
          </w:tcPr>
          <w:p>
            <w:pPr>
              <w:pStyle w:val="12"/>
            </w:pPr>
          </w:p>
        </w:tc>
        <w:tc>
          <w:tcPr>
            <w:tcW w:w="1173" w:type="dxa"/>
            <w:vAlign w:val="top"/>
          </w:tcPr>
          <w:p>
            <w:pPr>
              <w:pStyle w:val="12"/>
            </w:pPr>
          </w:p>
        </w:tc>
        <w:tc>
          <w:tcPr>
            <w:tcW w:w="1176" w:type="dxa"/>
            <w:vAlign w:val="top"/>
          </w:tcPr>
          <w:p>
            <w:pPr>
              <w:pStyle w:val="12"/>
            </w:pPr>
          </w:p>
        </w:tc>
        <w:tc>
          <w:tcPr>
            <w:tcW w:w="1764" w:type="dxa"/>
            <w:vAlign w:val="top"/>
          </w:tcPr>
          <w:p>
            <w:pPr>
              <w:pStyle w:val="12"/>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 w:hRule="atLeast"/>
        </w:trPr>
        <w:tc>
          <w:tcPr>
            <w:tcW w:w="700" w:type="dxa"/>
            <w:vAlign w:val="top"/>
          </w:tcPr>
          <w:p>
            <w:pPr>
              <w:pStyle w:val="12"/>
            </w:pPr>
          </w:p>
        </w:tc>
        <w:tc>
          <w:tcPr>
            <w:tcW w:w="1415" w:type="dxa"/>
            <w:vAlign w:val="top"/>
          </w:tcPr>
          <w:p>
            <w:pPr>
              <w:pStyle w:val="12"/>
            </w:pPr>
          </w:p>
        </w:tc>
        <w:tc>
          <w:tcPr>
            <w:tcW w:w="1176" w:type="dxa"/>
            <w:vAlign w:val="top"/>
          </w:tcPr>
          <w:p>
            <w:pPr>
              <w:pStyle w:val="12"/>
            </w:pPr>
          </w:p>
        </w:tc>
        <w:tc>
          <w:tcPr>
            <w:tcW w:w="1176" w:type="dxa"/>
            <w:vAlign w:val="top"/>
          </w:tcPr>
          <w:p>
            <w:pPr>
              <w:pStyle w:val="12"/>
            </w:pPr>
          </w:p>
        </w:tc>
        <w:tc>
          <w:tcPr>
            <w:tcW w:w="1415" w:type="dxa"/>
            <w:vAlign w:val="top"/>
          </w:tcPr>
          <w:p>
            <w:pPr>
              <w:pStyle w:val="12"/>
            </w:pPr>
          </w:p>
        </w:tc>
        <w:tc>
          <w:tcPr>
            <w:tcW w:w="1655" w:type="dxa"/>
            <w:vAlign w:val="top"/>
          </w:tcPr>
          <w:p>
            <w:pPr>
              <w:pStyle w:val="12"/>
            </w:pPr>
          </w:p>
        </w:tc>
        <w:tc>
          <w:tcPr>
            <w:tcW w:w="1622" w:type="dxa"/>
            <w:vAlign w:val="top"/>
          </w:tcPr>
          <w:p>
            <w:pPr>
              <w:pStyle w:val="12"/>
            </w:pPr>
          </w:p>
        </w:tc>
        <w:tc>
          <w:tcPr>
            <w:tcW w:w="906" w:type="dxa"/>
            <w:vAlign w:val="top"/>
          </w:tcPr>
          <w:p>
            <w:pPr>
              <w:pStyle w:val="12"/>
            </w:pPr>
          </w:p>
        </w:tc>
        <w:tc>
          <w:tcPr>
            <w:tcW w:w="1173" w:type="dxa"/>
            <w:vAlign w:val="top"/>
          </w:tcPr>
          <w:p>
            <w:pPr>
              <w:pStyle w:val="12"/>
            </w:pPr>
          </w:p>
        </w:tc>
        <w:tc>
          <w:tcPr>
            <w:tcW w:w="1176" w:type="dxa"/>
            <w:vAlign w:val="top"/>
          </w:tcPr>
          <w:p>
            <w:pPr>
              <w:pStyle w:val="12"/>
            </w:pPr>
          </w:p>
        </w:tc>
        <w:tc>
          <w:tcPr>
            <w:tcW w:w="1764" w:type="dxa"/>
            <w:vAlign w:val="top"/>
          </w:tcPr>
          <w:p>
            <w:pPr>
              <w:pStyle w:val="12"/>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 w:hRule="atLeast"/>
        </w:trPr>
        <w:tc>
          <w:tcPr>
            <w:tcW w:w="700" w:type="dxa"/>
            <w:vAlign w:val="top"/>
          </w:tcPr>
          <w:p>
            <w:pPr>
              <w:pStyle w:val="12"/>
            </w:pPr>
          </w:p>
        </w:tc>
        <w:tc>
          <w:tcPr>
            <w:tcW w:w="1415" w:type="dxa"/>
            <w:vAlign w:val="top"/>
          </w:tcPr>
          <w:p>
            <w:pPr>
              <w:pStyle w:val="12"/>
            </w:pPr>
          </w:p>
        </w:tc>
        <w:tc>
          <w:tcPr>
            <w:tcW w:w="1176" w:type="dxa"/>
            <w:vAlign w:val="top"/>
          </w:tcPr>
          <w:p>
            <w:pPr>
              <w:pStyle w:val="12"/>
            </w:pPr>
          </w:p>
        </w:tc>
        <w:tc>
          <w:tcPr>
            <w:tcW w:w="1176" w:type="dxa"/>
            <w:vAlign w:val="top"/>
          </w:tcPr>
          <w:p>
            <w:pPr>
              <w:pStyle w:val="12"/>
            </w:pPr>
          </w:p>
        </w:tc>
        <w:tc>
          <w:tcPr>
            <w:tcW w:w="1415" w:type="dxa"/>
            <w:vAlign w:val="top"/>
          </w:tcPr>
          <w:p>
            <w:pPr>
              <w:pStyle w:val="12"/>
            </w:pPr>
          </w:p>
        </w:tc>
        <w:tc>
          <w:tcPr>
            <w:tcW w:w="1655" w:type="dxa"/>
            <w:vAlign w:val="top"/>
          </w:tcPr>
          <w:p>
            <w:pPr>
              <w:pStyle w:val="12"/>
            </w:pPr>
          </w:p>
        </w:tc>
        <w:tc>
          <w:tcPr>
            <w:tcW w:w="1622" w:type="dxa"/>
            <w:vAlign w:val="top"/>
          </w:tcPr>
          <w:p>
            <w:pPr>
              <w:pStyle w:val="12"/>
            </w:pPr>
          </w:p>
        </w:tc>
        <w:tc>
          <w:tcPr>
            <w:tcW w:w="906" w:type="dxa"/>
            <w:vAlign w:val="top"/>
          </w:tcPr>
          <w:p>
            <w:pPr>
              <w:pStyle w:val="12"/>
            </w:pPr>
          </w:p>
        </w:tc>
        <w:tc>
          <w:tcPr>
            <w:tcW w:w="1173" w:type="dxa"/>
            <w:vAlign w:val="top"/>
          </w:tcPr>
          <w:p>
            <w:pPr>
              <w:pStyle w:val="12"/>
            </w:pPr>
          </w:p>
        </w:tc>
        <w:tc>
          <w:tcPr>
            <w:tcW w:w="1176" w:type="dxa"/>
            <w:vAlign w:val="top"/>
          </w:tcPr>
          <w:p>
            <w:pPr>
              <w:pStyle w:val="12"/>
            </w:pPr>
          </w:p>
        </w:tc>
        <w:tc>
          <w:tcPr>
            <w:tcW w:w="1764" w:type="dxa"/>
            <w:vAlign w:val="top"/>
          </w:tcPr>
          <w:p>
            <w:pPr>
              <w:pStyle w:val="12"/>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 w:hRule="atLeast"/>
        </w:trPr>
        <w:tc>
          <w:tcPr>
            <w:tcW w:w="700" w:type="dxa"/>
            <w:vAlign w:val="top"/>
          </w:tcPr>
          <w:p>
            <w:pPr>
              <w:pStyle w:val="12"/>
            </w:pPr>
          </w:p>
        </w:tc>
        <w:tc>
          <w:tcPr>
            <w:tcW w:w="1415" w:type="dxa"/>
            <w:vAlign w:val="top"/>
          </w:tcPr>
          <w:p>
            <w:pPr>
              <w:pStyle w:val="12"/>
            </w:pPr>
          </w:p>
        </w:tc>
        <w:tc>
          <w:tcPr>
            <w:tcW w:w="1176" w:type="dxa"/>
            <w:vAlign w:val="top"/>
          </w:tcPr>
          <w:p>
            <w:pPr>
              <w:pStyle w:val="12"/>
            </w:pPr>
          </w:p>
        </w:tc>
        <w:tc>
          <w:tcPr>
            <w:tcW w:w="1176" w:type="dxa"/>
            <w:vAlign w:val="top"/>
          </w:tcPr>
          <w:p>
            <w:pPr>
              <w:pStyle w:val="12"/>
            </w:pPr>
          </w:p>
        </w:tc>
        <w:tc>
          <w:tcPr>
            <w:tcW w:w="1415" w:type="dxa"/>
            <w:vAlign w:val="top"/>
          </w:tcPr>
          <w:p>
            <w:pPr>
              <w:pStyle w:val="12"/>
            </w:pPr>
          </w:p>
        </w:tc>
        <w:tc>
          <w:tcPr>
            <w:tcW w:w="1655" w:type="dxa"/>
            <w:vAlign w:val="top"/>
          </w:tcPr>
          <w:p>
            <w:pPr>
              <w:pStyle w:val="12"/>
            </w:pPr>
          </w:p>
        </w:tc>
        <w:tc>
          <w:tcPr>
            <w:tcW w:w="1622" w:type="dxa"/>
            <w:vAlign w:val="top"/>
          </w:tcPr>
          <w:p>
            <w:pPr>
              <w:pStyle w:val="12"/>
            </w:pPr>
          </w:p>
        </w:tc>
        <w:tc>
          <w:tcPr>
            <w:tcW w:w="906" w:type="dxa"/>
            <w:vAlign w:val="top"/>
          </w:tcPr>
          <w:p>
            <w:pPr>
              <w:pStyle w:val="12"/>
            </w:pPr>
          </w:p>
        </w:tc>
        <w:tc>
          <w:tcPr>
            <w:tcW w:w="1173" w:type="dxa"/>
            <w:vAlign w:val="top"/>
          </w:tcPr>
          <w:p>
            <w:pPr>
              <w:pStyle w:val="12"/>
            </w:pPr>
          </w:p>
        </w:tc>
        <w:tc>
          <w:tcPr>
            <w:tcW w:w="1176" w:type="dxa"/>
            <w:vAlign w:val="top"/>
          </w:tcPr>
          <w:p>
            <w:pPr>
              <w:pStyle w:val="12"/>
            </w:pPr>
          </w:p>
        </w:tc>
        <w:tc>
          <w:tcPr>
            <w:tcW w:w="1764" w:type="dxa"/>
            <w:vAlign w:val="top"/>
          </w:tcPr>
          <w:p>
            <w:pPr>
              <w:pStyle w:val="12"/>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 w:hRule="atLeast"/>
        </w:trPr>
        <w:tc>
          <w:tcPr>
            <w:tcW w:w="700" w:type="dxa"/>
            <w:vAlign w:val="top"/>
          </w:tcPr>
          <w:p>
            <w:pPr>
              <w:pStyle w:val="12"/>
            </w:pPr>
          </w:p>
        </w:tc>
        <w:tc>
          <w:tcPr>
            <w:tcW w:w="1415" w:type="dxa"/>
            <w:vAlign w:val="top"/>
          </w:tcPr>
          <w:p>
            <w:pPr>
              <w:pStyle w:val="12"/>
            </w:pPr>
          </w:p>
        </w:tc>
        <w:tc>
          <w:tcPr>
            <w:tcW w:w="1176" w:type="dxa"/>
            <w:vAlign w:val="top"/>
          </w:tcPr>
          <w:p>
            <w:pPr>
              <w:pStyle w:val="12"/>
            </w:pPr>
          </w:p>
        </w:tc>
        <w:tc>
          <w:tcPr>
            <w:tcW w:w="1176" w:type="dxa"/>
            <w:vAlign w:val="top"/>
          </w:tcPr>
          <w:p>
            <w:pPr>
              <w:pStyle w:val="12"/>
            </w:pPr>
          </w:p>
        </w:tc>
        <w:tc>
          <w:tcPr>
            <w:tcW w:w="1415" w:type="dxa"/>
            <w:vAlign w:val="top"/>
          </w:tcPr>
          <w:p>
            <w:pPr>
              <w:pStyle w:val="12"/>
            </w:pPr>
          </w:p>
        </w:tc>
        <w:tc>
          <w:tcPr>
            <w:tcW w:w="1655" w:type="dxa"/>
            <w:vAlign w:val="top"/>
          </w:tcPr>
          <w:p>
            <w:pPr>
              <w:pStyle w:val="12"/>
            </w:pPr>
          </w:p>
        </w:tc>
        <w:tc>
          <w:tcPr>
            <w:tcW w:w="1622" w:type="dxa"/>
            <w:vAlign w:val="top"/>
          </w:tcPr>
          <w:p>
            <w:pPr>
              <w:pStyle w:val="12"/>
            </w:pPr>
          </w:p>
        </w:tc>
        <w:tc>
          <w:tcPr>
            <w:tcW w:w="906" w:type="dxa"/>
            <w:vAlign w:val="top"/>
          </w:tcPr>
          <w:p>
            <w:pPr>
              <w:pStyle w:val="12"/>
            </w:pPr>
          </w:p>
        </w:tc>
        <w:tc>
          <w:tcPr>
            <w:tcW w:w="1173" w:type="dxa"/>
            <w:vAlign w:val="top"/>
          </w:tcPr>
          <w:p>
            <w:pPr>
              <w:pStyle w:val="12"/>
            </w:pPr>
          </w:p>
        </w:tc>
        <w:tc>
          <w:tcPr>
            <w:tcW w:w="1176" w:type="dxa"/>
            <w:vAlign w:val="top"/>
          </w:tcPr>
          <w:p>
            <w:pPr>
              <w:pStyle w:val="12"/>
            </w:pPr>
          </w:p>
        </w:tc>
        <w:tc>
          <w:tcPr>
            <w:tcW w:w="1764" w:type="dxa"/>
            <w:vAlign w:val="top"/>
          </w:tcPr>
          <w:p>
            <w:pPr>
              <w:pStyle w:val="12"/>
            </w:pPr>
          </w:p>
        </w:tc>
      </w:tr>
    </w:tbl>
    <w:p>
      <w:pPr>
        <w:ind w:firstLine="630" w:firstLineChars="300"/>
        <w:jc w:val="left"/>
        <w:rPr>
          <w:rFonts w:hint="eastAsia" w:ascii="仿宋" w:hAnsi="仿宋" w:eastAsia="仿宋" w:cs="仿宋"/>
          <w:lang w:eastAsia="zh-CN"/>
        </w:rPr>
      </w:pPr>
    </w:p>
    <w:p>
      <w:pPr>
        <w:ind w:firstLine="630" w:firstLineChars="300"/>
        <w:jc w:val="left"/>
        <w:rPr>
          <w:rFonts w:ascii="Arial" w:hAnsi="Arial" w:eastAsia="Arial" w:cs="Arial"/>
          <w:sz w:val="21"/>
          <w:szCs w:val="21"/>
        </w:rPr>
        <w:sectPr>
          <w:footerReference r:id="rId8" w:type="default"/>
          <w:pgSz w:w="16839" w:h="11906"/>
          <w:pgMar w:top="1012" w:right="1327" w:bottom="1157" w:left="1327" w:header="0" w:footer="992" w:gutter="0"/>
          <w:pgNumType w:fmt="decimal"/>
          <w:cols w:space="720" w:num="1"/>
        </w:sectPr>
      </w:pPr>
      <w:r>
        <w:rPr>
          <w:rFonts w:hint="eastAsia" w:ascii="仿宋" w:hAnsi="仿宋" w:eastAsia="仿宋" w:cs="仿宋"/>
          <w:lang w:eastAsia="zh-CN"/>
        </w:rPr>
        <w:t>乡驻村领导</w:t>
      </w:r>
      <w:r>
        <w:rPr>
          <w:rFonts w:hint="eastAsia" w:ascii="仿宋" w:hAnsi="仿宋" w:eastAsia="仿宋" w:cs="仿宋"/>
          <w:kern w:val="0"/>
          <w:sz w:val="21"/>
          <w:szCs w:val="21"/>
        </w:rPr>
        <w:t>（签字）</w:t>
      </w:r>
      <w:r>
        <w:rPr>
          <w:rFonts w:hint="eastAsia" w:ascii="仿宋" w:hAnsi="仿宋" w:eastAsia="仿宋" w:cs="仿宋"/>
          <w:lang w:eastAsia="zh-CN"/>
        </w:rPr>
        <w:t>：</w:t>
      </w:r>
      <w:r>
        <w:rPr>
          <w:rFonts w:hint="eastAsia" w:ascii="仿宋" w:hAnsi="仿宋" w:eastAsia="仿宋" w:cs="仿宋"/>
          <w:sz w:val="21"/>
          <w:szCs w:val="21"/>
          <w:lang w:val="en-US" w:eastAsia="zh-CN"/>
        </w:rPr>
        <w:t>村书记</w:t>
      </w:r>
      <w:r>
        <w:rPr>
          <w:rFonts w:hint="eastAsia" w:ascii="仿宋" w:hAnsi="仿宋" w:eastAsia="仿宋" w:cs="仿宋"/>
          <w:kern w:val="0"/>
          <w:sz w:val="21"/>
          <w:szCs w:val="21"/>
        </w:rPr>
        <w:t>（签字）</w:t>
      </w:r>
    </w:p>
    <w:p/>
    <w:sectPr>
      <w:footerReference r:id="rId9"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74AFEE74-BE15-4808-9546-2B1F9BEA9A24}"/>
  </w:font>
  <w:font w:name="黑体">
    <w:panose1 w:val="02010609060101010101"/>
    <w:charset w:val="86"/>
    <w:family w:val="auto"/>
    <w:pitch w:val="default"/>
    <w:sig w:usb0="800002BF" w:usb1="38CF7CFA" w:usb2="00000016" w:usb3="00000000" w:csb0="00040001" w:csb1="00000000"/>
    <w:embedRegular r:id="rId2" w:fontKey="{EFE705D3-CC86-4D28-AE3A-D2BBDEDA100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DB346EEC-E995-4D3B-9C01-B127DEE7F2A3}"/>
  </w:font>
  <w:font w:name="仿宋">
    <w:panose1 w:val="02010609060101010101"/>
    <w:charset w:val="86"/>
    <w:family w:val="auto"/>
    <w:pitch w:val="default"/>
    <w:sig w:usb0="800002BF" w:usb1="38CF7CFA" w:usb2="00000016" w:usb3="00000000" w:csb0="00040001" w:csb1="00000000"/>
    <w:embedRegular r:id="rId4" w:fontKey="{BDF4A5F0-9BCA-4E98-B5B8-84C5DE04A286}"/>
  </w:font>
  <w:font w:name="微软雅黑">
    <w:panose1 w:val="020B0503020204020204"/>
    <w:charset w:val="86"/>
    <w:family w:val="auto"/>
    <w:pitch w:val="default"/>
    <w:sig w:usb0="80000287" w:usb1="2ACF3C50" w:usb2="00000016" w:usb3="00000000" w:csb0="0004001F" w:csb1="00000000"/>
    <w:embedRegular r:id="rId5" w:fontKey="{2A81DFCC-F168-4BBD-9C64-01618A19E698}"/>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6" w:fontKey="{A1ECCB15-003B-423F-BC3A-FC52D986C725}"/>
  </w:font>
  <w:font w:name="方正公文小标宋">
    <w:panose1 w:val="02000500000000000000"/>
    <w:charset w:val="86"/>
    <w:family w:val="auto"/>
    <w:pitch w:val="default"/>
    <w:sig w:usb0="A00002BF" w:usb1="38CF7CFA" w:usb2="00000016" w:usb3="00000000" w:csb0="00040001" w:csb1="00000000"/>
    <w:embedRegular r:id="rId7" w:fontKey="{1EAC24CE-6F14-42BE-9E5A-C89E75B5A68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4127"/>
      <w:rPr>
        <w:rFonts w:ascii="Calibri" w:hAnsi="Calibri" w:eastAsia="Calibri" w:cs="Calibri"/>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yMDE5ZjFhMjBlYmZiMzhkZWRmMGUzZjNjNDY5ZDAifQ=="/>
  </w:docVars>
  <w:rsids>
    <w:rsidRoot w:val="6CF63ADA"/>
    <w:rsid w:val="091A12E3"/>
    <w:rsid w:val="0C2662D3"/>
    <w:rsid w:val="12AE7661"/>
    <w:rsid w:val="24141470"/>
    <w:rsid w:val="2A005376"/>
    <w:rsid w:val="37B33894"/>
    <w:rsid w:val="38FC7811"/>
    <w:rsid w:val="442A7E97"/>
    <w:rsid w:val="476F66C2"/>
    <w:rsid w:val="52B67CF3"/>
    <w:rsid w:val="58C4519B"/>
    <w:rsid w:val="58DD74C2"/>
    <w:rsid w:val="5F963C0E"/>
    <w:rsid w:val="6469508E"/>
    <w:rsid w:val="6CF63ADA"/>
    <w:rsid w:val="79741405"/>
    <w:rsid w:val="7CC41824"/>
    <w:rsid w:val="7DC552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spacing w:before="100" w:beforeAutospacing="1" w:after="120"/>
      <w:ind w:left="200" w:leftChars="200"/>
    </w:pPr>
    <w:rPr>
      <w:rFonts w:ascii="Times New Roman" w:hAnsi="Times New Roman" w:cs="Times New Roman"/>
    </w:r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w:basedOn w:val="1"/>
    <w:next w:val="5"/>
    <w:semiHidden/>
    <w:qFormat/>
    <w:uiPriority w:val="0"/>
    <w:rPr>
      <w:rFonts w:ascii="仿宋" w:hAnsi="仿宋" w:eastAsia="仿宋" w:cs="仿宋"/>
      <w:sz w:val="31"/>
      <w:szCs w:val="31"/>
      <w:lang w:val="en-US" w:eastAsia="en-US" w:bidi="ar-SA"/>
    </w:rPr>
  </w:style>
  <w:style w:type="paragraph" w:styleId="5">
    <w:name w:val="Body Text First Indent"/>
    <w:basedOn w:val="4"/>
    <w:qFormat/>
    <w:uiPriority w:val="0"/>
    <w:pPr>
      <w:ind w:firstLine="420" w:firstLineChars="100"/>
    </w:pPr>
    <w:rPr>
      <w:rFonts w:ascii="Calibri" w:hAnsi="Calibri" w:eastAsia="宋体" w:cs="Times New Roman"/>
      <w:szCs w:val="2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
    <w:name w:val="Table Normal"/>
    <w:semiHidden/>
    <w:unhideWhenUsed/>
    <w:qFormat/>
    <w:uiPriority w:val="0"/>
    <w:tblPr>
      <w:tblCellMar>
        <w:top w:w="0" w:type="dxa"/>
        <w:left w:w="0" w:type="dxa"/>
        <w:bottom w:w="0" w:type="dxa"/>
        <w:right w:w="0" w:type="dxa"/>
      </w:tblCellMar>
    </w:tblPr>
  </w:style>
  <w:style w:type="paragraph" w:customStyle="1" w:styleId="12">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2023-10-12T02:57:00Z</dcterms:created>
  <dc:creator>权世界</dc:creator>
  <cp:lastModifiedBy>恰好</cp:lastModifiedBy>
  <cp:lastPrinted>2023-10-13T06:51:00Z</cp:lastPrinted>
  <dcterms:modified xsi:type="dcterms:W3CDTF">2023-12-20T07:58:36Z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EB93E83E615845F3B49FA94686488E35_13</vt:lpwstr>
  </property>
</Properties>
</file>