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val="0"/>
          <w:color w:val="auto"/>
          <w:sz w:val="44"/>
          <w:szCs w:val="44"/>
          <w:highlight w:val="none"/>
          <w:lang w:val="en-US" w:eastAsia="zh-CN"/>
        </w:rPr>
      </w:pPr>
      <w:r>
        <w:rPr>
          <w:rFonts w:hint="eastAsia" w:ascii="方正小标宋简体" w:hAnsi="方正小标宋简体" w:eastAsia="方正小标宋简体" w:cs="方正小标宋简体"/>
          <w:b/>
          <w:bCs w:val="0"/>
          <w:color w:val="auto"/>
          <w:sz w:val="44"/>
          <w:szCs w:val="44"/>
          <w:highlight w:val="none"/>
          <w:lang w:val="en-US" w:eastAsia="zh-CN"/>
        </w:rPr>
        <w:t>兴国县林业局本级</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val="en-US" w:eastAsia="zh-CN"/>
        </w:rPr>
        <w:t>2025年</w:t>
      </w:r>
      <w:r>
        <w:rPr>
          <w:rFonts w:hint="eastAsia" w:ascii="方正小标宋简体" w:hAnsi="方正小标宋简体" w:eastAsia="方正小标宋简体" w:cs="方正小标宋简体"/>
          <w:b/>
          <w:bCs w:val="0"/>
          <w:color w:val="auto"/>
          <w:sz w:val="44"/>
          <w:szCs w:val="44"/>
          <w:highlight w:val="none"/>
          <w:lang w:val="en-US" w:eastAsia="zh-CN"/>
        </w:rPr>
        <w:t>单位</w:t>
      </w:r>
      <w:r>
        <w:rPr>
          <w:rFonts w:hint="eastAsia" w:ascii="方正小标宋简体" w:hAnsi="方正小标宋简体" w:eastAsia="方正小标宋简体" w:cs="方正小标宋简体"/>
          <w:b w:val="0"/>
          <w:bCs/>
          <w:color w:val="auto"/>
          <w:sz w:val="44"/>
          <w:szCs w:val="44"/>
          <w:highlight w:val="none"/>
          <w:lang w:val="en-US" w:eastAsia="zh-CN"/>
        </w:rPr>
        <w:t>预算编制</w:t>
      </w:r>
      <w:r>
        <w:rPr>
          <w:rFonts w:hint="eastAsia" w:ascii="方正小标宋简体" w:hAnsi="方正小标宋简体" w:eastAsia="方正小标宋简体" w:cs="方正小标宋简体"/>
          <w:b w:val="0"/>
          <w:bCs/>
          <w:color w:val="auto"/>
          <w:sz w:val="44"/>
          <w:szCs w:val="44"/>
          <w:highlight w:val="none"/>
        </w:rPr>
        <w:t>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目  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 xml:space="preserve">第一部分 </w:t>
      </w:r>
      <w:r>
        <w:rPr>
          <w:rFonts w:hint="eastAsia" w:ascii="仿宋" w:hAnsi="仿宋" w:eastAsia="仿宋" w:cs="仿宋"/>
          <w:b/>
          <w:bCs/>
          <w:color w:val="auto"/>
          <w:sz w:val="32"/>
          <w:szCs w:val="32"/>
          <w:highlight w:val="none"/>
          <w:lang w:eastAsia="zh-CN"/>
        </w:rPr>
        <w:t>单位</w:t>
      </w:r>
      <w:r>
        <w:rPr>
          <w:rFonts w:hint="eastAsia" w:ascii="仿宋" w:hAnsi="仿宋" w:eastAsia="仿宋" w:cs="仿宋"/>
          <w:b/>
          <w:bCs/>
          <w:color w:val="auto"/>
          <w:sz w:val="32"/>
          <w:szCs w:val="32"/>
          <w:highlight w:val="none"/>
        </w:rPr>
        <w:t>概况</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b w:val="0"/>
          <w:bCs w:val="0"/>
          <w:color w:val="auto"/>
          <w:sz w:val="32"/>
          <w:szCs w:val="32"/>
          <w:highlight w:val="none"/>
          <w:lang w:eastAsia="zh-CN"/>
        </w:rPr>
        <w:t>单位</w:t>
      </w:r>
      <w:r>
        <w:rPr>
          <w:rFonts w:hint="eastAsia" w:ascii="仿宋" w:hAnsi="仿宋" w:eastAsia="仿宋" w:cs="仿宋"/>
          <w:b w:val="0"/>
          <w:bCs w:val="0"/>
          <w:color w:val="auto"/>
          <w:sz w:val="32"/>
          <w:szCs w:val="32"/>
          <w:highlight w:val="none"/>
        </w:rPr>
        <w:t>主要职责</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二、</w:t>
      </w:r>
      <w:r>
        <w:rPr>
          <w:rFonts w:hint="eastAsia" w:ascii="仿宋" w:hAnsi="仿宋" w:eastAsia="仿宋" w:cs="仿宋"/>
          <w:b w:val="0"/>
          <w:bCs w:val="0"/>
          <w:color w:val="auto"/>
          <w:sz w:val="32"/>
          <w:szCs w:val="32"/>
          <w:highlight w:val="none"/>
          <w:lang w:eastAsia="zh-CN"/>
        </w:rPr>
        <w:t>单位</w:t>
      </w:r>
      <w:r>
        <w:rPr>
          <w:rFonts w:hint="eastAsia" w:ascii="仿宋" w:hAnsi="仿宋" w:eastAsia="仿宋" w:cs="仿宋"/>
          <w:b w:val="0"/>
          <w:bCs w:val="0"/>
          <w:color w:val="auto"/>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二</w:t>
      </w:r>
      <w:r>
        <w:rPr>
          <w:rFonts w:hint="eastAsia" w:ascii="仿宋" w:hAnsi="仿宋" w:eastAsia="仿宋" w:cs="仿宋"/>
          <w:b/>
          <w:bCs/>
          <w:color w:val="auto"/>
          <w:sz w:val="32"/>
          <w:szCs w:val="32"/>
          <w:highlight w:val="none"/>
        </w:rPr>
        <w:t>部分</w:t>
      </w:r>
      <w:r>
        <w:rPr>
          <w:rFonts w:hint="eastAsia" w:ascii="仿宋" w:hAnsi="仿宋" w:eastAsia="仿宋" w:cs="仿宋"/>
          <w:b/>
          <w:bCs/>
          <w:color w:val="auto"/>
          <w:sz w:val="32"/>
          <w:szCs w:val="32"/>
          <w:highlight w:val="none"/>
          <w:lang w:val="en-US" w:eastAsia="zh-CN"/>
        </w:rPr>
        <w:t xml:space="preserve"> 2025年</w:t>
      </w:r>
      <w:r>
        <w:rPr>
          <w:rFonts w:hint="eastAsia" w:ascii="仿宋" w:hAnsi="仿宋" w:eastAsia="仿宋" w:cs="仿宋"/>
          <w:b/>
          <w:bCs/>
          <w:color w:val="auto"/>
          <w:sz w:val="32"/>
          <w:szCs w:val="32"/>
          <w:highlight w:val="none"/>
          <w:lang w:eastAsia="zh-CN"/>
        </w:rPr>
        <w:t>单位</w:t>
      </w:r>
      <w:r>
        <w:rPr>
          <w:rFonts w:hint="eastAsia" w:ascii="仿宋" w:hAnsi="仿宋" w:eastAsia="仿宋" w:cs="仿宋"/>
          <w:b/>
          <w:bCs/>
          <w:color w:val="auto"/>
          <w:sz w:val="32"/>
          <w:szCs w:val="32"/>
          <w:highlight w:val="none"/>
        </w:rPr>
        <w:t>预算情况说明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b w:val="0"/>
          <w:bCs w:val="0"/>
          <w:color w:val="auto"/>
          <w:sz w:val="32"/>
          <w:szCs w:val="32"/>
          <w:highlight w:val="none"/>
          <w:lang w:eastAsia="zh-CN"/>
        </w:rPr>
        <w:t>单位</w:t>
      </w:r>
      <w:r>
        <w:rPr>
          <w:rFonts w:hint="eastAsia" w:ascii="仿宋" w:hAnsi="仿宋" w:eastAsia="仿宋" w:cs="仿宋"/>
          <w:b w:val="0"/>
          <w:bCs w:val="0"/>
          <w:color w:val="auto"/>
          <w:sz w:val="32"/>
          <w:szCs w:val="32"/>
          <w:highlight w:val="none"/>
        </w:rPr>
        <w:t>预算</w:t>
      </w:r>
      <w:r>
        <w:rPr>
          <w:rFonts w:hint="eastAsia" w:ascii="仿宋" w:hAnsi="仿宋" w:eastAsia="仿宋" w:cs="仿宋"/>
          <w:color w:val="auto"/>
          <w:sz w:val="32"/>
          <w:szCs w:val="32"/>
          <w:highlight w:val="none"/>
        </w:rPr>
        <w:t>收支情况说明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二、“三公”经费预算情况说明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三</w:t>
      </w:r>
      <w:r>
        <w:rPr>
          <w:rFonts w:hint="eastAsia" w:ascii="仿宋" w:hAnsi="仿宋" w:eastAsia="仿宋" w:cs="仿宋"/>
          <w:b/>
          <w:bCs/>
          <w:color w:val="auto"/>
          <w:sz w:val="32"/>
          <w:szCs w:val="32"/>
          <w:highlight w:val="none"/>
        </w:rPr>
        <w:t>部分</w:t>
      </w:r>
      <w:r>
        <w:rPr>
          <w:rFonts w:hint="eastAsia" w:ascii="仿宋" w:hAnsi="仿宋" w:eastAsia="仿宋" w:cs="仿宋"/>
          <w:b/>
          <w:bCs/>
          <w:color w:val="auto"/>
          <w:sz w:val="32"/>
          <w:szCs w:val="32"/>
          <w:highlight w:val="none"/>
          <w:lang w:val="en-US" w:eastAsia="zh-CN"/>
        </w:rPr>
        <w:t xml:space="preserve"> 2025年</w:t>
      </w:r>
      <w:r>
        <w:rPr>
          <w:rFonts w:hint="eastAsia" w:ascii="仿宋" w:hAnsi="仿宋" w:eastAsia="仿宋" w:cs="仿宋"/>
          <w:b/>
          <w:bCs/>
          <w:color w:val="auto"/>
          <w:sz w:val="32"/>
          <w:szCs w:val="32"/>
          <w:highlight w:val="none"/>
          <w:lang w:eastAsia="zh-CN"/>
        </w:rPr>
        <w:t>单位</w:t>
      </w:r>
      <w:r>
        <w:rPr>
          <w:rFonts w:hint="eastAsia" w:ascii="仿宋" w:hAnsi="仿宋" w:eastAsia="仿宋" w:cs="仿宋"/>
          <w:b/>
          <w:bCs/>
          <w:color w:val="auto"/>
          <w:sz w:val="32"/>
          <w:szCs w:val="32"/>
          <w:highlight w:val="none"/>
        </w:rPr>
        <w:t>预算表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收入总表》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支出总表》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七、《一般公共预算“三公”经费支出表》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八、《政府性基金预算支出表》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九、《国有资本经营预算支出表》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十、《项目支出绩效目标表》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第四部分 名词解释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第一部分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lang w:eastAsia="zh-CN"/>
        </w:rPr>
        <w:t>单位</w:t>
      </w:r>
      <w:r>
        <w:rPr>
          <w:rFonts w:hint="eastAsia" w:ascii="黑体" w:hAnsi="黑体" w:eastAsia="黑体" w:cs="黑体"/>
          <w:b w:val="0"/>
          <w:bCs w:val="0"/>
          <w:color w:val="auto"/>
          <w:sz w:val="32"/>
          <w:szCs w:val="32"/>
          <w:highlight w:val="none"/>
        </w:rPr>
        <w:t>概况</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单位</w:t>
      </w:r>
      <w:r>
        <w:rPr>
          <w:rFonts w:hint="eastAsia" w:ascii="楷体" w:hAnsi="楷体" w:eastAsia="楷体" w:cs="楷体"/>
          <w:b/>
          <w:bCs/>
          <w:color w:val="auto"/>
          <w:sz w:val="32"/>
          <w:szCs w:val="32"/>
          <w:highlight w:val="none"/>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兴国县林业局是县政府主管林业工作的工作部门，为正科级。主要职责是：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（一）贯彻执行国家关于林业建设和发展的方针、政策和</w:t>
      </w:r>
      <w:r>
        <w:rPr>
          <w:rFonts w:hint="eastAsia" w:ascii="仿宋_GB2312" w:hAnsi="仿宋_GB2312" w:eastAsia="仿宋_GB2312" w:cs="仿宋_GB2312"/>
          <w:color w:val="auto"/>
          <w:sz w:val="32"/>
          <w:szCs w:val="32"/>
          <w:highlight w:val="none"/>
          <w:lang w:eastAsia="zh-CN"/>
        </w:rPr>
        <w:t>法律法规</w:t>
      </w:r>
      <w:r>
        <w:rPr>
          <w:rFonts w:hint="eastAsia" w:ascii="仿宋_GB2312" w:hAnsi="仿宋_GB2312" w:eastAsia="仿宋_GB2312" w:cs="仿宋_GB2312"/>
          <w:color w:val="auto"/>
          <w:sz w:val="32"/>
          <w:szCs w:val="32"/>
          <w:highlight w:val="none"/>
        </w:rPr>
        <w:t>；研究拟定全县森林生态环境建设、森林资源保护和国土绿化的规定和方法，经批准后组织实施。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（二）拟定全县林业中长期发展规划和年度计划，经批准后组织实施。制定林业产业发展规划和措施，指导林业产业体系的建设和发展。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组织开展植树造林、封山育林工作；组织实施国家林业重点工程和以植树种草等生物措施防治水土流失的工作；指导、管理生态公益林、商品林的培育和发展；指导、管理林木种苗的生产经营和林业有害生物的防治、检疫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组织管理森林资源和陆生野生动物资源，组织实施全县森林资源调查、动态监测和统计工作，负责野生动物疫源疫病监测防控工作；承担林地、林权的管理和合理开发利用工作，指导全县森林资源资产交易工作，负责权限内审核国有森林资源和审批集体森林资源的流转；监督执行森林采伐限额及木竹的凭证运输，承担林木采伐许可审批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（五）组织、协调、指导和监督全县湿地保护工作。制定全县湿地保护规划，组织实施建立湿地保护小区、湿地公园等保护管理工作，监督湿地的合理利用；负责全县自然保护区的监督管理工作。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指导、管理林业基本建设、多种经营和技术改造工作；组织申报重点林业建设项目，承办中央财政林业项目贴息贷款和林权抵押贴息贷款项目的审核、申报工作；配合相关部门开展政策性林业保险工作；监督管理国有林业资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（七）负责林业科技和人才的管理、培训工作；管理、督促林业科技项目的实施；开展林业科学技术的对外交流与合作，承接国内外各类造林绿化款项的</w:t>
      </w:r>
      <w:r>
        <w:rPr>
          <w:rFonts w:hint="eastAsia" w:ascii="仿宋_GB2312" w:hAnsi="仿宋_GB2312" w:eastAsia="仿宋_GB2312" w:cs="仿宋_GB2312"/>
          <w:color w:val="auto"/>
          <w:sz w:val="32"/>
          <w:szCs w:val="32"/>
          <w:highlight w:val="none"/>
          <w:lang w:eastAsia="zh-CN"/>
        </w:rPr>
        <w:t>捐赠</w:t>
      </w:r>
      <w:r>
        <w:rPr>
          <w:rFonts w:hint="eastAsia" w:ascii="仿宋_GB2312" w:hAnsi="仿宋_GB2312" w:eastAsia="仿宋_GB2312" w:cs="仿宋_GB2312"/>
          <w:color w:val="auto"/>
          <w:sz w:val="32"/>
          <w:szCs w:val="32"/>
          <w:highlight w:val="none"/>
        </w:rPr>
        <w:t>和项目造林。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（八）承办县绿化委员会的具体工作；贯彻执行《江西省公民义务植树条例》，组织实施全民义务植树活动；指导、协调、督促部门造林绿化；组织开展全县范围内名木古树的普查，并实施监督管理保护工作。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（九）预防及宣传森林防火工作。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（十）领导县林政管理稽查大队的工作，管理稽查队伍建设；指导开展林业综合行政执法和木材检查工作。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24"/>
          <w:szCs w:val="24"/>
          <w:highlight w:val="none"/>
        </w:rPr>
      </w:pPr>
      <w:r>
        <w:rPr>
          <w:rFonts w:hint="eastAsia" w:ascii="仿宋_GB2312" w:hAnsi="仿宋_GB2312" w:eastAsia="仿宋_GB2312" w:cs="仿宋_GB2312"/>
          <w:color w:val="auto"/>
          <w:sz w:val="32"/>
          <w:szCs w:val="32"/>
          <w:highlight w:val="none"/>
        </w:rPr>
        <w:t>（十一）承办县政府交办的其他事项。</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eastAsia="zh-CN"/>
        </w:rPr>
        <w:t>单位</w:t>
      </w:r>
      <w:r>
        <w:rPr>
          <w:rFonts w:hint="eastAsia" w:ascii="楷体" w:hAnsi="楷体" w:eastAsia="楷体" w:cs="楷体"/>
          <w:b/>
          <w:bCs/>
          <w:color w:val="auto"/>
          <w:sz w:val="32"/>
          <w:szCs w:val="32"/>
          <w:highlight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_GB2312" w:hAnsi="仿宋_GB2312" w:eastAsia="仿宋_GB2312" w:cs="仿宋_GB2312"/>
          <w:color w:val="auto"/>
          <w:sz w:val="32"/>
          <w:szCs w:val="32"/>
          <w:highlight w:val="none"/>
          <w:lang w:eastAsia="zh-CN"/>
        </w:rPr>
      </w:pPr>
      <w:r>
        <w:rPr>
          <w:rFonts w:hint="eastAsia" w:ascii="仿宋" w:hAnsi="仿宋" w:eastAsia="仿宋" w:cs="仿宋"/>
          <w:color w:val="auto"/>
          <w:sz w:val="32"/>
          <w:szCs w:val="32"/>
          <w:highlight w:val="none"/>
          <w:lang w:val="en-US" w:eastAsia="zh-CN"/>
        </w:rPr>
        <w:t>2025</w:t>
      </w:r>
      <w:r>
        <w:rPr>
          <w:rFonts w:hint="eastAsia" w:ascii="仿宋" w:hAnsi="仿宋" w:eastAsia="仿宋" w:cs="仿宋"/>
          <w:color w:val="auto"/>
          <w:sz w:val="32"/>
          <w:szCs w:val="32"/>
          <w:highlight w:val="none"/>
        </w:rPr>
        <w:t>年</w:t>
      </w:r>
      <w:r>
        <w:rPr>
          <w:rFonts w:hint="eastAsia" w:ascii="仿宋" w:hAnsi="仿宋" w:eastAsia="仿宋"/>
          <w:color w:val="auto"/>
          <w:sz w:val="32"/>
          <w:szCs w:val="32"/>
          <w:highlight w:val="none"/>
          <w:lang w:eastAsia="zh-CN"/>
        </w:rPr>
        <w:t>本单位</w:t>
      </w:r>
      <w:r>
        <w:rPr>
          <w:rFonts w:hint="eastAsia" w:ascii="仿宋" w:hAnsi="仿宋" w:eastAsia="仿宋"/>
          <w:color w:val="auto"/>
          <w:sz w:val="32"/>
          <w:szCs w:val="32"/>
          <w:highlight w:val="none"/>
        </w:rPr>
        <w:t>内设处室</w:t>
      </w:r>
      <w:r>
        <w:rPr>
          <w:rFonts w:hint="eastAsia" w:ascii="仿宋" w:hAnsi="仿宋" w:eastAsia="仿宋"/>
          <w:color w:val="auto"/>
          <w:sz w:val="32"/>
          <w:szCs w:val="32"/>
          <w:highlight w:val="none"/>
          <w:lang w:val="en-US" w:eastAsia="zh-CN"/>
        </w:rPr>
        <w:t>5</w:t>
      </w:r>
      <w:r>
        <w:rPr>
          <w:rFonts w:hint="eastAsia" w:ascii="仿宋" w:hAnsi="仿宋" w:eastAsia="仿宋"/>
          <w:color w:val="auto"/>
          <w:sz w:val="32"/>
          <w:szCs w:val="32"/>
          <w:highlight w:val="none"/>
        </w:rPr>
        <w:t xml:space="preserve"> 个，分别为：办公室</w:t>
      </w:r>
      <w:r>
        <w:rPr>
          <w:rFonts w:hint="eastAsia" w:ascii="仿宋" w:hAnsi="仿宋" w:eastAsia="仿宋"/>
          <w:color w:val="auto"/>
          <w:sz w:val="32"/>
          <w:szCs w:val="32"/>
          <w:highlight w:val="none"/>
          <w:lang w:val="en-US" w:eastAsia="zh-CN"/>
        </w:rPr>
        <w:t>、资源管理股、造林绿化和产业发展股、防火股、林政管理</w:t>
      </w:r>
      <w:r>
        <w:rPr>
          <w:rFonts w:hint="eastAsia" w:ascii="仿宋_GB2312" w:hAnsi="仿宋_GB2312" w:eastAsia="仿宋_GB2312" w:cs="仿宋_GB2312"/>
          <w:color w:val="auto"/>
          <w:sz w:val="32"/>
          <w:szCs w:val="32"/>
          <w:highlight w:val="none"/>
        </w:rPr>
        <w:t>稽查队</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下属事业1个单位</w:t>
      </w:r>
      <w:r>
        <w:rPr>
          <w:rFonts w:hint="eastAsia" w:ascii="仿宋_GB2312" w:hAnsi="仿宋_GB2312" w:eastAsia="仿宋_GB2312" w:cs="仿宋_GB2312"/>
          <w:color w:val="auto"/>
          <w:sz w:val="32"/>
          <w:szCs w:val="32"/>
          <w:highlight w:val="none"/>
        </w:rPr>
        <w:t>技术推广中心</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highlight w:val="none"/>
          <w:lang w:eastAsia="zh-CN"/>
        </w:rPr>
      </w:pPr>
      <w:r>
        <w:rPr>
          <w:rFonts w:hint="eastAsia" w:ascii="仿宋" w:hAnsi="仿宋" w:eastAsia="仿宋"/>
          <w:color w:val="auto"/>
          <w:sz w:val="32"/>
          <w:szCs w:val="32"/>
          <w:highlight w:val="none"/>
          <w:lang w:val="en-US" w:eastAsia="zh-CN"/>
        </w:rPr>
        <w:t>2025年</w:t>
      </w:r>
      <w:r>
        <w:rPr>
          <w:rFonts w:hint="eastAsia" w:ascii="仿宋" w:hAnsi="仿宋" w:eastAsia="仿宋"/>
          <w:color w:val="auto"/>
          <w:sz w:val="32"/>
          <w:szCs w:val="32"/>
          <w:highlight w:val="none"/>
          <w:lang w:eastAsia="zh-CN"/>
        </w:rPr>
        <w:t>本单位</w:t>
      </w:r>
      <w:r>
        <w:rPr>
          <w:rFonts w:hint="eastAsia" w:ascii="仿宋" w:hAnsi="仿宋" w:eastAsia="仿宋"/>
          <w:color w:val="auto"/>
          <w:sz w:val="32"/>
          <w:szCs w:val="32"/>
          <w:highlight w:val="none"/>
        </w:rPr>
        <w:t>编制人数小计</w:t>
      </w:r>
      <w:r>
        <w:rPr>
          <w:rFonts w:hint="eastAsia" w:ascii="仿宋" w:hAnsi="仿宋" w:eastAsia="仿宋"/>
          <w:color w:val="auto"/>
          <w:sz w:val="32"/>
          <w:szCs w:val="32"/>
          <w:highlight w:val="none"/>
          <w:lang w:val="en-US" w:eastAsia="zh-CN"/>
        </w:rPr>
        <w:t>98</w:t>
      </w:r>
      <w:r>
        <w:rPr>
          <w:rFonts w:hint="eastAsia" w:ascii="仿宋" w:hAnsi="仿宋" w:eastAsia="仿宋"/>
          <w:color w:val="auto"/>
          <w:sz w:val="32"/>
          <w:szCs w:val="32"/>
          <w:highlight w:val="none"/>
        </w:rPr>
        <w:t>人</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其中：行政编制人数</w:t>
      </w:r>
      <w:r>
        <w:rPr>
          <w:rFonts w:hint="eastAsia" w:ascii="仿宋" w:hAnsi="仿宋" w:eastAsia="仿宋"/>
          <w:color w:val="auto"/>
          <w:sz w:val="32"/>
          <w:szCs w:val="32"/>
          <w:highlight w:val="none"/>
          <w:lang w:val="en-US" w:eastAsia="zh-CN"/>
        </w:rPr>
        <w:t>12</w:t>
      </w:r>
      <w:r>
        <w:rPr>
          <w:rFonts w:hint="eastAsia" w:ascii="仿宋" w:hAnsi="仿宋" w:eastAsia="仿宋"/>
          <w:color w:val="auto"/>
          <w:sz w:val="32"/>
          <w:szCs w:val="32"/>
          <w:highlight w:val="none"/>
        </w:rPr>
        <w:t>人</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参照公务员管理的事业编制人数</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人</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全部补助事业编制人数</w:t>
      </w:r>
      <w:r>
        <w:rPr>
          <w:rFonts w:hint="eastAsia" w:ascii="仿宋" w:hAnsi="仿宋" w:eastAsia="仿宋"/>
          <w:color w:val="auto"/>
          <w:sz w:val="32"/>
          <w:szCs w:val="32"/>
          <w:highlight w:val="none"/>
          <w:lang w:val="en-US" w:eastAsia="zh-CN"/>
        </w:rPr>
        <w:t>52</w:t>
      </w:r>
      <w:r>
        <w:rPr>
          <w:rFonts w:hint="eastAsia" w:ascii="仿宋" w:hAnsi="仿宋" w:eastAsia="仿宋"/>
          <w:color w:val="auto"/>
          <w:sz w:val="32"/>
          <w:szCs w:val="32"/>
          <w:highlight w:val="none"/>
        </w:rPr>
        <w:t>人</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自收自支编制人数</w:t>
      </w:r>
      <w:r>
        <w:rPr>
          <w:rFonts w:hint="eastAsia" w:ascii="仿宋" w:hAnsi="仿宋" w:eastAsia="仿宋"/>
          <w:color w:val="auto"/>
          <w:sz w:val="32"/>
          <w:szCs w:val="32"/>
          <w:highlight w:val="none"/>
          <w:lang w:val="en-US" w:eastAsia="zh-CN"/>
        </w:rPr>
        <w:t>34</w:t>
      </w:r>
      <w:r>
        <w:rPr>
          <w:rFonts w:hint="eastAsia" w:ascii="仿宋" w:hAnsi="仿宋" w:eastAsia="仿宋"/>
          <w:color w:val="auto"/>
          <w:sz w:val="32"/>
          <w:szCs w:val="32"/>
          <w:highlight w:val="none"/>
        </w:rPr>
        <w:t>人。实有人数小计</w:t>
      </w:r>
      <w:r>
        <w:rPr>
          <w:rFonts w:hint="eastAsia" w:ascii="仿宋" w:hAnsi="仿宋" w:eastAsia="仿宋"/>
          <w:color w:val="auto"/>
          <w:sz w:val="32"/>
          <w:szCs w:val="32"/>
          <w:highlight w:val="none"/>
          <w:u w:val="none"/>
          <w:lang w:val="en-US" w:eastAsia="zh-CN"/>
        </w:rPr>
        <w:t>220</w:t>
      </w:r>
      <w:r>
        <w:rPr>
          <w:rFonts w:hint="eastAsia" w:ascii="仿宋" w:hAnsi="仿宋" w:eastAsia="仿宋"/>
          <w:color w:val="auto"/>
          <w:sz w:val="32"/>
          <w:szCs w:val="32"/>
          <w:highlight w:val="none"/>
        </w:rPr>
        <w:t>人</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其中：在职人数小计</w:t>
      </w:r>
      <w:r>
        <w:rPr>
          <w:rFonts w:hint="eastAsia" w:ascii="仿宋" w:hAnsi="仿宋" w:eastAsia="仿宋"/>
          <w:color w:val="auto"/>
          <w:sz w:val="32"/>
          <w:szCs w:val="32"/>
          <w:highlight w:val="none"/>
          <w:lang w:val="en-US" w:eastAsia="zh-CN"/>
        </w:rPr>
        <w:t>91</w:t>
      </w:r>
      <w:r>
        <w:rPr>
          <w:rFonts w:hint="eastAsia" w:ascii="仿宋" w:hAnsi="仿宋" w:eastAsia="仿宋"/>
          <w:color w:val="auto"/>
          <w:sz w:val="32"/>
          <w:szCs w:val="32"/>
          <w:highlight w:val="none"/>
        </w:rPr>
        <w:t>人</w:t>
      </w:r>
      <w:r>
        <w:rPr>
          <w:rFonts w:hint="eastAsia" w:ascii="楷体" w:hAnsi="楷体" w:eastAsia="楷体" w:cs="楷体"/>
          <w:color w:val="auto"/>
          <w:sz w:val="30"/>
          <w:szCs w:val="30"/>
          <w:highlight w:val="none"/>
        </w:rPr>
        <w:t>（行政在职人数</w:t>
      </w:r>
      <w:r>
        <w:rPr>
          <w:rFonts w:hint="eastAsia" w:ascii="楷体" w:hAnsi="楷体" w:eastAsia="楷体" w:cs="楷体"/>
          <w:color w:val="auto"/>
          <w:sz w:val="30"/>
          <w:szCs w:val="30"/>
          <w:highlight w:val="none"/>
          <w:lang w:val="en-US" w:eastAsia="zh-CN"/>
        </w:rPr>
        <w:t>9</w:t>
      </w:r>
      <w:r>
        <w:rPr>
          <w:rFonts w:hint="eastAsia" w:ascii="楷体" w:hAnsi="楷体" w:eastAsia="楷体" w:cs="楷体"/>
          <w:color w:val="auto"/>
          <w:sz w:val="30"/>
          <w:szCs w:val="30"/>
          <w:highlight w:val="none"/>
        </w:rPr>
        <w:t>人</w:t>
      </w:r>
      <w:r>
        <w:rPr>
          <w:rFonts w:hint="eastAsia" w:ascii="楷体" w:hAnsi="楷体" w:eastAsia="楷体" w:cs="楷体"/>
          <w:color w:val="auto"/>
          <w:sz w:val="30"/>
          <w:szCs w:val="30"/>
          <w:highlight w:val="none"/>
          <w:lang w:eastAsia="zh-CN"/>
        </w:rPr>
        <w:t>，</w:t>
      </w:r>
      <w:r>
        <w:rPr>
          <w:rFonts w:hint="eastAsia" w:ascii="楷体" w:hAnsi="楷体" w:eastAsia="楷体" w:cs="楷体"/>
          <w:color w:val="auto"/>
          <w:sz w:val="30"/>
          <w:szCs w:val="30"/>
          <w:highlight w:val="none"/>
        </w:rPr>
        <w:t>参照公务员管理的事业单位在职人数</w:t>
      </w:r>
      <w:r>
        <w:rPr>
          <w:rFonts w:hint="eastAsia" w:ascii="楷体" w:hAnsi="楷体" w:eastAsia="楷体" w:cs="楷体"/>
          <w:color w:val="auto"/>
          <w:sz w:val="30"/>
          <w:szCs w:val="30"/>
          <w:highlight w:val="none"/>
          <w:lang w:val="en-US" w:eastAsia="zh-CN"/>
        </w:rPr>
        <w:t>0</w:t>
      </w:r>
      <w:r>
        <w:rPr>
          <w:rFonts w:hint="eastAsia" w:ascii="楷体" w:hAnsi="楷体" w:eastAsia="楷体" w:cs="楷体"/>
          <w:color w:val="auto"/>
          <w:sz w:val="30"/>
          <w:szCs w:val="30"/>
          <w:highlight w:val="none"/>
        </w:rPr>
        <w:t>人</w:t>
      </w:r>
      <w:r>
        <w:rPr>
          <w:rFonts w:hint="eastAsia" w:ascii="楷体" w:hAnsi="楷体" w:eastAsia="楷体" w:cs="楷体"/>
          <w:color w:val="auto"/>
          <w:sz w:val="30"/>
          <w:szCs w:val="30"/>
          <w:highlight w:val="none"/>
          <w:lang w:eastAsia="zh-CN"/>
        </w:rPr>
        <w:t>，</w:t>
      </w:r>
      <w:r>
        <w:rPr>
          <w:rFonts w:hint="eastAsia" w:ascii="楷体" w:hAnsi="楷体" w:eastAsia="楷体" w:cs="楷体"/>
          <w:color w:val="auto"/>
          <w:sz w:val="30"/>
          <w:szCs w:val="30"/>
          <w:highlight w:val="none"/>
        </w:rPr>
        <w:t>全部补助事业在职人数</w:t>
      </w:r>
      <w:r>
        <w:rPr>
          <w:rFonts w:hint="eastAsia" w:ascii="楷体" w:hAnsi="楷体" w:eastAsia="楷体" w:cs="楷体"/>
          <w:color w:val="auto"/>
          <w:sz w:val="30"/>
          <w:szCs w:val="30"/>
          <w:highlight w:val="none"/>
          <w:lang w:val="en-US" w:eastAsia="zh-CN"/>
        </w:rPr>
        <w:t>48</w:t>
      </w:r>
      <w:r>
        <w:rPr>
          <w:rFonts w:hint="eastAsia" w:ascii="楷体" w:hAnsi="楷体" w:eastAsia="楷体" w:cs="楷体"/>
          <w:color w:val="auto"/>
          <w:sz w:val="30"/>
          <w:szCs w:val="30"/>
          <w:highlight w:val="none"/>
        </w:rPr>
        <w:t>人</w:t>
      </w:r>
      <w:r>
        <w:rPr>
          <w:rFonts w:hint="eastAsia" w:ascii="楷体" w:hAnsi="楷体" w:eastAsia="楷体" w:cs="楷体"/>
          <w:color w:val="auto"/>
          <w:sz w:val="30"/>
          <w:szCs w:val="30"/>
          <w:highlight w:val="none"/>
          <w:lang w:eastAsia="zh-CN"/>
        </w:rPr>
        <w:t>，</w:t>
      </w:r>
      <w:r>
        <w:rPr>
          <w:rFonts w:hint="eastAsia" w:ascii="楷体" w:hAnsi="楷体" w:eastAsia="楷体" w:cs="楷体"/>
          <w:color w:val="auto"/>
          <w:sz w:val="30"/>
          <w:szCs w:val="30"/>
          <w:highlight w:val="none"/>
        </w:rPr>
        <w:t>自收自支编制人数</w:t>
      </w:r>
      <w:r>
        <w:rPr>
          <w:rFonts w:hint="eastAsia" w:ascii="楷体" w:hAnsi="楷体" w:eastAsia="楷体" w:cs="楷体"/>
          <w:color w:val="auto"/>
          <w:sz w:val="30"/>
          <w:szCs w:val="30"/>
          <w:highlight w:val="none"/>
          <w:lang w:val="en-US" w:eastAsia="zh-CN"/>
        </w:rPr>
        <w:t>34</w:t>
      </w:r>
      <w:r>
        <w:rPr>
          <w:rFonts w:hint="eastAsia" w:ascii="楷体" w:hAnsi="楷体" w:eastAsia="楷体" w:cs="楷体"/>
          <w:color w:val="auto"/>
          <w:sz w:val="30"/>
          <w:szCs w:val="30"/>
          <w:highlight w:val="none"/>
        </w:rPr>
        <w:t>人）</w:t>
      </w:r>
      <w:r>
        <w:rPr>
          <w:rFonts w:hint="eastAsia" w:ascii="仿宋" w:hAnsi="仿宋" w:eastAsia="仿宋"/>
          <w:color w:val="auto"/>
          <w:sz w:val="32"/>
          <w:szCs w:val="32"/>
          <w:highlight w:val="none"/>
        </w:rPr>
        <w:t>；离休人数小计</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人；退休人数小计</w:t>
      </w:r>
      <w:r>
        <w:rPr>
          <w:rFonts w:hint="eastAsia" w:ascii="仿宋" w:hAnsi="仿宋" w:eastAsia="仿宋"/>
          <w:color w:val="auto"/>
          <w:sz w:val="32"/>
          <w:szCs w:val="32"/>
          <w:highlight w:val="none"/>
          <w:lang w:val="en-US" w:eastAsia="zh-CN"/>
        </w:rPr>
        <w:t>129</w:t>
      </w:r>
      <w:r>
        <w:rPr>
          <w:rFonts w:hint="eastAsia" w:ascii="仿宋" w:hAnsi="仿宋" w:eastAsia="仿宋"/>
          <w:color w:val="auto"/>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二</w:t>
      </w:r>
      <w:r>
        <w:rPr>
          <w:rFonts w:hint="eastAsia" w:ascii="黑体" w:hAnsi="黑体" w:eastAsia="黑体" w:cs="黑体"/>
          <w:b w:val="0"/>
          <w:bCs w:val="0"/>
          <w:color w:val="auto"/>
          <w:sz w:val="32"/>
          <w:szCs w:val="32"/>
          <w:highlight w:val="none"/>
        </w:rPr>
        <w:t xml:space="preserve">部分 </w:t>
      </w:r>
      <w:r>
        <w:rPr>
          <w:rFonts w:hint="eastAsia" w:ascii="黑体" w:hAnsi="黑体" w:eastAsia="黑体" w:cs="黑体"/>
          <w:b w:val="0"/>
          <w:bCs w:val="0"/>
          <w:color w:val="auto"/>
          <w:sz w:val="32"/>
          <w:szCs w:val="32"/>
          <w:highlight w:val="none"/>
          <w:lang w:val="en-US" w:eastAsia="zh-CN"/>
        </w:rPr>
        <w:t>2025年</w:t>
      </w:r>
      <w:r>
        <w:rPr>
          <w:rFonts w:hint="eastAsia" w:ascii="黑体" w:hAnsi="黑体" w:eastAsia="黑体" w:cs="黑体"/>
          <w:b w:val="0"/>
          <w:bCs w:val="0"/>
          <w:color w:val="auto"/>
          <w:sz w:val="32"/>
          <w:szCs w:val="32"/>
          <w:highlight w:val="none"/>
          <w:lang w:eastAsia="zh-CN"/>
        </w:rPr>
        <w:t>单位</w:t>
      </w:r>
      <w:r>
        <w:rPr>
          <w:rFonts w:hint="eastAsia" w:ascii="黑体" w:hAnsi="黑体" w:eastAsia="黑体" w:cs="黑体"/>
          <w:b w:val="0"/>
          <w:bCs w:val="0"/>
          <w:color w:val="auto"/>
          <w:sz w:val="32"/>
          <w:szCs w:val="32"/>
          <w:highlight w:val="none"/>
        </w:rPr>
        <w:t>预算情况说明</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单位</w:t>
      </w:r>
      <w:r>
        <w:rPr>
          <w:rFonts w:hint="eastAsia" w:ascii="楷体" w:hAnsi="楷体" w:eastAsia="楷体" w:cs="楷体"/>
          <w:b/>
          <w:bCs/>
          <w:color w:val="auto"/>
          <w:sz w:val="32"/>
          <w:szCs w:val="32"/>
          <w:highlight w:val="none"/>
        </w:rPr>
        <w:t>预算收支情况说明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highlight w:val="none"/>
          <w:lang w:eastAsia="zh-CN"/>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本单位收入</w:t>
      </w:r>
      <w:r>
        <w:rPr>
          <w:rFonts w:hint="eastAsia" w:ascii="仿宋" w:hAnsi="仿宋" w:eastAsia="仿宋" w:cs="仿宋"/>
          <w:color w:val="auto"/>
          <w:sz w:val="30"/>
          <w:szCs w:val="30"/>
          <w:highlight w:val="none"/>
        </w:rPr>
        <w:t>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u w:val="none"/>
          <w:lang w:val="en-US" w:eastAsia="zh-CN"/>
        </w:rPr>
        <w:t>14180.81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u w:val="none"/>
          <w:lang w:val="en-US" w:eastAsia="zh-CN"/>
        </w:rPr>
        <w:t>11796.17</w:t>
      </w:r>
      <w:r>
        <w:rPr>
          <w:rFonts w:hint="eastAsia" w:ascii="仿宋" w:hAnsi="仿宋" w:eastAsia="仿宋" w:cs="仿宋"/>
          <w:color w:val="auto"/>
          <w:sz w:val="32"/>
          <w:szCs w:val="32"/>
          <w:highlight w:val="none"/>
          <w:lang w:eastAsia="zh-CN"/>
        </w:rPr>
        <w:t>万元，增长</w:t>
      </w:r>
      <w:r>
        <w:rPr>
          <w:rFonts w:hint="eastAsia" w:ascii="仿宋" w:hAnsi="仿宋" w:eastAsia="仿宋" w:cs="仿宋"/>
          <w:color w:val="auto"/>
          <w:sz w:val="32"/>
          <w:szCs w:val="32"/>
          <w:highlight w:val="none"/>
          <w:u w:val="none"/>
          <w:lang w:val="en-US" w:eastAsia="zh-CN"/>
        </w:rPr>
        <w:t>494.6</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color w:val="auto"/>
          <w:sz w:val="32"/>
          <w:szCs w:val="32"/>
          <w:highlight w:val="none"/>
          <w:lang w:val="en-US" w:eastAsia="zh-CN"/>
        </w:rPr>
        <w:t>增加上年结转资金预算收入</w:t>
      </w:r>
      <w:r>
        <w:rPr>
          <w:rFonts w:hint="eastAsia" w:ascii="楷体" w:hAnsi="楷体" w:eastAsia="楷体" w:cs="楷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pacing w:val="11"/>
          <w:sz w:val="30"/>
          <w:szCs w:val="30"/>
          <w:highlight w:val="none"/>
        </w:rPr>
        <w:t>其中：</w:t>
      </w:r>
      <w:r>
        <w:rPr>
          <w:rFonts w:hint="eastAsia" w:ascii="仿宋" w:hAnsi="仿宋" w:eastAsia="仿宋" w:cs="仿宋"/>
          <w:color w:val="auto"/>
          <w:spacing w:val="11"/>
          <w:sz w:val="30"/>
          <w:szCs w:val="30"/>
          <w:highlight w:val="none"/>
          <w:lang w:eastAsia="zh-CN"/>
        </w:rPr>
        <w:t>一般公共预算</w:t>
      </w:r>
      <w:r>
        <w:rPr>
          <w:rFonts w:hint="eastAsia" w:ascii="仿宋" w:hAnsi="仿宋" w:eastAsia="仿宋" w:cs="仿宋"/>
          <w:color w:val="auto"/>
          <w:spacing w:val="11"/>
          <w:sz w:val="30"/>
          <w:szCs w:val="30"/>
          <w:highlight w:val="none"/>
        </w:rPr>
        <w:t>收入</w:t>
      </w:r>
      <w:r>
        <w:rPr>
          <w:rFonts w:hint="eastAsia" w:ascii="仿宋" w:hAnsi="仿宋" w:eastAsia="仿宋" w:cs="仿宋"/>
          <w:color w:val="auto"/>
          <w:sz w:val="32"/>
          <w:szCs w:val="32"/>
          <w:highlight w:val="none"/>
          <w:u w:val="none"/>
          <w:lang w:val="en-US" w:eastAsia="zh-CN"/>
        </w:rPr>
        <w:t>1030.36</w:t>
      </w:r>
      <w:r>
        <w:rPr>
          <w:rFonts w:hint="eastAsia" w:ascii="仿宋" w:hAnsi="仿宋" w:eastAsia="仿宋" w:cs="仿宋"/>
          <w:color w:val="auto"/>
          <w:spacing w:val="11"/>
          <w:sz w:val="30"/>
          <w:szCs w:val="30"/>
          <w:highlight w:val="none"/>
        </w:rPr>
        <w:t>万元</w:t>
      </w:r>
      <w:r>
        <w:rPr>
          <w:rFonts w:hint="eastAsia" w:ascii="仿宋" w:hAnsi="仿宋" w:eastAsia="仿宋" w:cs="仿宋"/>
          <w:color w:val="auto"/>
          <w:spacing w:val="11"/>
          <w:sz w:val="30"/>
          <w:szCs w:val="30"/>
          <w:highlight w:val="none"/>
          <w:lang w:eastAsia="zh-CN"/>
        </w:rPr>
        <w:t>，</w:t>
      </w:r>
      <w:r>
        <w:rPr>
          <w:rFonts w:hint="eastAsia" w:ascii="仿宋" w:hAnsi="仿宋" w:eastAsia="仿宋" w:cs="仿宋"/>
          <w:color w:val="auto"/>
          <w:spacing w:val="11"/>
          <w:sz w:val="30"/>
          <w:szCs w:val="30"/>
          <w:highlight w:val="none"/>
        </w:rPr>
        <w:t>较</w:t>
      </w:r>
      <w:r>
        <w:rPr>
          <w:rFonts w:hint="eastAsia" w:ascii="仿宋" w:hAnsi="仿宋" w:eastAsia="仿宋" w:cs="仿宋"/>
          <w:color w:val="auto"/>
          <w:sz w:val="30"/>
          <w:szCs w:val="30"/>
          <w:highlight w:val="none"/>
        </w:rPr>
        <w:t xml:space="preserve"> </w:t>
      </w:r>
      <w:r>
        <w:rPr>
          <w:rFonts w:hint="eastAsia" w:ascii="仿宋" w:hAnsi="仿宋" w:eastAsia="仿宋" w:cs="仿宋"/>
          <w:color w:val="auto"/>
          <w:spacing w:val="23"/>
          <w:sz w:val="30"/>
          <w:szCs w:val="30"/>
          <w:highlight w:val="none"/>
        </w:rPr>
        <w:t>上年预算安排增加</w:t>
      </w:r>
      <w:r>
        <w:rPr>
          <w:rFonts w:hint="eastAsia" w:ascii="仿宋" w:hAnsi="仿宋" w:eastAsia="仿宋" w:cs="仿宋"/>
          <w:color w:val="auto"/>
          <w:spacing w:val="23"/>
          <w:sz w:val="30"/>
          <w:szCs w:val="30"/>
          <w:highlight w:val="none"/>
          <w:lang w:val="en-US" w:eastAsia="zh-CN"/>
        </w:rPr>
        <w:t>178.32</w:t>
      </w:r>
      <w:r>
        <w:rPr>
          <w:rFonts w:hint="eastAsia" w:ascii="仿宋" w:hAnsi="仿宋" w:eastAsia="仿宋" w:cs="仿宋"/>
          <w:color w:val="auto"/>
          <w:spacing w:val="23"/>
          <w:sz w:val="30"/>
          <w:szCs w:val="30"/>
          <w:highlight w:val="none"/>
        </w:rPr>
        <w:t>万元</w:t>
      </w:r>
      <w:r>
        <w:rPr>
          <w:rFonts w:hint="eastAsia" w:ascii="仿宋" w:hAnsi="仿宋" w:eastAsia="仿宋" w:cs="仿宋"/>
          <w:color w:val="auto"/>
          <w:spacing w:val="23"/>
          <w:sz w:val="30"/>
          <w:szCs w:val="30"/>
          <w:highlight w:val="none"/>
          <w:lang w:eastAsia="zh-CN"/>
        </w:rPr>
        <w:t>；</w:t>
      </w:r>
      <w:r>
        <w:rPr>
          <w:rFonts w:hint="eastAsia" w:ascii="仿宋" w:hAnsi="仿宋" w:eastAsia="仿宋" w:cs="仿宋"/>
          <w:color w:val="auto"/>
          <w:spacing w:val="23"/>
          <w:sz w:val="30"/>
          <w:szCs w:val="30"/>
          <w:highlight w:val="none"/>
        </w:rPr>
        <w:t>教育收费资金收</w:t>
      </w:r>
      <w:r>
        <w:rPr>
          <w:rFonts w:hint="eastAsia" w:ascii="仿宋" w:hAnsi="仿宋" w:eastAsia="仿宋" w:cs="仿宋"/>
          <w:color w:val="auto"/>
          <w:spacing w:val="23"/>
          <w:sz w:val="30"/>
          <w:szCs w:val="30"/>
          <w:highlight w:val="none"/>
          <w:lang w:eastAsia="zh-CN"/>
        </w:rPr>
        <w:t>入</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pacing w:val="28"/>
          <w:sz w:val="30"/>
          <w:szCs w:val="30"/>
          <w:highlight w:val="none"/>
        </w:rPr>
        <w:t>万元</w:t>
      </w:r>
      <w:r>
        <w:rPr>
          <w:rFonts w:hint="eastAsia" w:ascii="仿宋" w:hAnsi="仿宋" w:eastAsia="仿宋" w:cs="仿宋"/>
          <w:color w:val="auto"/>
          <w:spacing w:val="28"/>
          <w:sz w:val="30"/>
          <w:szCs w:val="30"/>
          <w:highlight w:val="none"/>
          <w:lang w:eastAsia="zh-CN"/>
        </w:rPr>
        <w:t>，较上</w:t>
      </w:r>
      <w:r>
        <w:rPr>
          <w:rFonts w:hint="eastAsia" w:ascii="仿宋" w:hAnsi="仿宋" w:eastAsia="仿宋" w:cs="仿宋"/>
          <w:color w:val="auto"/>
          <w:spacing w:val="28"/>
          <w:sz w:val="30"/>
          <w:szCs w:val="30"/>
          <w:highlight w:val="none"/>
        </w:rPr>
        <w:t>年预算安排</w:t>
      </w:r>
      <w:r>
        <w:rPr>
          <w:rFonts w:hint="eastAsia" w:ascii="仿宋" w:hAnsi="仿宋" w:eastAsia="仿宋" w:cs="仿宋"/>
          <w:color w:val="auto"/>
          <w:spacing w:val="23"/>
          <w:sz w:val="30"/>
          <w:szCs w:val="30"/>
          <w:highlight w:val="none"/>
        </w:rPr>
        <w:t>增加（减少）</w:t>
      </w:r>
      <w:r>
        <w:rPr>
          <w:rFonts w:hint="eastAsia" w:ascii="仿宋" w:hAnsi="仿宋" w:eastAsia="仿宋" w:cs="仿宋"/>
          <w:color w:val="auto"/>
          <w:spacing w:val="-89"/>
          <w:sz w:val="30"/>
          <w:szCs w:val="30"/>
          <w:highlight w:val="none"/>
          <w:u w:val="none"/>
          <w:lang w:val="en-US" w:eastAsia="zh-CN"/>
        </w:rPr>
        <w:t>0</w:t>
      </w:r>
      <w:r>
        <w:rPr>
          <w:rFonts w:hint="eastAsia" w:ascii="仿宋" w:hAnsi="仿宋" w:eastAsia="仿宋" w:cs="仿宋"/>
          <w:color w:val="auto"/>
          <w:spacing w:val="28"/>
          <w:sz w:val="30"/>
          <w:szCs w:val="30"/>
          <w:highlight w:val="none"/>
        </w:rPr>
        <w:t>万元</w:t>
      </w:r>
      <w:r>
        <w:rPr>
          <w:rFonts w:hint="eastAsia" w:ascii="仿宋" w:hAnsi="仿宋" w:eastAsia="仿宋" w:cs="仿宋"/>
          <w:color w:val="auto"/>
          <w:spacing w:val="28"/>
          <w:sz w:val="30"/>
          <w:szCs w:val="30"/>
          <w:highlight w:val="none"/>
          <w:lang w:eastAsia="zh-CN"/>
        </w:rPr>
        <w:t>；</w:t>
      </w:r>
      <w:r>
        <w:rPr>
          <w:rFonts w:hint="eastAsia" w:ascii="仿宋" w:hAnsi="仿宋" w:eastAsia="仿宋" w:cs="仿宋"/>
          <w:color w:val="auto"/>
          <w:spacing w:val="28"/>
          <w:sz w:val="30"/>
          <w:szCs w:val="30"/>
          <w:highlight w:val="none"/>
        </w:rPr>
        <w:t>事业收入</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pacing w:val="7"/>
          <w:sz w:val="30"/>
          <w:szCs w:val="30"/>
          <w:highlight w:val="none"/>
        </w:rPr>
        <w:t>万元</w:t>
      </w:r>
      <w:r>
        <w:rPr>
          <w:rFonts w:hint="eastAsia" w:ascii="仿宋" w:hAnsi="仿宋" w:eastAsia="仿宋" w:cs="仿宋"/>
          <w:color w:val="auto"/>
          <w:spacing w:val="7"/>
          <w:sz w:val="30"/>
          <w:szCs w:val="30"/>
          <w:highlight w:val="none"/>
          <w:lang w:eastAsia="zh-CN"/>
        </w:rPr>
        <w:t>，</w:t>
      </w:r>
      <w:r>
        <w:rPr>
          <w:rFonts w:hint="eastAsia" w:ascii="仿宋" w:hAnsi="仿宋" w:eastAsia="仿宋" w:cs="仿宋"/>
          <w:color w:val="auto"/>
          <w:spacing w:val="7"/>
          <w:sz w:val="30"/>
          <w:szCs w:val="30"/>
          <w:highlight w:val="none"/>
        </w:rPr>
        <w:t>较上年预算安排增加（减少）</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pacing w:val="7"/>
          <w:sz w:val="30"/>
          <w:szCs w:val="30"/>
          <w:highlight w:val="none"/>
        </w:rPr>
        <w:t>万元</w:t>
      </w:r>
      <w:r>
        <w:rPr>
          <w:rFonts w:hint="eastAsia" w:ascii="仿宋" w:hAnsi="仿宋" w:eastAsia="仿宋" w:cs="仿宋"/>
          <w:color w:val="auto"/>
          <w:spacing w:val="8"/>
          <w:sz w:val="30"/>
          <w:szCs w:val="30"/>
          <w:highlight w:val="none"/>
        </w:rPr>
        <w:t>；</w:t>
      </w:r>
      <w:r>
        <w:rPr>
          <w:rFonts w:hint="eastAsia" w:ascii="仿宋" w:hAnsi="仿宋" w:eastAsia="仿宋" w:cs="仿宋"/>
          <w:color w:val="auto"/>
          <w:spacing w:val="18"/>
          <w:sz w:val="30"/>
          <w:szCs w:val="30"/>
          <w:highlight w:val="none"/>
        </w:rPr>
        <w:t>其他收入</w:t>
      </w:r>
      <w:r>
        <w:rPr>
          <w:rFonts w:hint="eastAsia" w:ascii="仿宋" w:hAnsi="仿宋" w:eastAsia="仿宋" w:cs="仿宋"/>
          <w:color w:val="auto"/>
          <w:sz w:val="32"/>
          <w:szCs w:val="32"/>
          <w:highlight w:val="none"/>
          <w:u w:val="none"/>
          <w:lang w:val="en-US" w:eastAsia="zh-CN"/>
        </w:rPr>
        <w:t>1364.35</w:t>
      </w:r>
      <w:r>
        <w:rPr>
          <w:rFonts w:hint="eastAsia" w:ascii="仿宋" w:hAnsi="仿宋" w:eastAsia="仿宋" w:cs="仿宋"/>
          <w:color w:val="auto"/>
          <w:spacing w:val="18"/>
          <w:sz w:val="30"/>
          <w:szCs w:val="30"/>
          <w:highlight w:val="none"/>
        </w:rPr>
        <w:t>万元，较上年预算安排减少</w:t>
      </w:r>
      <w:r>
        <w:rPr>
          <w:rFonts w:hint="eastAsia" w:ascii="仿宋" w:hAnsi="仿宋" w:eastAsia="仿宋" w:cs="仿宋"/>
          <w:color w:val="auto"/>
          <w:sz w:val="32"/>
          <w:szCs w:val="32"/>
          <w:highlight w:val="none"/>
          <w:u w:val="none"/>
          <w:lang w:val="en-US" w:eastAsia="zh-CN"/>
        </w:rPr>
        <w:t>168.25</w:t>
      </w:r>
      <w:r>
        <w:rPr>
          <w:rFonts w:hint="eastAsia" w:ascii="仿宋" w:hAnsi="仿宋" w:eastAsia="仿宋" w:cs="仿宋"/>
          <w:color w:val="auto"/>
          <w:spacing w:val="7"/>
          <w:sz w:val="30"/>
          <w:szCs w:val="30"/>
          <w:highlight w:val="none"/>
        </w:rPr>
        <w:t>万元；</w:t>
      </w:r>
      <w:r>
        <w:rPr>
          <w:rFonts w:hint="eastAsia" w:ascii="仿宋" w:hAnsi="仿宋" w:eastAsia="仿宋" w:cs="仿宋"/>
          <w:color w:val="auto"/>
          <w:spacing w:val="7"/>
          <w:sz w:val="30"/>
          <w:szCs w:val="30"/>
          <w:highlight w:val="none"/>
          <w:lang w:eastAsia="zh-CN"/>
        </w:rPr>
        <w:t>财政拨款结转（结余）</w:t>
      </w:r>
      <w:r>
        <w:rPr>
          <w:rFonts w:hint="eastAsia" w:ascii="仿宋" w:hAnsi="仿宋" w:eastAsia="仿宋" w:cs="仿宋"/>
          <w:color w:val="auto"/>
          <w:sz w:val="32"/>
          <w:szCs w:val="32"/>
          <w:highlight w:val="none"/>
          <w:u w:val="none"/>
          <w:lang w:val="en-US" w:eastAsia="zh-CN"/>
        </w:rPr>
        <w:t>11786.10</w:t>
      </w:r>
      <w:r>
        <w:rPr>
          <w:rFonts w:hint="eastAsia" w:ascii="仿宋" w:hAnsi="仿宋" w:eastAsia="仿宋" w:cs="仿宋"/>
          <w:color w:val="auto"/>
          <w:spacing w:val="8"/>
          <w:sz w:val="30"/>
          <w:szCs w:val="30"/>
          <w:highlight w:val="none"/>
        </w:rPr>
        <w:t>万元</w:t>
      </w:r>
      <w:r>
        <w:rPr>
          <w:rFonts w:hint="eastAsia" w:ascii="仿宋" w:hAnsi="仿宋" w:eastAsia="仿宋" w:cs="仿宋"/>
          <w:color w:val="auto"/>
          <w:spacing w:val="8"/>
          <w:sz w:val="30"/>
          <w:szCs w:val="30"/>
          <w:highlight w:val="none"/>
          <w:lang w:eastAsia="zh-CN"/>
        </w:rPr>
        <w:t>，</w:t>
      </w:r>
      <w:r>
        <w:rPr>
          <w:rFonts w:hint="eastAsia" w:ascii="仿宋" w:hAnsi="仿宋" w:eastAsia="仿宋" w:cs="仿宋"/>
          <w:color w:val="auto"/>
          <w:spacing w:val="8"/>
          <w:sz w:val="30"/>
          <w:szCs w:val="30"/>
          <w:highlight w:val="none"/>
        </w:rPr>
        <w:t>较上年预算安排增加</w:t>
      </w:r>
      <w:r>
        <w:rPr>
          <w:rFonts w:hint="eastAsia" w:ascii="仿宋" w:hAnsi="仿宋" w:eastAsia="仿宋" w:cs="仿宋"/>
          <w:color w:val="auto"/>
          <w:sz w:val="32"/>
          <w:szCs w:val="32"/>
          <w:highlight w:val="none"/>
          <w:u w:val="none"/>
          <w:lang w:val="en-US" w:eastAsia="zh-CN"/>
        </w:rPr>
        <w:t>11786.10</w:t>
      </w:r>
      <w:r>
        <w:rPr>
          <w:rFonts w:hint="eastAsia" w:ascii="仿宋" w:hAnsi="仿宋" w:eastAsia="仿宋" w:cs="仿宋"/>
          <w:color w:val="auto"/>
          <w:spacing w:val="8"/>
          <w:sz w:val="30"/>
          <w:szCs w:val="30"/>
          <w:highlight w:val="none"/>
        </w:rPr>
        <w:t>万元</w:t>
      </w:r>
      <w:r>
        <w:rPr>
          <w:rFonts w:hint="eastAsia" w:ascii="仿宋" w:hAnsi="仿宋" w:eastAsia="仿宋" w:cs="仿宋"/>
          <w:color w:val="auto"/>
          <w:spacing w:val="4"/>
          <w:sz w:val="30"/>
          <w:szCs w:val="30"/>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0"/>
          <w:szCs w:val="30"/>
          <w:highlight w:val="none"/>
        </w:rPr>
        <w:t>支出预算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u w:val="none"/>
          <w:lang w:val="en-US" w:eastAsia="zh-CN"/>
        </w:rPr>
        <w:t>14180.81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11796.17</w:t>
      </w:r>
      <w:r>
        <w:rPr>
          <w:rFonts w:hint="eastAsia" w:ascii="仿宋" w:hAnsi="仿宋" w:eastAsia="仿宋" w:cs="仿宋"/>
          <w:color w:val="auto"/>
          <w:sz w:val="32"/>
          <w:szCs w:val="32"/>
          <w:highlight w:val="none"/>
          <w:lang w:eastAsia="zh-CN"/>
        </w:rPr>
        <w:t>万元，增长</w:t>
      </w:r>
      <w:r>
        <w:rPr>
          <w:rFonts w:hint="eastAsia" w:ascii="仿宋" w:hAnsi="仿宋" w:eastAsia="仿宋" w:cs="仿宋"/>
          <w:color w:val="auto"/>
          <w:sz w:val="32"/>
          <w:szCs w:val="32"/>
          <w:highlight w:val="none"/>
          <w:u w:val="none"/>
          <w:lang w:val="en-US" w:eastAsia="zh-CN"/>
        </w:rPr>
        <w:t>494.6</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color w:val="auto"/>
          <w:sz w:val="32"/>
          <w:szCs w:val="32"/>
          <w:highlight w:val="none"/>
          <w:lang w:val="en-US" w:eastAsia="zh-CN"/>
        </w:rPr>
        <w:t>增加上年结转资金预算支出</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0"/>
          <w:szCs w:val="30"/>
          <w:highlight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highlight w:val="none"/>
          <w:lang w:eastAsia="zh-CN"/>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auto"/>
          <w:spacing w:val="12"/>
          <w:sz w:val="30"/>
          <w:szCs w:val="30"/>
          <w:highlight w:val="none"/>
          <w:lang w:val="en-US" w:eastAsia="zh-CN"/>
        </w:rPr>
        <w:t>农林水</w:t>
      </w:r>
      <w:r>
        <w:rPr>
          <w:rFonts w:hint="eastAsia" w:ascii="仿宋" w:hAnsi="仿宋" w:eastAsia="仿宋" w:cs="仿宋"/>
          <w:color w:val="auto"/>
          <w:spacing w:val="12"/>
          <w:sz w:val="30"/>
          <w:szCs w:val="30"/>
          <w:highlight w:val="none"/>
        </w:rPr>
        <w:t>支出</w:t>
      </w:r>
      <w:r>
        <w:rPr>
          <w:rFonts w:hint="eastAsia" w:ascii="仿宋" w:hAnsi="仿宋" w:eastAsia="仿宋" w:cs="仿宋"/>
          <w:color w:val="auto"/>
          <w:sz w:val="32"/>
          <w:szCs w:val="32"/>
          <w:highlight w:val="none"/>
          <w:u w:val="none"/>
          <w:lang w:val="en-US" w:eastAsia="zh-CN"/>
        </w:rPr>
        <w:t>10219.70</w:t>
      </w:r>
      <w:r>
        <w:rPr>
          <w:rFonts w:hint="eastAsia" w:ascii="仿宋" w:hAnsi="仿宋" w:eastAsia="仿宋" w:cs="仿宋"/>
          <w:color w:val="auto"/>
          <w:spacing w:val="12"/>
          <w:sz w:val="30"/>
          <w:szCs w:val="30"/>
          <w:highlight w:val="none"/>
        </w:rPr>
        <w:t>万元</w:t>
      </w:r>
      <w:r>
        <w:rPr>
          <w:rFonts w:hint="eastAsia" w:ascii="仿宋" w:hAnsi="仿宋" w:eastAsia="仿宋" w:cs="仿宋"/>
          <w:color w:val="auto"/>
          <w:spacing w:val="12"/>
          <w:sz w:val="30"/>
          <w:szCs w:val="30"/>
          <w:highlight w:val="none"/>
          <w:lang w:eastAsia="zh-CN"/>
        </w:rPr>
        <w:t>，</w:t>
      </w:r>
      <w:r>
        <w:rPr>
          <w:rFonts w:hint="eastAsia" w:ascii="仿宋" w:hAnsi="仿宋" w:eastAsia="仿宋" w:cs="仿宋"/>
          <w:color w:val="auto"/>
          <w:spacing w:val="12"/>
          <w:sz w:val="30"/>
          <w:szCs w:val="30"/>
          <w:highlight w:val="none"/>
        </w:rPr>
        <w:t>较</w:t>
      </w:r>
      <w:r>
        <w:rPr>
          <w:rFonts w:hint="eastAsia" w:ascii="仿宋" w:hAnsi="仿宋" w:eastAsia="仿宋" w:cs="仿宋"/>
          <w:color w:val="auto"/>
          <w:spacing w:val="5"/>
          <w:sz w:val="30"/>
          <w:szCs w:val="30"/>
          <w:highlight w:val="none"/>
        </w:rPr>
        <w:t>上年预算安排增加</w:t>
      </w:r>
      <w:r>
        <w:rPr>
          <w:rFonts w:hint="eastAsia" w:ascii="仿宋" w:hAnsi="仿宋" w:eastAsia="仿宋" w:cs="仿宋"/>
          <w:color w:val="auto"/>
          <w:sz w:val="32"/>
          <w:szCs w:val="32"/>
          <w:highlight w:val="none"/>
          <w:u w:val="none"/>
          <w:lang w:val="en-US" w:eastAsia="zh-CN"/>
        </w:rPr>
        <w:t>9266.33</w:t>
      </w:r>
      <w:r>
        <w:rPr>
          <w:rFonts w:hint="eastAsia" w:ascii="仿宋" w:hAnsi="仿宋" w:eastAsia="仿宋" w:cs="仿宋"/>
          <w:color w:val="auto"/>
          <w:spacing w:val="5"/>
          <w:sz w:val="30"/>
          <w:szCs w:val="30"/>
          <w:highlight w:val="none"/>
        </w:rPr>
        <w:t>万元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社会保障和就业支出</w:t>
      </w:r>
      <w:r>
        <w:rPr>
          <w:rFonts w:hint="eastAsia" w:ascii="仿宋" w:hAnsi="仿宋" w:eastAsia="仿宋" w:cs="仿宋"/>
          <w:color w:val="auto"/>
          <w:sz w:val="32"/>
          <w:szCs w:val="32"/>
          <w:highlight w:val="none"/>
          <w:u w:val="none"/>
          <w:lang w:val="en-US" w:eastAsia="zh-CN"/>
        </w:rPr>
        <w:t>259.59</w:t>
      </w:r>
      <w:r>
        <w:rPr>
          <w:rFonts w:hint="eastAsia" w:ascii="仿宋" w:hAnsi="仿宋" w:eastAsia="仿宋" w:cs="仿宋"/>
          <w:color w:val="auto"/>
          <w:spacing w:val="5"/>
          <w:sz w:val="30"/>
          <w:szCs w:val="30"/>
          <w:highlight w:val="none"/>
        </w:rPr>
        <w:t>万元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较</w:t>
      </w:r>
      <w:r>
        <w:rPr>
          <w:rFonts w:hint="eastAsia" w:ascii="仿宋" w:hAnsi="仿宋" w:eastAsia="仿宋" w:cs="仿宋"/>
          <w:color w:val="auto"/>
          <w:spacing w:val="10"/>
          <w:sz w:val="30"/>
          <w:szCs w:val="30"/>
          <w:highlight w:val="none"/>
        </w:rPr>
        <w:t>上年预算安排增加</w:t>
      </w:r>
      <w:r>
        <w:rPr>
          <w:rFonts w:hint="eastAsia" w:ascii="仿宋" w:hAnsi="仿宋" w:eastAsia="仿宋" w:cs="仿宋"/>
          <w:color w:val="auto"/>
          <w:spacing w:val="10"/>
          <w:sz w:val="30"/>
          <w:szCs w:val="30"/>
          <w:highlight w:val="none"/>
          <w:lang w:val="en-US" w:eastAsia="zh-CN"/>
        </w:rPr>
        <w:t>65.46</w:t>
      </w:r>
      <w:r>
        <w:rPr>
          <w:rFonts w:hint="eastAsia" w:ascii="仿宋" w:hAnsi="仿宋" w:eastAsia="仿宋" w:cs="仿宋"/>
          <w:color w:val="auto"/>
          <w:spacing w:val="10"/>
          <w:sz w:val="30"/>
          <w:szCs w:val="30"/>
          <w:highlight w:val="none"/>
        </w:rPr>
        <w:t>万元</w:t>
      </w:r>
      <w:r>
        <w:rPr>
          <w:rFonts w:hint="eastAsia" w:ascii="仿宋" w:hAnsi="仿宋" w:eastAsia="仿宋" w:cs="仿宋"/>
          <w:color w:val="auto"/>
          <w:spacing w:val="10"/>
          <w:sz w:val="30"/>
          <w:szCs w:val="30"/>
          <w:highlight w:val="none"/>
          <w:lang w:eastAsia="zh-CN"/>
        </w:rPr>
        <w:t>；</w:t>
      </w:r>
      <w:r>
        <w:rPr>
          <w:rFonts w:hint="eastAsia" w:ascii="仿宋" w:hAnsi="仿宋" w:eastAsia="仿宋" w:cs="仿宋"/>
          <w:color w:val="auto"/>
          <w:spacing w:val="10"/>
          <w:sz w:val="30"/>
          <w:szCs w:val="30"/>
          <w:highlight w:val="none"/>
        </w:rPr>
        <w:t>卫生健康支出</w:t>
      </w:r>
      <w:r>
        <w:rPr>
          <w:rFonts w:hint="eastAsia" w:ascii="仿宋" w:hAnsi="仿宋" w:eastAsia="仿宋" w:cs="仿宋"/>
          <w:color w:val="auto"/>
          <w:sz w:val="32"/>
          <w:szCs w:val="32"/>
          <w:highlight w:val="none"/>
          <w:u w:val="none"/>
          <w:lang w:val="en-US" w:eastAsia="zh-CN"/>
        </w:rPr>
        <w:t>118.30</w:t>
      </w:r>
      <w:r>
        <w:rPr>
          <w:rFonts w:hint="eastAsia" w:ascii="仿宋" w:hAnsi="仿宋" w:eastAsia="仿宋" w:cs="仿宋"/>
          <w:color w:val="auto"/>
          <w:spacing w:val="10"/>
          <w:sz w:val="30"/>
          <w:szCs w:val="30"/>
          <w:highlight w:val="none"/>
        </w:rPr>
        <w:t>万</w:t>
      </w:r>
      <w:r>
        <w:rPr>
          <w:rFonts w:hint="eastAsia" w:ascii="仿宋" w:hAnsi="仿宋" w:eastAsia="仿宋" w:cs="仿宋"/>
          <w:color w:val="auto"/>
          <w:spacing w:val="5"/>
          <w:sz w:val="30"/>
          <w:szCs w:val="30"/>
          <w:highlight w:val="none"/>
        </w:rPr>
        <w:t>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较上年预算安排增加</w:t>
      </w:r>
      <w:r>
        <w:rPr>
          <w:rFonts w:hint="eastAsia" w:ascii="仿宋" w:hAnsi="仿宋" w:eastAsia="仿宋" w:cs="仿宋"/>
          <w:color w:val="auto"/>
          <w:spacing w:val="5"/>
          <w:sz w:val="30"/>
          <w:szCs w:val="30"/>
          <w:highlight w:val="none"/>
          <w:lang w:val="en-US" w:eastAsia="zh-CN"/>
        </w:rPr>
        <w:t>12.56</w:t>
      </w:r>
      <w:r>
        <w:rPr>
          <w:rFonts w:hint="eastAsia" w:ascii="仿宋" w:hAnsi="仿宋" w:eastAsia="仿宋" w:cs="仿宋"/>
          <w:color w:val="auto"/>
          <w:spacing w:val="5"/>
          <w:sz w:val="30"/>
          <w:szCs w:val="30"/>
          <w:highlight w:val="none"/>
        </w:rPr>
        <w:t>万元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住房保障支出</w:t>
      </w:r>
      <w:r>
        <w:rPr>
          <w:rFonts w:hint="eastAsia" w:ascii="仿宋" w:hAnsi="仿宋" w:eastAsia="仿宋" w:cs="仿宋"/>
          <w:color w:val="auto"/>
          <w:sz w:val="32"/>
          <w:szCs w:val="32"/>
          <w:highlight w:val="none"/>
          <w:u w:val="none"/>
          <w:lang w:val="en-US" w:eastAsia="zh-CN"/>
        </w:rPr>
        <w:t>119.02</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pacing w:val="17"/>
          <w:sz w:val="30"/>
          <w:szCs w:val="30"/>
          <w:highlight w:val="none"/>
          <w:lang w:val="en-US" w:eastAsia="zh-CN"/>
        </w:rPr>
        <w:t>4.06</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lang w:val="en-US" w:eastAsia="zh-CN"/>
        </w:rPr>
        <w:t>节能环保支出2352.36万元，</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pacing w:val="17"/>
          <w:sz w:val="30"/>
          <w:szCs w:val="30"/>
          <w:highlight w:val="none"/>
          <w:lang w:val="en-US" w:eastAsia="zh-CN"/>
        </w:rPr>
        <w:t>2352.36</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rPr>
        <w:t>其他支出</w:t>
      </w:r>
      <w:r>
        <w:rPr>
          <w:rFonts w:hint="eastAsia" w:ascii="仿宋" w:hAnsi="仿宋" w:eastAsia="仿宋" w:cs="仿宋"/>
          <w:color w:val="auto"/>
          <w:sz w:val="32"/>
          <w:szCs w:val="32"/>
          <w:highlight w:val="none"/>
          <w:u w:val="none"/>
          <w:lang w:val="en-US" w:eastAsia="zh-CN"/>
        </w:rPr>
        <w:t>1111.84</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pacing w:val="17"/>
          <w:sz w:val="30"/>
          <w:szCs w:val="30"/>
          <w:highlight w:val="none"/>
          <w:lang w:val="en-US" w:eastAsia="zh-CN"/>
        </w:rPr>
        <w:t>95.40</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按支出项目类别划分：</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lang w:eastAsia="zh-CN"/>
        </w:rPr>
        <w:t>基本支出</w:t>
      </w:r>
      <w:r>
        <w:rPr>
          <w:rFonts w:hint="eastAsia" w:ascii="仿宋" w:hAnsi="仿宋" w:eastAsia="仿宋" w:cs="仿宋"/>
          <w:color w:val="auto"/>
          <w:spacing w:val="-131"/>
          <w:sz w:val="30"/>
          <w:szCs w:val="30"/>
          <w:highlight w:val="none"/>
        </w:rPr>
        <w:t xml:space="preserve"> </w:t>
      </w:r>
      <w:r>
        <w:rPr>
          <w:rFonts w:hint="eastAsia" w:ascii="仿宋" w:hAnsi="仿宋" w:eastAsia="仿宋" w:cs="仿宋"/>
          <w:color w:val="auto"/>
          <w:sz w:val="32"/>
          <w:szCs w:val="32"/>
          <w:highlight w:val="none"/>
          <w:u w:val="none"/>
          <w:lang w:val="en-US" w:eastAsia="zh-CN"/>
        </w:rPr>
        <w:t>1279.87</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88.33</w:t>
      </w:r>
      <w:r>
        <w:rPr>
          <w:rFonts w:hint="eastAsia" w:ascii="仿宋" w:hAnsi="仿宋" w:eastAsia="仿宋" w:cs="仿宋"/>
          <w:color w:val="auto"/>
          <w:sz w:val="32"/>
          <w:szCs w:val="32"/>
          <w:highlight w:val="none"/>
          <w:lang w:eastAsia="zh-CN"/>
        </w:rPr>
        <w:t>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z w:val="32"/>
          <w:szCs w:val="32"/>
          <w:highlight w:val="none"/>
          <w:u w:val="none"/>
          <w:lang w:eastAsia="zh-CN"/>
        </w:rPr>
        <w:t xml:space="preserve"> </w:t>
      </w:r>
      <w:r>
        <w:rPr>
          <w:rFonts w:hint="eastAsia" w:ascii="仿宋" w:hAnsi="仿宋" w:eastAsia="仿宋" w:cs="仿宋"/>
          <w:color w:val="auto"/>
          <w:sz w:val="32"/>
          <w:szCs w:val="32"/>
          <w:highlight w:val="none"/>
          <w:u w:val="none"/>
          <w:lang w:val="en-US" w:eastAsia="zh-CN"/>
        </w:rPr>
        <w:t>1075.38</w:t>
      </w:r>
      <w:r>
        <w:rPr>
          <w:rFonts w:hint="eastAsia" w:ascii="仿宋" w:hAnsi="仿宋" w:eastAsia="仿宋" w:cs="仿宋"/>
          <w:color w:val="auto"/>
          <w:sz w:val="32"/>
          <w:szCs w:val="32"/>
          <w:highlight w:val="none"/>
          <w:u w:val="none"/>
          <w:lang w:eastAsia="zh-CN"/>
        </w:rPr>
        <w:t xml:space="preserve"> </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color w:val="auto"/>
          <w:sz w:val="32"/>
          <w:szCs w:val="32"/>
          <w:highlight w:val="none"/>
          <w:u w:val="none"/>
          <w:lang w:val="en-US" w:eastAsia="zh-CN"/>
        </w:rPr>
        <w:t>68.74</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color w:val="auto"/>
          <w:sz w:val="30"/>
          <w:szCs w:val="30"/>
          <w:highlight w:val="none"/>
          <w:lang w:val="en-US" w:eastAsia="zh-CN"/>
        </w:rPr>
        <w:t>117.75</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2"/>
          <w:szCs w:val="32"/>
          <w:highlight w:val="none"/>
          <w:u w:val="none"/>
          <w:lang w:val="en-US" w:eastAsia="zh-CN"/>
        </w:rPr>
        <w:t>18.00</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u w:val="none"/>
          <w:lang w:val="en-US" w:eastAsia="zh-CN"/>
        </w:rPr>
        <w:t>12900.94</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11884.50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color w:val="auto"/>
          <w:sz w:val="30"/>
          <w:szCs w:val="30"/>
          <w:highlight w:val="none"/>
          <w:lang w:val="en-US" w:eastAsia="zh-CN"/>
        </w:rPr>
        <w:t>1113.40</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color w:val="auto"/>
          <w:sz w:val="32"/>
          <w:szCs w:val="32"/>
          <w:highlight w:val="none"/>
          <w:u w:val="none"/>
          <w:lang w:eastAsia="zh-CN"/>
        </w:rPr>
        <w:t xml:space="preserve"> </w:t>
      </w:r>
      <w:r>
        <w:rPr>
          <w:rFonts w:hint="eastAsia" w:ascii="仿宋" w:hAnsi="仿宋" w:eastAsia="仿宋" w:cs="仿宋"/>
          <w:color w:val="auto"/>
          <w:sz w:val="32"/>
          <w:szCs w:val="32"/>
          <w:highlight w:val="none"/>
          <w:u w:val="none"/>
          <w:lang w:val="en-US" w:eastAsia="zh-CN"/>
        </w:rPr>
        <w:t>1.44</w:t>
      </w:r>
      <w:r>
        <w:rPr>
          <w:rFonts w:hint="eastAsia" w:ascii="仿宋" w:hAnsi="仿宋" w:eastAsia="仿宋" w:cs="仿宋"/>
          <w:color w:val="auto"/>
          <w:sz w:val="30"/>
          <w:szCs w:val="30"/>
          <w:highlight w:val="none"/>
          <w:lang w:eastAsia="zh-CN"/>
        </w:rPr>
        <w:t>万元，资本性支出（基本建设支出）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万元，其他相关支出</w:t>
      </w:r>
      <w:r>
        <w:rPr>
          <w:rFonts w:hint="eastAsia" w:ascii="仿宋" w:hAnsi="仿宋" w:eastAsia="仿宋" w:cs="仿宋"/>
          <w:color w:val="auto"/>
          <w:sz w:val="32"/>
          <w:szCs w:val="32"/>
          <w:highlight w:val="none"/>
          <w:u w:val="none"/>
          <w:lang w:val="en-US" w:eastAsia="zh-CN"/>
        </w:rPr>
        <w:t>11786.10</w:t>
      </w:r>
      <w:r>
        <w:rPr>
          <w:rFonts w:hint="eastAsia" w:ascii="仿宋" w:hAnsi="仿宋" w:eastAsia="仿宋" w:cs="仿宋"/>
          <w:color w:val="auto"/>
          <w:sz w:val="30"/>
          <w:szCs w:val="30"/>
          <w:highlight w:val="none"/>
          <w:lang w:eastAsia="zh-CN"/>
        </w:rPr>
        <w:t>万元。</w:t>
      </w:r>
    </w:p>
    <w:p>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按支出经济分类科目划分：工资福利支出</w:t>
      </w:r>
      <w:r>
        <w:rPr>
          <w:rFonts w:hint="eastAsia" w:ascii="仿宋" w:hAnsi="仿宋" w:eastAsia="仿宋" w:cs="仿宋"/>
          <w:color w:val="auto"/>
          <w:sz w:val="32"/>
          <w:szCs w:val="32"/>
          <w:highlight w:val="none"/>
          <w:u w:val="none"/>
          <w:lang w:val="en-US" w:eastAsia="zh-CN"/>
        </w:rPr>
        <w:t>1075.38</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24.84</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商品和服务支出</w:t>
      </w:r>
      <w:r>
        <w:rPr>
          <w:rFonts w:hint="eastAsia" w:ascii="仿宋" w:hAnsi="仿宋" w:eastAsia="仿宋" w:cs="仿宋"/>
          <w:color w:val="auto"/>
          <w:sz w:val="32"/>
          <w:szCs w:val="32"/>
          <w:highlight w:val="none"/>
          <w:u w:val="none"/>
          <w:lang w:val="en-US" w:eastAsia="zh-CN"/>
        </w:rPr>
        <w:t>1182.14</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911.60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对个人和家庭的补助</w:t>
      </w:r>
      <w:r>
        <w:rPr>
          <w:rFonts w:hint="eastAsia" w:ascii="仿宋" w:hAnsi="仿宋" w:eastAsia="仿宋" w:cs="仿宋"/>
          <w:color w:val="auto"/>
          <w:sz w:val="32"/>
          <w:szCs w:val="32"/>
          <w:highlight w:val="none"/>
          <w:u w:val="none"/>
          <w:lang w:val="en-US" w:eastAsia="zh-CN"/>
        </w:rPr>
        <w:t>119.19</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75.95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资本性支出基本建设支出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2"/>
          <w:szCs w:val="32"/>
          <w:highlight w:val="none"/>
        </w:rPr>
        <w:t>较上年预算安排增（减）</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资本性支出</w:t>
      </w:r>
      <w:r>
        <w:rPr>
          <w:rFonts w:hint="eastAsia" w:ascii="仿宋" w:hAnsi="仿宋" w:eastAsia="仿宋" w:cs="仿宋"/>
          <w:color w:val="auto"/>
          <w:sz w:val="32"/>
          <w:szCs w:val="32"/>
          <w:highlight w:val="none"/>
          <w:u w:val="none"/>
          <w:lang w:val="en-US" w:eastAsia="zh-CN"/>
        </w:rPr>
        <w:t>18</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u w:val="none"/>
          <w:lang w:val="en-US" w:eastAsia="zh-CN"/>
        </w:rPr>
        <w:t>52.64</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其他相关支出</w:t>
      </w:r>
      <w:r>
        <w:rPr>
          <w:rFonts w:hint="eastAsia" w:ascii="仿宋" w:hAnsi="仿宋" w:eastAsia="仿宋" w:cs="仿宋"/>
          <w:color w:val="auto"/>
          <w:sz w:val="32"/>
          <w:szCs w:val="32"/>
          <w:highlight w:val="none"/>
          <w:u w:val="none"/>
          <w:lang w:val="en-US" w:eastAsia="zh-CN"/>
        </w:rPr>
        <w:t>11786.10</w:t>
      </w:r>
      <w:r>
        <w:rPr>
          <w:rFonts w:hint="eastAsia" w:ascii="仿宋" w:hAnsi="仿宋" w:eastAsia="仿宋" w:cs="仿宋"/>
          <w:color w:val="auto"/>
          <w:sz w:val="30"/>
          <w:szCs w:val="30"/>
          <w:highlight w:val="none"/>
          <w:u w:val="none"/>
          <w:lang w:eastAsia="zh-CN"/>
        </w:rPr>
        <w:t>万</w:t>
      </w:r>
      <w:r>
        <w:rPr>
          <w:rFonts w:hint="eastAsia" w:ascii="仿宋" w:hAnsi="仿宋" w:eastAsia="仿宋" w:cs="仿宋"/>
          <w:color w:val="auto"/>
          <w:sz w:val="30"/>
          <w:szCs w:val="30"/>
          <w:highlight w:val="none"/>
          <w:lang w:eastAsia="zh-CN"/>
        </w:rPr>
        <w:t>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u w:val="none"/>
          <w:lang w:val="en-US" w:eastAsia="zh-CN"/>
        </w:rPr>
        <w:t>10886.1</w:t>
      </w:r>
      <w:r>
        <w:rPr>
          <w:rFonts w:hint="eastAsia" w:ascii="仿宋" w:hAnsi="仿宋" w:eastAsia="仿宋" w:cs="仿宋"/>
          <w:color w:val="auto"/>
          <w:sz w:val="32"/>
          <w:szCs w:val="32"/>
          <w:highlight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0"/>
          <w:szCs w:val="30"/>
          <w:highlight w:val="none"/>
        </w:rPr>
        <w:t>财政拨款（补助）支出预算</w:t>
      </w:r>
      <w:r>
        <w:rPr>
          <w:rFonts w:hint="eastAsia" w:ascii="仿宋" w:hAnsi="仿宋" w:eastAsia="仿宋" w:cs="仿宋"/>
          <w:color w:val="auto"/>
          <w:sz w:val="32"/>
          <w:szCs w:val="32"/>
          <w:highlight w:val="none"/>
          <w:u w:val="none"/>
          <w:lang w:val="en-US" w:eastAsia="zh-CN"/>
        </w:rPr>
        <w:t>1030.36</w:t>
      </w:r>
      <w:r>
        <w:rPr>
          <w:rFonts w:hint="eastAsia" w:ascii="仿宋" w:hAnsi="仿宋" w:eastAsia="仿宋" w:cs="仿宋"/>
          <w:color w:val="auto"/>
          <w:sz w:val="32"/>
          <w:szCs w:val="32"/>
          <w:highlight w:val="none"/>
          <w:u w:val="none"/>
          <w:lang w:eastAsia="zh-CN"/>
        </w:rPr>
        <w:t xml:space="preserve"> </w:t>
      </w:r>
      <w:r>
        <w:rPr>
          <w:rFonts w:hint="eastAsia" w:ascii="仿宋" w:hAnsi="仿宋" w:eastAsia="仿宋" w:cs="仿宋"/>
          <w:color w:val="auto"/>
          <w:sz w:val="30"/>
          <w:szCs w:val="30"/>
          <w:highlight w:val="none"/>
        </w:rPr>
        <w:t>万元，占</w:t>
      </w:r>
      <w:r>
        <w:rPr>
          <w:rFonts w:hint="eastAsia" w:ascii="仿宋" w:hAnsi="仿宋" w:eastAsia="仿宋" w:cs="仿宋"/>
          <w:color w:val="auto"/>
          <w:sz w:val="30"/>
          <w:szCs w:val="30"/>
          <w:highlight w:val="none"/>
          <w:lang w:eastAsia="zh-CN"/>
        </w:rPr>
        <w:t>本年</w:t>
      </w:r>
      <w:r>
        <w:rPr>
          <w:rFonts w:hint="eastAsia" w:ascii="仿宋" w:hAnsi="仿宋" w:eastAsia="仿宋" w:cs="仿宋"/>
          <w:color w:val="auto"/>
          <w:sz w:val="30"/>
          <w:szCs w:val="30"/>
          <w:highlight w:val="none"/>
        </w:rPr>
        <w:t>支出预算额的</w:t>
      </w:r>
      <w:r>
        <w:rPr>
          <w:rFonts w:hint="eastAsia" w:ascii="仿宋" w:hAnsi="仿宋" w:eastAsia="仿宋" w:cs="仿宋"/>
          <w:color w:val="auto"/>
          <w:sz w:val="32"/>
          <w:szCs w:val="32"/>
          <w:highlight w:val="none"/>
          <w:u w:val="none"/>
          <w:lang w:val="en-US" w:eastAsia="zh-CN"/>
        </w:rPr>
        <w:t>7.3</w:t>
      </w:r>
      <w:r>
        <w:rPr>
          <w:rFonts w:hint="eastAsia" w:ascii="仿宋" w:hAnsi="仿宋" w:eastAsia="仿宋" w:cs="仿宋"/>
          <w:color w:val="auto"/>
          <w:sz w:val="30"/>
          <w:szCs w:val="30"/>
          <w:highlight w:val="none"/>
          <w:u w:val="none"/>
        </w:rPr>
        <w:t>%</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178.32</w:t>
      </w:r>
      <w:r>
        <w:rPr>
          <w:rFonts w:hint="eastAsia" w:ascii="仿宋" w:hAnsi="仿宋" w:eastAsia="仿宋" w:cs="仿宋"/>
          <w:color w:val="auto"/>
          <w:sz w:val="32"/>
          <w:szCs w:val="32"/>
          <w:highlight w:val="none"/>
          <w:lang w:eastAsia="zh-CN"/>
        </w:rPr>
        <w:t>万元，增长</w:t>
      </w:r>
      <w:r>
        <w:rPr>
          <w:rFonts w:hint="eastAsia" w:ascii="仿宋" w:hAnsi="仿宋" w:eastAsia="仿宋" w:cs="仿宋"/>
          <w:color w:val="auto"/>
          <w:sz w:val="32"/>
          <w:szCs w:val="32"/>
          <w:highlight w:val="none"/>
          <w:lang w:val="en-US" w:eastAsia="zh-CN"/>
        </w:rPr>
        <w:t>20.9</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color w:val="auto"/>
          <w:sz w:val="32"/>
          <w:szCs w:val="32"/>
          <w:highlight w:val="none"/>
          <w:lang w:val="en-US" w:eastAsia="zh-CN"/>
        </w:rPr>
        <w:t>人员增加及增加退休绩效预算</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0"/>
          <w:szCs w:val="30"/>
          <w:highlight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highlight w:val="none"/>
          <w:lang w:eastAsia="zh-CN"/>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auto"/>
          <w:spacing w:val="12"/>
          <w:sz w:val="30"/>
          <w:szCs w:val="30"/>
          <w:highlight w:val="none"/>
          <w:lang w:val="en-US" w:eastAsia="zh-CN"/>
        </w:rPr>
        <w:t>农林水</w:t>
      </w:r>
      <w:r>
        <w:rPr>
          <w:rFonts w:hint="eastAsia" w:ascii="仿宋" w:hAnsi="仿宋" w:eastAsia="仿宋" w:cs="仿宋"/>
          <w:color w:val="auto"/>
          <w:spacing w:val="12"/>
          <w:sz w:val="30"/>
          <w:szCs w:val="30"/>
          <w:highlight w:val="none"/>
        </w:rPr>
        <w:t>支出</w:t>
      </w:r>
      <w:r>
        <w:rPr>
          <w:rFonts w:hint="eastAsia" w:ascii="仿宋" w:hAnsi="仿宋" w:eastAsia="仿宋" w:cs="仿宋"/>
          <w:color w:val="auto"/>
          <w:sz w:val="32"/>
          <w:szCs w:val="32"/>
          <w:highlight w:val="none"/>
          <w:u w:val="none"/>
          <w:lang w:val="en-US" w:eastAsia="zh-CN"/>
        </w:rPr>
        <w:t>525.68</w:t>
      </w:r>
      <w:r>
        <w:rPr>
          <w:rFonts w:hint="eastAsia" w:ascii="仿宋" w:hAnsi="仿宋" w:eastAsia="仿宋" w:cs="仿宋"/>
          <w:color w:val="auto"/>
          <w:spacing w:val="12"/>
          <w:sz w:val="30"/>
          <w:szCs w:val="30"/>
          <w:highlight w:val="none"/>
        </w:rPr>
        <w:t>万元</w:t>
      </w:r>
      <w:r>
        <w:rPr>
          <w:rFonts w:hint="eastAsia" w:ascii="仿宋" w:hAnsi="仿宋" w:eastAsia="仿宋" w:cs="仿宋"/>
          <w:color w:val="auto"/>
          <w:spacing w:val="12"/>
          <w:sz w:val="30"/>
          <w:szCs w:val="30"/>
          <w:highlight w:val="none"/>
          <w:lang w:eastAsia="zh-CN"/>
        </w:rPr>
        <w:t>，</w:t>
      </w:r>
      <w:r>
        <w:rPr>
          <w:rFonts w:hint="eastAsia" w:ascii="仿宋" w:hAnsi="仿宋" w:eastAsia="仿宋" w:cs="仿宋"/>
          <w:color w:val="auto"/>
          <w:spacing w:val="12"/>
          <w:sz w:val="30"/>
          <w:szCs w:val="30"/>
          <w:highlight w:val="none"/>
        </w:rPr>
        <w:t>较</w:t>
      </w:r>
      <w:r>
        <w:rPr>
          <w:rFonts w:hint="eastAsia" w:ascii="仿宋" w:hAnsi="仿宋" w:eastAsia="仿宋" w:cs="仿宋"/>
          <w:color w:val="auto"/>
          <w:spacing w:val="5"/>
          <w:sz w:val="30"/>
          <w:szCs w:val="30"/>
          <w:highlight w:val="none"/>
        </w:rPr>
        <w:t>上年预算安排</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32.20</w:t>
      </w:r>
      <w:r>
        <w:rPr>
          <w:rFonts w:hint="eastAsia" w:ascii="仿宋" w:hAnsi="仿宋" w:eastAsia="仿宋" w:cs="仿宋"/>
          <w:color w:val="auto"/>
          <w:spacing w:val="5"/>
          <w:sz w:val="30"/>
          <w:szCs w:val="30"/>
          <w:highlight w:val="none"/>
        </w:rPr>
        <w:t>万元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社会保障和就业支出</w:t>
      </w:r>
      <w:r>
        <w:rPr>
          <w:rFonts w:hint="eastAsia" w:ascii="仿宋" w:hAnsi="仿宋" w:eastAsia="仿宋" w:cs="仿宋"/>
          <w:color w:val="auto"/>
          <w:sz w:val="32"/>
          <w:szCs w:val="32"/>
          <w:highlight w:val="none"/>
          <w:u w:val="none"/>
          <w:lang w:val="en-US" w:eastAsia="zh-CN"/>
        </w:rPr>
        <w:t>210.28</w:t>
      </w:r>
      <w:r>
        <w:rPr>
          <w:rFonts w:hint="eastAsia" w:ascii="仿宋" w:hAnsi="仿宋" w:eastAsia="仿宋" w:cs="仿宋"/>
          <w:color w:val="auto"/>
          <w:spacing w:val="5"/>
          <w:sz w:val="30"/>
          <w:szCs w:val="30"/>
          <w:highlight w:val="none"/>
        </w:rPr>
        <w:t>万元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较</w:t>
      </w:r>
      <w:r>
        <w:rPr>
          <w:rFonts w:hint="eastAsia" w:ascii="仿宋" w:hAnsi="仿宋" w:eastAsia="仿宋" w:cs="仿宋"/>
          <w:color w:val="auto"/>
          <w:spacing w:val="10"/>
          <w:sz w:val="30"/>
          <w:szCs w:val="30"/>
          <w:highlight w:val="none"/>
        </w:rPr>
        <w:t>上年预算安排</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81.17</w:t>
      </w:r>
      <w:r>
        <w:rPr>
          <w:rFonts w:hint="eastAsia" w:ascii="仿宋" w:hAnsi="仿宋" w:eastAsia="仿宋" w:cs="仿宋"/>
          <w:color w:val="auto"/>
          <w:spacing w:val="10"/>
          <w:sz w:val="30"/>
          <w:szCs w:val="30"/>
          <w:highlight w:val="none"/>
        </w:rPr>
        <w:t>万元</w:t>
      </w:r>
      <w:r>
        <w:rPr>
          <w:rFonts w:hint="eastAsia" w:ascii="仿宋" w:hAnsi="仿宋" w:eastAsia="仿宋" w:cs="仿宋"/>
          <w:color w:val="auto"/>
          <w:spacing w:val="10"/>
          <w:sz w:val="30"/>
          <w:szCs w:val="30"/>
          <w:highlight w:val="none"/>
          <w:lang w:eastAsia="zh-CN"/>
        </w:rPr>
        <w:t>；</w:t>
      </w:r>
      <w:r>
        <w:rPr>
          <w:rFonts w:hint="eastAsia" w:ascii="仿宋" w:hAnsi="仿宋" w:eastAsia="仿宋" w:cs="仿宋"/>
          <w:color w:val="auto"/>
          <w:spacing w:val="10"/>
          <w:sz w:val="30"/>
          <w:szCs w:val="30"/>
          <w:highlight w:val="none"/>
        </w:rPr>
        <w:t>卫生健康支出</w:t>
      </w:r>
      <w:r>
        <w:rPr>
          <w:rFonts w:hint="eastAsia" w:ascii="仿宋" w:hAnsi="仿宋" w:eastAsia="仿宋" w:cs="仿宋"/>
          <w:color w:val="auto"/>
          <w:spacing w:val="-151"/>
          <w:sz w:val="30"/>
          <w:szCs w:val="30"/>
          <w:highlight w:val="none"/>
          <w:u w:val="none"/>
        </w:rPr>
        <w:t xml:space="preserve"> </w:t>
      </w:r>
      <w:r>
        <w:rPr>
          <w:rFonts w:hint="eastAsia" w:ascii="仿宋" w:hAnsi="仿宋" w:eastAsia="仿宋" w:cs="仿宋"/>
          <w:color w:val="auto"/>
          <w:sz w:val="32"/>
          <w:szCs w:val="32"/>
          <w:highlight w:val="none"/>
          <w:u w:val="none"/>
          <w:lang w:val="en-US" w:eastAsia="zh-CN"/>
        </w:rPr>
        <w:t>86.14</w:t>
      </w:r>
      <w:r>
        <w:rPr>
          <w:rFonts w:hint="eastAsia" w:ascii="仿宋" w:hAnsi="仿宋" w:eastAsia="仿宋" w:cs="仿宋"/>
          <w:color w:val="auto"/>
          <w:sz w:val="32"/>
          <w:szCs w:val="32"/>
          <w:highlight w:val="none"/>
          <w:u w:val="none"/>
          <w:lang w:eastAsia="zh-CN"/>
        </w:rPr>
        <w:t xml:space="preserve"> </w:t>
      </w:r>
      <w:r>
        <w:rPr>
          <w:rFonts w:hint="eastAsia" w:ascii="仿宋" w:hAnsi="仿宋" w:eastAsia="仿宋" w:cs="仿宋"/>
          <w:color w:val="auto"/>
          <w:spacing w:val="10"/>
          <w:sz w:val="30"/>
          <w:szCs w:val="30"/>
          <w:highlight w:val="none"/>
        </w:rPr>
        <w:t>万</w:t>
      </w:r>
      <w:r>
        <w:rPr>
          <w:rFonts w:hint="eastAsia" w:ascii="仿宋" w:hAnsi="仿宋" w:eastAsia="仿宋" w:cs="仿宋"/>
          <w:color w:val="auto"/>
          <w:spacing w:val="5"/>
          <w:sz w:val="30"/>
          <w:szCs w:val="30"/>
          <w:highlight w:val="none"/>
        </w:rPr>
        <w:t>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较上年预算安排</w:t>
      </w:r>
      <w:r>
        <w:rPr>
          <w:rFonts w:hint="eastAsia" w:ascii="仿宋" w:hAnsi="仿宋" w:eastAsia="仿宋" w:cs="仿宋"/>
          <w:color w:val="auto"/>
          <w:sz w:val="32"/>
          <w:szCs w:val="32"/>
          <w:highlight w:val="none"/>
          <w:lang w:val="en-US" w:eastAsia="zh-CN"/>
        </w:rPr>
        <w:t>减27.77</w:t>
      </w:r>
      <w:r>
        <w:rPr>
          <w:rFonts w:hint="eastAsia" w:ascii="仿宋" w:hAnsi="仿宋" w:eastAsia="仿宋" w:cs="仿宋"/>
          <w:color w:val="auto"/>
          <w:spacing w:val="5"/>
          <w:sz w:val="30"/>
          <w:szCs w:val="30"/>
          <w:highlight w:val="none"/>
        </w:rPr>
        <w:t>万元</w:t>
      </w:r>
      <w:r>
        <w:rPr>
          <w:rFonts w:hint="eastAsia" w:ascii="仿宋" w:hAnsi="仿宋" w:eastAsia="仿宋" w:cs="仿宋"/>
          <w:color w:val="auto"/>
          <w:spacing w:val="5"/>
          <w:sz w:val="30"/>
          <w:szCs w:val="30"/>
          <w:highlight w:val="none"/>
          <w:lang w:eastAsia="zh-CN"/>
        </w:rPr>
        <w:t>；</w:t>
      </w:r>
      <w:r>
        <w:rPr>
          <w:rFonts w:hint="eastAsia" w:ascii="仿宋" w:hAnsi="仿宋" w:eastAsia="仿宋" w:cs="仿宋"/>
          <w:color w:val="auto"/>
          <w:spacing w:val="5"/>
          <w:sz w:val="30"/>
          <w:szCs w:val="30"/>
          <w:highlight w:val="none"/>
        </w:rPr>
        <w:t>住房保障支出</w:t>
      </w:r>
      <w:r>
        <w:rPr>
          <w:rFonts w:hint="eastAsia" w:ascii="仿宋" w:hAnsi="仿宋" w:eastAsia="仿宋" w:cs="仿宋"/>
          <w:color w:val="auto"/>
          <w:sz w:val="32"/>
          <w:szCs w:val="32"/>
          <w:highlight w:val="none"/>
          <w:u w:val="none"/>
          <w:lang w:val="en-US" w:eastAsia="zh-CN"/>
        </w:rPr>
        <w:t>76.42</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rPr>
        <w:t>较上年预算安排</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5.01</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rPr>
        <w:t>其他支出</w:t>
      </w:r>
      <w:r>
        <w:rPr>
          <w:rFonts w:hint="eastAsia" w:ascii="仿宋" w:hAnsi="仿宋" w:eastAsia="仿宋" w:cs="仿宋"/>
          <w:color w:val="auto"/>
          <w:sz w:val="32"/>
          <w:szCs w:val="32"/>
          <w:highlight w:val="none"/>
          <w:u w:val="none"/>
          <w:lang w:val="en-US" w:eastAsia="zh-CN"/>
        </w:rPr>
        <w:t>131.84</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auto"/>
          <w:spacing w:val="17"/>
          <w:sz w:val="30"/>
          <w:szCs w:val="30"/>
          <w:highlight w:val="none"/>
        </w:rPr>
        <w:t>较上年预算安排</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87.71</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按支出项目类别划分：</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lang w:eastAsia="zh-CN"/>
        </w:rPr>
        <w:t>基本支出</w:t>
      </w:r>
      <w:r>
        <w:rPr>
          <w:rFonts w:hint="eastAsia" w:ascii="仿宋" w:hAnsi="仿宋" w:eastAsia="仿宋" w:cs="仿宋"/>
          <w:color w:val="auto"/>
          <w:spacing w:val="-131"/>
          <w:sz w:val="30"/>
          <w:szCs w:val="30"/>
          <w:highlight w:val="none"/>
        </w:rPr>
        <w:t xml:space="preserve"> </w:t>
      </w:r>
      <w:r>
        <w:rPr>
          <w:rFonts w:hint="eastAsia" w:ascii="仿宋" w:hAnsi="仿宋" w:eastAsia="仿宋" w:cs="仿宋"/>
          <w:color w:val="auto"/>
          <w:sz w:val="32"/>
          <w:szCs w:val="32"/>
          <w:highlight w:val="none"/>
          <w:u w:val="none"/>
          <w:lang w:val="en-US" w:eastAsia="zh-CN"/>
        </w:rPr>
        <w:t>895.52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129.92</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pacing w:val="-131"/>
          <w:sz w:val="30"/>
          <w:szCs w:val="30"/>
          <w:highlight w:val="none"/>
          <w:u w:val="none"/>
        </w:rPr>
        <w:t xml:space="preserve"> </w:t>
      </w:r>
      <w:r>
        <w:rPr>
          <w:rFonts w:hint="eastAsia" w:ascii="仿宋" w:hAnsi="仿宋" w:eastAsia="仿宋" w:cs="仿宋"/>
          <w:color w:val="auto"/>
          <w:sz w:val="32"/>
          <w:szCs w:val="32"/>
          <w:highlight w:val="none"/>
          <w:u w:val="none"/>
          <w:lang w:val="en-US" w:eastAsia="zh-CN"/>
        </w:rPr>
        <w:t>719.57</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color w:val="auto"/>
          <w:sz w:val="32"/>
          <w:szCs w:val="32"/>
          <w:highlight w:val="none"/>
          <w:u w:val="none"/>
          <w:lang w:val="en-US" w:eastAsia="zh-CN"/>
        </w:rPr>
        <w:t>58.20</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color w:val="auto"/>
          <w:sz w:val="32"/>
          <w:szCs w:val="32"/>
          <w:highlight w:val="none"/>
          <w:u w:val="none"/>
          <w:lang w:val="en-US" w:eastAsia="zh-CN"/>
        </w:rPr>
        <w:t>117.75</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u w:val="none"/>
          <w:lang w:val="en-US" w:eastAsia="zh-CN"/>
        </w:rPr>
        <w:t>134.84</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48.40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pacing w:val="-131"/>
          <w:sz w:val="30"/>
          <w:szCs w:val="30"/>
          <w:highlight w:val="none"/>
          <w:u w:val="none"/>
        </w:rPr>
        <w:t xml:space="preserve"> </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color w:val="auto"/>
          <w:sz w:val="32"/>
          <w:szCs w:val="32"/>
          <w:highlight w:val="none"/>
          <w:u w:val="none"/>
          <w:lang w:val="en-US" w:eastAsia="zh-CN"/>
        </w:rPr>
        <w:t>133.40</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color w:val="auto"/>
          <w:spacing w:val="-131"/>
          <w:sz w:val="30"/>
          <w:szCs w:val="30"/>
          <w:highlight w:val="none"/>
        </w:rPr>
        <w:t xml:space="preserve"> </w:t>
      </w:r>
      <w:r>
        <w:rPr>
          <w:rFonts w:hint="eastAsia" w:ascii="仿宋" w:hAnsi="仿宋" w:eastAsia="仿宋" w:cs="仿宋"/>
          <w:color w:val="auto"/>
          <w:sz w:val="32"/>
          <w:szCs w:val="32"/>
          <w:highlight w:val="none"/>
          <w:u w:val="none"/>
          <w:lang w:val="en-US" w:eastAsia="zh-CN"/>
        </w:rPr>
        <w:t>1.44</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万元，其他相关支出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（四）政府性基金情况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2"/>
          <w:szCs w:val="32"/>
          <w:highlight w:val="none"/>
        </w:rPr>
        <w:t>政府性基金</w:t>
      </w:r>
      <w:r>
        <w:rPr>
          <w:rFonts w:hint="eastAsia" w:ascii="仿宋" w:hAnsi="仿宋" w:eastAsia="仿宋" w:cs="仿宋"/>
          <w:color w:val="auto"/>
          <w:sz w:val="30"/>
          <w:szCs w:val="30"/>
          <w:highlight w:val="none"/>
          <w:lang w:eastAsia="zh-CN"/>
        </w:rPr>
        <w:t>无使用政府性基金预算拨款安排的支出。</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auto"/>
          <w:kern w:val="2"/>
          <w:sz w:val="28"/>
          <w:szCs w:val="28"/>
          <w:highlight w:val="none"/>
          <w:lang w:val="en-US" w:eastAsia="zh-CN" w:bidi="ar-SA"/>
        </w:rPr>
      </w:pPr>
      <w:r>
        <w:rPr>
          <w:rFonts w:hint="eastAsia"/>
          <w:color w:val="auto"/>
          <w:highlight w:val="none"/>
          <w:lang w:val="en-US" w:eastAsia="zh-CN"/>
        </w:rPr>
        <w:t xml:space="preserve"> </w:t>
      </w: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2"/>
          <w:szCs w:val="32"/>
          <w:highlight w:val="none"/>
          <w:lang w:val="en-US" w:eastAsia="zh-CN"/>
        </w:rPr>
        <w:t>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eastAsia="zh-CN"/>
        </w:rPr>
        <w:t>（六）</w:t>
      </w:r>
      <w:r>
        <w:rPr>
          <w:rFonts w:hint="eastAsia" w:ascii="仿宋" w:hAnsi="仿宋" w:eastAsia="仿宋" w:cs="仿宋"/>
          <w:b/>
          <w:bCs/>
          <w:color w:val="auto"/>
          <w:sz w:val="32"/>
          <w:szCs w:val="32"/>
          <w:highlight w:val="none"/>
        </w:rPr>
        <w:t>机关运行经费等重要事项的说明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2"/>
          <w:szCs w:val="32"/>
          <w:highlight w:val="none"/>
        </w:rPr>
        <w:t>机关运行费预算</w:t>
      </w:r>
      <w:r>
        <w:rPr>
          <w:rFonts w:hint="eastAsia" w:ascii="仿宋" w:hAnsi="仿宋" w:eastAsia="仿宋" w:cs="仿宋"/>
          <w:color w:val="auto"/>
          <w:sz w:val="32"/>
          <w:szCs w:val="32"/>
          <w:highlight w:val="none"/>
          <w:u w:val="none"/>
          <w:lang w:val="en-US" w:eastAsia="zh-CN"/>
        </w:rPr>
        <w:t>58.20</w:t>
      </w:r>
      <w:r>
        <w:rPr>
          <w:rFonts w:hint="eastAsia" w:ascii="仿宋" w:hAnsi="仿宋" w:eastAsia="仿宋" w:cs="仿宋"/>
          <w:color w:val="auto"/>
          <w:sz w:val="32"/>
          <w:szCs w:val="32"/>
          <w:highlight w:val="none"/>
        </w:rPr>
        <w:t>万元较上年预算安排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4.02</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增长</w:t>
      </w:r>
      <w:r>
        <w:rPr>
          <w:rFonts w:hint="eastAsia" w:ascii="仿宋" w:hAnsi="仿宋" w:eastAsia="仿宋" w:cs="仿宋"/>
          <w:color w:val="auto"/>
          <w:sz w:val="32"/>
          <w:szCs w:val="32"/>
          <w:highlight w:val="none"/>
          <w:u w:val="none"/>
          <w:lang w:val="en-US" w:eastAsia="zh-CN"/>
        </w:rPr>
        <w:t>7.4</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lang w:eastAsia="zh-CN"/>
        </w:rPr>
        <w:t>主要原因是：</w:t>
      </w:r>
      <w:r>
        <w:rPr>
          <w:rFonts w:hint="eastAsia" w:ascii="楷体" w:hAnsi="楷体" w:eastAsia="楷体" w:cs="楷体"/>
          <w:color w:val="auto"/>
          <w:sz w:val="32"/>
          <w:szCs w:val="32"/>
          <w:highlight w:val="none"/>
          <w:lang w:eastAsia="zh-CN"/>
        </w:rPr>
        <w:t>人员增加</w:t>
      </w:r>
      <w:r>
        <w:rPr>
          <w:rFonts w:hint="eastAsia" w:ascii="楷体" w:hAnsi="楷体" w:eastAsia="楷体" w:cs="楷体"/>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eastAsia="zh-CN"/>
        </w:rPr>
        <w:t>七</w:t>
      </w:r>
      <w:r>
        <w:rPr>
          <w:rFonts w:hint="eastAsia" w:ascii="仿宋" w:hAnsi="仿宋" w:eastAsia="仿宋" w:cs="仿宋"/>
          <w:b/>
          <w:bCs/>
          <w:color w:val="auto"/>
          <w:sz w:val="32"/>
          <w:szCs w:val="32"/>
          <w:highlight w:val="none"/>
        </w:rPr>
        <w:t>）政府采购情况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2"/>
          <w:szCs w:val="32"/>
          <w:highlight w:val="none"/>
        </w:rPr>
        <w:t>政府采购总额</w:t>
      </w:r>
      <w:r>
        <w:rPr>
          <w:rFonts w:hint="eastAsia" w:ascii="仿宋" w:hAnsi="仿宋" w:eastAsia="仿宋" w:cs="仿宋"/>
          <w:color w:val="auto"/>
          <w:sz w:val="32"/>
          <w:szCs w:val="32"/>
          <w:highlight w:val="none"/>
          <w:u w:val="none"/>
          <w:lang w:val="en-US" w:eastAsia="zh-CN"/>
        </w:rPr>
        <w:t>21.50</w:t>
      </w:r>
      <w:r>
        <w:rPr>
          <w:rFonts w:hint="eastAsia" w:ascii="仿宋" w:hAnsi="仿宋" w:eastAsia="仿宋" w:cs="仿宋"/>
          <w:color w:val="auto"/>
          <w:sz w:val="32"/>
          <w:szCs w:val="32"/>
          <w:highlight w:val="none"/>
          <w:u w:val="none"/>
        </w:rPr>
        <w:t>万</w:t>
      </w:r>
      <w:r>
        <w:rPr>
          <w:rFonts w:hint="eastAsia" w:ascii="仿宋" w:hAnsi="仿宋" w:eastAsia="仿宋" w:cs="仿宋"/>
          <w:color w:val="auto"/>
          <w:sz w:val="32"/>
          <w:szCs w:val="32"/>
          <w:highlight w:val="none"/>
        </w:rPr>
        <w:t>元，其中：政府采购货物预算</w:t>
      </w:r>
      <w:r>
        <w:rPr>
          <w:rFonts w:hint="eastAsia" w:ascii="仿宋" w:hAnsi="仿宋" w:eastAsia="仿宋" w:cs="仿宋"/>
          <w:color w:val="auto"/>
          <w:sz w:val="32"/>
          <w:szCs w:val="32"/>
          <w:highlight w:val="none"/>
          <w:u w:val="none"/>
          <w:lang w:val="en-US" w:eastAsia="zh-CN"/>
        </w:rPr>
        <w:t>18.00</w:t>
      </w:r>
      <w:r>
        <w:rPr>
          <w:rFonts w:hint="eastAsia" w:ascii="仿宋" w:hAnsi="仿宋" w:eastAsia="仿宋" w:cs="仿宋"/>
          <w:color w:val="auto"/>
          <w:sz w:val="32"/>
          <w:szCs w:val="32"/>
          <w:highlight w:val="none"/>
        </w:rPr>
        <w:t>万元、政府采购工程预算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rPr>
        <w:t>万元、政府采购服务预算</w:t>
      </w:r>
      <w:r>
        <w:rPr>
          <w:rFonts w:hint="eastAsia" w:ascii="仿宋" w:hAnsi="仿宋" w:eastAsia="仿宋" w:cs="仿宋"/>
          <w:color w:val="auto"/>
          <w:sz w:val="32"/>
          <w:szCs w:val="32"/>
          <w:highlight w:val="none"/>
          <w:lang w:val="en-US" w:eastAsia="zh-CN"/>
        </w:rPr>
        <w:t>3.50</w:t>
      </w:r>
      <w:r>
        <w:rPr>
          <w:rFonts w:hint="eastAsia" w:ascii="仿宋" w:hAnsi="仿宋" w:eastAsia="仿宋" w:cs="仿宋"/>
          <w:color w:val="auto"/>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eastAsia="zh-CN"/>
        </w:rPr>
        <w:t>八</w:t>
      </w:r>
      <w:r>
        <w:rPr>
          <w:rFonts w:hint="eastAsia" w:ascii="仿宋" w:hAnsi="仿宋" w:eastAsia="仿宋" w:cs="仿宋"/>
          <w:b/>
          <w:bCs/>
          <w:color w:val="auto"/>
          <w:sz w:val="32"/>
          <w:szCs w:val="32"/>
          <w:highlight w:val="none"/>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截至</w:t>
      </w:r>
      <w:r>
        <w:rPr>
          <w:rFonts w:hint="eastAsia" w:ascii="仿宋" w:hAnsi="仿宋" w:eastAsia="仿宋" w:cs="仿宋"/>
          <w:b w:val="0"/>
          <w:bCs w:val="0"/>
          <w:color w:val="auto"/>
          <w:sz w:val="32"/>
          <w:szCs w:val="32"/>
          <w:highlight w:val="none"/>
          <w:lang w:val="en-US" w:eastAsia="zh-CN"/>
        </w:rPr>
        <w:t>2024年</w:t>
      </w:r>
      <w:r>
        <w:rPr>
          <w:rFonts w:hint="eastAsia" w:ascii="仿宋" w:hAnsi="仿宋" w:eastAsia="仿宋" w:cs="仿宋"/>
          <w:color w:val="auto"/>
          <w:sz w:val="32"/>
          <w:szCs w:val="32"/>
          <w:highlight w:val="none"/>
        </w:rPr>
        <w:t>12月31日</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2"/>
          <w:szCs w:val="32"/>
          <w:highlight w:val="none"/>
        </w:rPr>
        <w:t>共有车辆</w:t>
      </w:r>
      <w:r>
        <w:rPr>
          <w:rFonts w:hint="eastAsia" w:ascii="仿宋" w:hAnsi="仿宋" w:eastAsia="仿宋" w:cs="仿宋"/>
          <w:color w:val="auto"/>
          <w:sz w:val="32"/>
          <w:szCs w:val="32"/>
          <w:highlight w:val="none"/>
          <w:u w:val="none"/>
          <w:lang w:val="en-US" w:eastAsia="zh-CN"/>
        </w:rPr>
        <w:t>4</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一般公务用车</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rPr>
        <w:t>辆、执法执勤用车</w:t>
      </w:r>
      <w:r>
        <w:rPr>
          <w:rFonts w:hint="eastAsia" w:ascii="仿宋" w:hAnsi="仿宋" w:eastAsia="仿宋" w:cs="仿宋"/>
          <w:color w:val="auto"/>
          <w:sz w:val="32"/>
          <w:szCs w:val="32"/>
          <w:highlight w:val="none"/>
          <w:u w:val="none"/>
          <w:lang w:val="en-US" w:eastAsia="zh-CN"/>
        </w:rPr>
        <w:t>4</w:t>
      </w:r>
      <w:r>
        <w:rPr>
          <w:rFonts w:hint="eastAsia" w:ascii="仿宋" w:hAnsi="仿宋" w:eastAsia="仿宋" w:cs="仿宋"/>
          <w:color w:val="auto"/>
          <w:sz w:val="32"/>
          <w:szCs w:val="32"/>
          <w:highlight w:val="none"/>
        </w:rPr>
        <w:t>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2"/>
          <w:szCs w:val="32"/>
          <w:highlight w:val="none"/>
        </w:rPr>
        <w:t>预算安排购置车辆</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rPr>
        <w:t>辆，安排购置单位价值200万元以上大型设备具体为：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rPr>
        <w:t>。</w:t>
      </w:r>
    </w:p>
    <w:p>
      <w:pPr>
        <w:numPr>
          <w:ilvl w:val="0"/>
          <w:numId w:val="2"/>
        </w:num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eastAsia="zh-CN"/>
        </w:rPr>
        <w:t>项目</w:t>
      </w:r>
      <w:r>
        <w:rPr>
          <w:rFonts w:hint="eastAsia" w:ascii="仿宋" w:hAnsi="仿宋" w:eastAsia="仿宋" w:cs="仿宋"/>
          <w:b/>
          <w:bCs/>
          <w:color w:val="auto"/>
          <w:sz w:val="32"/>
          <w:szCs w:val="32"/>
          <w:highlight w:val="none"/>
        </w:rPr>
        <w:t>绩效目标设置情况</w:t>
      </w:r>
    </w:p>
    <w:p>
      <w:pPr>
        <w:pStyle w:val="2"/>
        <w:numPr>
          <w:ilvl w:val="0"/>
          <w:numId w:val="0"/>
        </w:numPr>
        <w:ind w:firstLine="640" w:firstLineChars="200"/>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2025年本单位预算安排项目</w:t>
      </w:r>
      <w:r>
        <w:rPr>
          <w:rFonts w:hint="eastAsia" w:ascii="仿宋" w:hAnsi="仿宋" w:eastAsia="仿宋" w:cs="仿宋"/>
          <w:color w:val="auto"/>
          <w:sz w:val="32"/>
          <w:szCs w:val="32"/>
          <w:highlight w:val="none"/>
          <w:u w:val="none"/>
          <w:lang w:val="en-US" w:eastAsia="zh-CN"/>
        </w:rPr>
        <w:t>8</w:t>
      </w:r>
      <w:r>
        <w:rPr>
          <w:rFonts w:hint="eastAsia" w:ascii="仿宋" w:hAnsi="仿宋" w:eastAsia="仿宋" w:cs="仿宋"/>
          <w:color w:val="auto"/>
          <w:highlight w:val="none"/>
          <w:u w:val="none"/>
          <w:lang w:val="en-US" w:eastAsia="zh-CN"/>
        </w:rPr>
        <w:t>个，项目预算金额1114.84万元（不含上年结转结余）</w:t>
      </w:r>
      <w:r>
        <w:rPr>
          <w:rFonts w:hint="eastAsia" w:ascii="仿宋" w:hAnsi="仿宋" w:eastAsia="仿宋" w:cs="仿宋"/>
          <w:color w:val="auto"/>
          <w:kern w:val="2"/>
          <w:sz w:val="32"/>
          <w:szCs w:val="32"/>
          <w:highlight w:val="none"/>
          <w:lang w:val="en-US" w:eastAsia="zh-CN" w:bidi="ar-SA"/>
        </w:rPr>
        <w:t>，其中：</w:t>
      </w:r>
    </w:p>
    <w:p>
      <w:pPr>
        <w:numPr>
          <w:ilvl w:val="0"/>
          <w:numId w:val="0"/>
        </w:numPr>
        <w:spacing w:line="560" w:lineRule="exact"/>
        <w:ind w:firstLine="643" w:firstLineChars="200"/>
        <w:rPr>
          <w:rFonts w:hint="eastAsia" w:ascii="楷体" w:hAnsi="楷体" w:eastAsia="楷体" w:cs="楷体"/>
          <w:b/>
          <w:bCs/>
          <w:color w:val="auto"/>
          <w:sz w:val="28"/>
          <w:szCs w:val="28"/>
          <w:highlight w:val="none"/>
          <w:lang w:eastAsia="zh-CN"/>
        </w:rPr>
      </w:pPr>
      <w:r>
        <w:rPr>
          <w:rFonts w:hint="eastAsia" w:ascii="仿宋" w:hAnsi="仿宋" w:eastAsia="仿宋" w:cs="仿宋"/>
          <w:b/>
          <w:bCs/>
          <w:color w:val="auto"/>
          <w:sz w:val="32"/>
          <w:szCs w:val="32"/>
          <w:highlight w:val="none"/>
          <w:lang w:val="en-US" w:eastAsia="zh-CN"/>
        </w:rPr>
        <w:t>项目一：油茶办经费项目</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油茶办经费</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：兴府办〔2023〕82号</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.实施方案：编制方案作业设计费、检查验收费、油茶协会会费，油茶推介活动费。</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lang w:eastAsia="zh-CN"/>
        </w:rPr>
        <w:t xml:space="preserve"> 万元；预算批复金额</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lang w:eastAsia="zh-CN"/>
        </w:rPr>
        <w:t>万元</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完成2024年油茶造林设计验收。</w:t>
      </w:r>
    </w:p>
    <w:p>
      <w:pPr>
        <w:numPr>
          <w:ilvl w:val="0"/>
          <w:numId w:val="0"/>
        </w:numPr>
        <w:spacing w:line="560" w:lineRule="exact"/>
        <w:ind w:firstLine="643" w:firstLineChars="200"/>
        <w:rPr>
          <w:rFonts w:hint="eastAsia" w:ascii="楷体" w:hAnsi="楷体" w:eastAsia="楷体" w:cs="楷体"/>
          <w:b/>
          <w:bCs/>
          <w:color w:val="auto"/>
          <w:sz w:val="28"/>
          <w:szCs w:val="28"/>
          <w:highlight w:val="none"/>
          <w:lang w:eastAsia="zh-CN"/>
        </w:rPr>
      </w:pPr>
      <w:r>
        <w:rPr>
          <w:rFonts w:hint="eastAsia" w:ascii="仿宋" w:hAnsi="仿宋" w:eastAsia="仿宋" w:cs="仿宋"/>
          <w:b/>
          <w:bCs/>
          <w:color w:val="auto"/>
          <w:sz w:val="32"/>
          <w:szCs w:val="32"/>
          <w:highlight w:val="none"/>
          <w:lang w:val="en-US" w:eastAsia="zh-CN"/>
        </w:rPr>
        <w:t>项目二：林长制经费项目</w:t>
      </w:r>
    </w:p>
    <w:p>
      <w:pPr>
        <w:numPr>
          <w:ilvl w:val="0"/>
          <w:numId w:val="0"/>
        </w:num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林长制工作经费</w:t>
      </w:r>
    </w:p>
    <w:p>
      <w:pPr>
        <w:numPr>
          <w:ilvl w:val="0"/>
          <w:numId w:val="0"/>
        </w:num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立项依据</w:t>
      </w:r>
      <w:r>
        <w:rPr>
          <w:rFonts w:hint="eastAsia" w:ascii="仿宋" w:hAnsi="仿宋" w:eastAsia="仿宋" w:cs="仿宋"/>
          <w:color w:val="auto"/>
          <w:sz w:val="32"/>
          <w:szCs w:val="32"/>
          <w:highlight w:val="none"/>
          <w:lang w:eastAsia="zh-CN"/>
        </w:rPr>
        <w:t>：兴办字〔2018〕119号</w:t>
      </w:r>
    </w:p>
    <w:p>
      <w:pPr>
        <w:numPr>
          <w:ilvl w:val="0"/>
          <w:numId w:val="0"/>
        </w:num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.实施方案：宣传费用，办公经费、表彰林长制示范乡镇、表彰先进护林员。</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20</w:t>
      </w:r>
      <w:r>
        <w:rPr>
          <w:rFonts w:hint="eastAsia" w:ascii="仿宋" w:hAnsi="仿宋" w:eastAsia="仿宋" w:cs="仿宋"/>
          <w:color w:val="auto"/>
          <w:sz w:val="32"/>
          <w:szCs w:val="32"/>
          <w:highlight w:val="none"/>
          <w:lang w:eastAsia="zh-CN"/>
        </w:rPr>
        <w:t xml:space="preserve"> 万元；预算批复金额</w:t>
      </w:r>
      <w:r>
        <w:rPr>
          <w:rFonts w:hint="eastAsia" w:ascii="仿宋" w:hAnsi="仿宋" w:eastAsia="仿宋" w:cs="仿宋"/>
          <w:color w:val="auto"/>
          <w:sz w:val="32"/>
          <w:szCs w:val="32"/>
          <w:highlight w:val="none"/>
          <w:lang w:val="en-US" w:eastAsia="zh-CN"/>
        </w:rPr>
        <w:t>20</w:t>
      </w:r>
      <w:r>
        <w:rPr>
          <w:rFonts w:hint="eastAsia" w:ascii="仿宋" w:hAnsi="仿宋" w:eastAsia="仿宋" w:cs="仿宋"/>
          <w:color w:val="auto"/>
          <w:sz w:val="32"/>
          <w:szCs w:val="32"/>
          <w:highlight w:val="none"/>
          <w:lang w:eastAsia="zh-CN"/>
        </w:rPr>
        <w:t>万元</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全面2025年完成林长制考核目标</w:t>
      </w:r>
    </w:p>
    <w:p>
      <w:pPr>
        <w:numPr>
          <w:ilvl w:val="0"/>
          <w:numId w:val="0"/>
        </w:numPr>
        <w:spacing w:line="560" w:lineRule="exact"/>
        <w:ind w:firstLine="643" w:firstLineChars="200"/>
        <w:rPr>
          <w:rFonts w:hint="eastAsia" w:ascii="楷体" w:hAnsi="楷体" w:eastAsia="楷体" w:cs="楷体"/>
          <w:b/>
          <w:bCs/>
          <w:color w:val="auto"/>
          <w:sz w:val="28"/>
          <w:szCs w:val="28"/>
          <w:highlight w:val="none"/>
          <w:lang w:eastAsia="zh-CN"/>
        </w:rPr>
      </w:pPr>
      <w:r>
        <w:rPr>
          <w:rFonts w:hint="eastAsia" w:ascii="仿宋" w:hAnsi="仿宋" w:eastAsia="仿宋" w:cs="仿宋"/>
          <w:b/>
          <w:bCs/>
          <w:color w:val="auto"/>
          <w:sz w:val="32"/>
          <w:szCs w:val="32"/>
          <w:highlight w:val="none"/>
          <w:lang w:val="en-US" w:eastAsia="zh-CN"/>
        </w:rPr>
        <w:t>项目三：林草生态综合监测评价（样地监测）</w:t>
      </w:r>
    </w:p>
    <w:p>
      <w:pPr>
        <w:numPr>
          <w:ilvl w:val="0"/>
          <w:numId w:val="3"/>
        </w:numPr>
        <w:spacing w:line="560" w:lineRule="exact"/>
        <w:ind w:firstLine="640"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林草生态综合监测评价</w:t>
      </w:r>
    </w:p>
    <w:p>
      <w:pPr>
        <w:numPr>
          <w:ilvl w:val="0"/>
          <w:numId w:val="0"/>
        </w:num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：赣自然资字〔2024〕31号文件</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numPr>
          <w:ilvl w:val="0"/>
          <w:numId w:val="0"/>
        </w:num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w:t>
      </w:r>
      <w:r>
        <w:rPr>
          <w:rFonts w:hint="eastAsia" w:ascii="仿宋" w:hAnsi="仿宋" w:eastAsia="仿宋" w:cs="仿宋"/>
          <w:b w:val="0"/>
          <w:bCs w:val="0"/>
          <w:color w:val="auto"/>
          <w:sz w:val="32"/>
          <w:szCs w:val="32"/>
          <w:highlight w:val="none"/>
          <w:lang w:val="en-US" w:eastAsia="zh-CN"/>
        </w:rPr>
        <w:t>林草生态综合监测评价</w:t>
      </w:r>
      <w:r>
        <w:rPr>
          <w:rFonts w:hint="eastAsia" w:ascii="仿宋" w:hAnsi="仿宋" w:eastAsia="仿宋" w:cs="仿宋"/>
          <w:b/>
          <w:bCs/>
          <w:color w:val="auto"/>
          <w:sz w:val="32"/>
          <w:szCs w:val="32"/>
          <w:highlight w:val="none"/>
          <w:lang w:val="en-US" w:eastAsia="zh-CN"/>
        </w:rPr>
        <w:t>（样地监测）</w:t>
      </w:r>
      <w:r>
        <w:rPr>
          <w:rFonts w:hint="eastAsia" w:ascii="仿宋" w:hAnsi="仿宋" w:eastAsia="仿宋" w:cs="仿宋"/>
          <w:b w:val="0"/>
          <w:bCs w:val="0"/>
          <w:color w:val="auto"/>
          <w:sz w:val="32"/>
          <w:szCs w:val="32"/>
          <w:highlight w:val="none"/>
          <w:lang w:val="en-US" w:eastAsia="zh-CN"/>
        </w:rPr>
        <w:t>工作</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万元；预算批复金额</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万元</w:t>
      </w:r>
    </w:p>
    <w:p>
      <w:pPr>
        <w:numPr>
          <w:ilvl w:val="0"/>
          <w:numId w:val="0"/>
        </w:numPr>
        <w:spacing w:line="560" w:lineRule="exact"/>
        <w:ind w:left="0" w:leftChars="0"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完成2025年</w:t>
      </w:r>
      <w:r>
        <w:rPr>
          <w:rFonts w:hint="eastAsia" w:ascii="仿宋" w:hAnsi="仿宋" w:eastAsia="仿宋" w:cs="仿宋"/>
          <w:b w:val="0"/>
          <w:bCs w:val="0"/>
          <w:color w:val="auto"/>
          <w:sz w:val="32"/>
          <w:szCs w:val="32"/>
          <w:highlight w:val="none"/>
          <w:lang w:val="en-US" w:eastAsia="zh-CN"/>
        </w:rPr>
        <w:t>林草生态综合监测评价工作</w:t>
      </w:r>
    </w:p>
    <w:p>
      <w:pPr>
        <w:numPr>
          <w:ilvl w:val="0"/>
          <w:numId w:val="0"/>
        </w:numPr>
        <w:spacing w:line="560" w:lineRule="exact"/>
        <w:ind w:left="0" w:leftChars="0" w:firstLine="643" w:firstLineChars="200"/>
        <w:rPr>
          <w:rFonts w:hint="eastAsia" w:ascii="楷体" w:hAnsi="楷体" w:eastAsia="楷体" w:cs="楷体"/>
          <w:b/>
          <w:bCs/>
          <w:color w:val="auto"/>
          <w:sz w:val="28"/>
          <w:szCs w:val="28"/>
          <w:highlight w:val="none"/>
          <w:lang w:eastAsia="zh-CN"/>
        </w:rPr>
      </w:pPr>
      <w:r>
        <w:rPr>
          <w:rFonts w:hint="eastAsia" w:ascii="仿宋" w:hAnsi="仿宋" w:eastAsia="仿宋" w:cs="仿宋"/>
          <w:b/>
          <w:bCs/>
          <w:color w:val="auto"/>
          <w:sz w:val="32"/>
          <w:szCs w:val="32"/>
          <w:highlight w:val="none"/>
          <w:lang w:val="en-US" w:eastAsia="zh-CN"/>
        </w:rPr>
        <w:t>项目四：森林资源变化图班森林督查森林资源“一张图”年度更新工作经费项目</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森林资源变化图班森林督查森林资源“一张图”</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：赣自然资字〔2024〕31号文件</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.实施方案：森林督查图斑监测10万元，预警图斑监测10万元，公益林变化图斑监测10万元</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lang w:eastAsia="zh-CN"/>
        </w:rPr>
        <w:t>万元；预算批复金额</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lang w:eastAsia="zh-CN"/>
        </w:rPr>
        <w:t>万元</w:t>
      </w:r>
    </w:p>
    <w:p>
      <w:pPr>
        <w:spacing w:line="560" w:lineRule="exact"/>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完成2025年</w:t>
      </w:r>
      <w:r>
        <w:rPr>
          <w:rFonts w:hint="eastAsia" w:ascii="仿宋" w:hAnsi="仿宋" w:eastAsia="仿宋" w:cs="仿宋"/>
          <w:b w:val="0"/>
          <w:bCs w:val="0"/>
          <w:color w:val="auto"/>
          <w:sz w:val="32"/>
          <w:szCs w:val="32"/>
          <w:highlight w:val="none"/>
          <w:lang w:val="en-US" w:eastAsia="zh-CN"/>
        </w:rPr>
        <w:t>林资源变化图班森林督查森林资源“一张图”年度更新工作</w:t>
      </w:r>
    </w:p>
    <w:p>
      <w:pPr>
        <w:numPr>
          <w:ilvl w:val="0"/>
          <w:numId w:val="0"/>
        </w:numPr>
        <w:spacing w:line="560" w:lineRule="exact"/>
        <w:ind w:firstLine="643"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项目五：赖世泮等人生活补助</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赖世泮等人生活补助</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：兴府办拨款抄字〔2012〕562号</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w:t>
      </w:r>
      <w:r>
        <w:rPr>
          <w:rFonts w:hint="eastAsia" w:ascii="仿宋" w:hAnsi="仿宋" w:eastAsia="仿宋" w:cs="仿宋"/>
          <w:b/>
          <w:bCs/>
          <w:color w:val="auto"/>
          <w:sz w:val="32"/>
          <w:szCs w:val="32"/>
          <w:highlight w:val="none"/>
          <w:lang w:val="en-US" w:eastAsia="zh-CN"/>
        </w:rPr>
        <w:t>赖世泮等人生活补助每人每月200元</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1.44</w:t>
      </w:r>
      <w:r>
        <w:rPr>
          <w:rFonts w:hint="eastAsia" w:ascii="仿宋" w:hAnsi="仿宋" w:eastAsia="仿宋" w:cs="仿宋"/>
          <w:color w:val="auto"/>
          <w:sz w:val="32"/>
          <w:szCs w:val="32"/>
          <w:highlight w:val="none"/>
          <w:lang w:eastAsia="zh-CN"/>
        </w:rPr>
        <w:t>万元；预算批复金额</w:t>
      </w:r>
      <w:r>
        <w:rPr>
          <w:rFonts w:hint="eastAsia" w:ascii="仿宋" w:hAnsi="仿宋" w:eastAsia="仿宋" w:cs="仿宋"/>
          <w:color w:val="auto"/>
          <w:sz w:val="32"/>
          <w:szCs w:val="32"/>
          <w:highlight w:val="none"/>
          <w:lang w:val="en-US" w:eastAsia="zh-CN"/>
        </w:rPr>
        <w:t>1.44</w:t>
      </w:r>
      <w:r>
        <w:rPr>
          <w:rFonts w:hint="eastAsia" w:ascii="仿宋" w:hAnsi="仿宋" w:eastAsia="仿宋" w:cs="仿宋"/>
          <w:color w:val="auto"/>
          <w:sz w:val="32"/>
          <w:szCs w:val="32"/>
          <w:highlight w:val="none"/>
          <w:lang w:eastAsia="zh-CN"/>
        </w:rPr>
        <w:t>万元</w:t>
      </w:r>
    </w:p>
    <w:p>
      <w:pPr>
        <w:spacing w:line="560" w:lineRule="exact"/>
        <w:ind w:firstLine="640"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赖世泮等人生活补助每人每月200元</w:t>
      </w:r>
    </w:p>
    <w:p>
      <w:pPr>
        <w:numPr>
          <w:ilvl w:val="0"/>
          <w:numId w:val="0"/>
        </w:numPr>
        <w:spacing w:line="560" w:lineRule="exact"/>
        <w:ind w:firstLine="643"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项目六：兴国县林业局2024年其他资金</w:t>
      </w:r>
    </w:p>
    <w:p>
      <w:pPr>
        <w:numPr>
          <w:ilvl w:val="0"/>
          <w:numId w:val="0"/>
        </w:numPr>
        <w:spacing w:line="560" w:lineRule="exact"/>
        <w:ind w:firstLine="640"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兴国县林业局2025年其他资金</w:t>
      </w:r>
    </w:p>
    <w:p>
      <w:pPr>
        <w:numPr>
          <w:ilvl w:val="0"/>
          <w:numId w:val="0"/>
        </w:num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兴国县财政局2023年【50】号</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spacing w:line="560" w:lineRule="exact"/>
        <w:ind w:firstLine="640"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w:t>
      </w:r>
      <w:r>
        <w:rPr>
          <w:rFonts w:hint="eastAsia" w:ascii="仿宋" w:hAnsi="仿宋" w:eastAsia="仿宋" w:cs="仿宋"/>
          <w:b/>
          <w:bCs/>
          <w:color w:val="auto"/>
          <w:sz w:val="32"/>
          <w:szCs w:val="32"/>
          <w:highlight w:val="none"/>
          <w:lang w:val="en-US" w:eastAsia="zh-CN"/>
        </w:rPr>
        <w:t>保证林业局稳定运行</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980</w:t>
      </w:r>
      <w:r>
        <w:rPr>
          <w:rFonts w:hint="eastAsia" w:ascii="仿宋" w:hAnsi="仿宋" w:eastAsia="仿宋" w:cs="仿宋"/>
          <w:color w:val="auto"/>
          <w:sz w:val="32"/>
          <w:szCs w:val="32"/>
          <w:highlight w:val="none"/>
          <w:lang w:eastAsia="zh-CN"/>
        </w:rPr>
        <w:t>万元；预算批复金额</w:t>
      </w:r>
      <w:r>
        <w:rPr>
          <w:rFonts w:hint="eastAsia" w:ascii="仿宋" w:hAnsi="仿宋" w:eastAsia="仿宋" w:cs="仿宋"/>
          <w:color w:val="auto"/>
          <w:sz w:val="32"/>
          <w:szCs w:val="32"/>
          <w:highlight w:val="none"/>
          <w:lang w:val="en-US" w:eastAsia="zh-CN"/>
        </w:rPr>
        <w:t>980</w:t>
      </w:r>
      <w:r>
        <w:rPr>
          <w:rFonts w:hint="eastAsia" w:ascii="仿宋" w:hAnsi="仿宋" w:eastAsia="仿宋" w:cs="仿宋"/>
          <w:color w:val="auto"/>
          <w:sz w:val="32"/>
          <w:szCs w:val="32"/>
          <w:highlight w:val="none"/>
          <w:lang w:eastAsia="zh-CN"/>
        </w:rPr>
        <w:t>万元</w:t>
      </w:r>
    </w:p>
    <w:p>
      <w:pPr>
        <w:ind w:firstLine="640" w:firstLineChars="200"/>
        <w:rPr>
          <w:rFonts w:hint="eastAsia" w:ascii="仿宋" w:hAnsi="仿宋" w:eastAsia="仿宋" w:cs="仿宋"/>
          <w:b/>
          <w:bCs/>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保证林业局稳定运行</w:t>
      </w:r>
    </w:p>
    <w:p>
      <w:pPr>
        <w:numPr>
          <w:ilvl w:val="0"/>
          <w:numId w:val="0"/>
        </w:numPr>
        <w:spacing w:line="560" w:lineRule="exact"/>
        <w:ind w:firstLine="643" w:firstLineChars="200"/>
        <w:rPr>
          <w:rFonts w:hint="default" w:ascii="楷体" w:hAnsi="楷体" w:eastAsia="楷体" w:cs="楷体"/>
          <w:b/>
          <w:bCs/>
          <w:color w:val="auto"/>
          <w:sz w:val="28"/>
          <w:szCs w:val="28"/>
          <w:highlight w:val="none"/>
          <w:lang w:val="en-US" w:eastAsia="zh-CN"/>
        </w:rPr>
      </w:pPr>
      <w:r>
        <w:rPr>
          <w:rFonts w:hint="eastAsia" w:ascii="仿宋" w:hAnsi="仿宋" w:eastAsia="仿宋" w:cs="仿宋"/>
          <w:b/>
          <w:bCs/>
          <w:color w:val="auto"/>
          <w:sz w:val="32"/>
          <w:szCs w:val="32"/>
          <w:highlight w:val="none"/>
          <w:lang w:val="en-US" w:eastAsia="zh-CN"/>
        </w:rPr>
        <w:t xml:space="preserve">项目七：均福山、园岭森林公园管理站生态巡护及森林防火经费 </w:t>
      </w:r>
    </w:p>
    <w:p>
      <w:pPr>
        <w:numPr>
          <w:ilvl w:val="0"/>
          <w:numId w:val="0"/>
        </w:numPr>
        <w:spacing w:line="560" w:lineRule="exact"/>
        <w:ind w:firstLine="640" w:firstLineChars="200"/>
        <w:rPr>
          <w:rFonts w:hint="eastAsia" w:ascii="仿宋" w:hAnsi="仿宋" w:eastAsia="仿宋" w:cs="仿宋"/>
          <w:b w:val="0"/>
          <w:bCs w:val="0"/>
          <w:color w:val="auto"/>
          <w:sz w:val="32"/>
          <w:szCs w:val="32"/>
          <w:highlight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均福山、园岭森林公园管理站生态巡护及森林防火经费</w:t>
      </w:r>
    </w:p>
    <w:p>
      <w:pPr>
        <w:numPr>
          <w:ilvl w:val="0"/>
          <w:numId w:val="0"/>
        </w:num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立项依据</w:t>
      </w:r>
      <w:r>
        <w:rPr>
          <w:rFonts w:hint="eastAsia" w:ascii="仿宋" w:hAnsi="仿宋" w:eastAsia="仿宋" w:cs="仿宋"/>
          <w:color w:val="auto"/>
          <w:sz w:val="32"/>
          <w:szCs w:val="32"/>
          <w:highlight w:val="none"/>
          <w:lang w:eastAsia="zh-CN"/>
        </w:rPr>
        <w:t>：兴</w:t>
      </w:r>
      <w:r>
        <w:rPr>
          <w:rFonts w:hint="eastAsia" w:ascii="仿宋" w:hAnsi="仿宋" w:eastAsia="仿宋" w:cs="仿宋"/>
          <w:color w:val="auto"/>
          <w:sz w:val="32"/>
          <w:szCs w:val="32"/>
          <w:highlight w:val="none"/>
          <w:lang w:val="en-US" w:eastAsia="zh-CN"/>
        </w:rPr>
        <w:t>府</w:t>
      </w:r>
      <w:r>
        <w:rPr>
          <w:rFonts w:hint="eastAsia" w:ascii="仿宋" w:hAnsi="仿宋" w:eastAsia="仿宋" w:cs="仿宋"/>
          <w:color w:val="auto"/>
          <w:sz w:val="32"/>
          <w:szCs w:val="32"/>
          <w:highlight w:val="none"/>
          <w:lang w:eastAsia="zh-CN"/>
        </w:rPr>
        <w:t>办</w:t>
      </w:r>
      <w:r>
        <w:rPr>
          <w:rFonts w:hint="eastAsia" w:ascii="仿宋" w:hAnsi="仿宋" w:eastAsia="仿宋" w:cs="仿宋"/>
          <w:color w:val="auto"/>
          <w:sz w:val="32"/>
          <w:szCs w:val="32"/>
          <w:highlight w:val="none"/>
          <w:lang w:val="en-US" w:eastAsia="zh-CN"/>
        </w:rPr>
        <w:t>拨款抄</w:t>
      </w:r>
      <w:r>
        <w:rPr>
          <w:rFonts w:hint="eastAsia" w:ascii="仿宋" w:hAnsi="仿宋" w:eastAsia="仿宋" w:cs="仿宋"/>
          <w:color w:val="auto"/>
          <w:sz w:val="32"/>
          <w:szCs w:val="32"/>
          <w:highlight w:val="none"/>
          <w:lang w:eastAsia="zh-CN"/>
        </w:rPr>
        <w:t>字〔2014〕737号</w:t>
      </w:r>
    </w:p>
    <w:p>
      <w:pPr>
        <w:numPr>
          <w:ilvl w:val="0"/>
          <w:numId w:val="0"/>
        </w:num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实施主体</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兴国县林业局</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.实施方案：</w:t>
      </w:r>
      <w:r>
        <w:rPr>
          <w:rFonts w:hint="eastAsia" w:ascii="仿宋" w:hAnsi="仿宋" w:eastAsia="仿宋" w:cs="仿宋"/>
          <w:b w:val="0"/>
          <w:bCs w:val="0"/>
          <w:color w:val="auto"/>
          <w:sz w:val="32"/>
          <w:szCs w:val="32"/>
          <w:highlight w:val="none"/>
          <w:lang w:val="en-US" w:eastAsia="zh-CN"/>
        </w:rPr>
        <w:t>均福山、园岭森林公园管理站生态巡护</w:t>
      </w:r>
      <w:r>
        <w:rPr>
          <w:rFonts w:hint="eastAsia" w:ascii="仿宋" w:hAnsi="仿宋" w:eastAsia="仿宋" w:cs="仿宋"/>
          <w:color w:val="auto"/>
          <w:sz w:val="32"/>
          <w:szCs w:val="32"/>
          <w:highlight w:val="none"/>
          <w:lang w:val="en-US" w:eastAsia="zh-CN"/>
        </w:rPr>
        <w:t>26.40万元；</w:t>
      </w:r>
      <w:r>
        <w:rPr>
          <w:rFonts w:hint="eastAsia" w:ascii="仿宋" w:hAnsi="仿宋" w:eastAsia="仿宋" w:cs="仿宋"/>
          <w:b w:val="0"/>
          <w:bCs w:val="0"/>
          <w:color w:val="auto"/>
          <w:sz w:val="32"/>
          <w:szCs w:val="32"/>
          <w:highlight w:val="none"/>
          <w:lang w:val="en-US" w:eastAsia="zh-CN"/>
        </w:rPr>
        <w:t>均福山、园岭森林公园管理站森林防火经费16万元；森林消防车运行费3万元。</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2025年</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.年度预算安排</w:t>
      </w:r>
      <w:r>
        <w:rPr>
          <w:rFonts w:hint="eastAsia" w:ascii="仿宋" w:hAnsi="仿宋" w:eastAsia="仿宋" w:cs="仿宋"/>
          <w:color w:val="auto"/>
          <w:sz w:val="32"/>
          <w:szCs w:val="32"/>
          <w:highlight w:val="none"/>
          <w:lang w:eastAsia="zh-CN"/>
        </w:rPr>
        <w:t>： 项目库申报金额</w:t>
      </w:r>
      <w:r>
        <w:rPr>
          <w:rFonts w:hint="eastAsia" w:ascii="仿宋" w:hAnsi="仿宋" w:eastAsia="仿宋" w:cs="仿宋"/>
          <w:color w:val="auto"/>
          <w:sz w:val="32"/>
          <w:szCs w:val="32"/>
          <w:highlight w:val="none"/>
          <w:lang w:val="en-US" w:eastAsia="zh-CN"/>
        </w:rPr>
        <w:t>45.4</w:t>
      </w:r>
      <w:r>
        <w:rPr>
          <w:rFonts w:hint="eastAsia" w:ascii="仿宋" w:hAnsi="仿宋" w:eastAsia="仿宋" w:cs="仿宋"/>
          <w:color w:val="auto"/>
          <w:sz w:val="32"/>
          <w:szCs w:val="32"/>
          <w:highlight w:val="none"/>
          <w:lang w:eastAsia="zh-CN"/>
        </w:rPr>
        <w:t xml:space="preserve"> 万元；预算批复金额</w:t>
      </w:r>
      <w:r>
        <w:rPr>
          <w:rFonts w:hint="eastAsia" w:ascii="仿宋" w:hAnsi="仿宋" w:eastAsia="仿宋" w:cs="仿宋"/>
          <w:color w:val="auto"/>
          <w:sz w:val="32"/>
          <w:szCs w:val="32"/>
          <w:highlight w:val="none"/>
          <w:lang w:val="en-US" w:eastAsia="zh-CN"/>
        </w:rPr>
        <w:t>45.4</w:t>
      </w:r>
      <w:r>
        <w:rPr>
          <w:rFonts w:hint="eastAsia" w:ascii="仿宋" w:hAnsi="仿宋" w:eastAsia="仿宋" w:cs="仿宋"/>
          <w:color w:val="auto"/>
          <w:sz w:val="32"/>
          <w:szCs w:val="32"/>
          <w:highlight w:val="none"/>
          <w:lang w:eastAsia="zh-CN"/>
        </w:rPr>
        <w:t>万元</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全面完成2025年</w:t>
      </w:r>
      <w:r>
        <w:rPr>
          <w:rFonts w:hint="eastAsia" w:ascii="仿宋" w:hAnsi="仿宋" w:eastAsia="仿宋" w:cs="仿宋"/>
          <w:b w:val="0"/>
          <w:bCs w:val="0"/>
          <w:color w:val="auto"/>
          <w:sz w:val="32"/>
          <w:szCs w:val="32"/>
          <w:highlight w:val="none"/>
          <w:lang w:val="en-US" w:eastAsia="zh-CN"/>
        </w:rPr>
        <w:t>均福山、园岭森林公园管理站</w:t>
      </w:r>
      <w:r>
        <w:rPr>
          <w:rFonts w:hint="eastAsia" w:ascii="仿宋" w:hAnsi="仿宋" w:eastAsia="仿宋" w:cs="仿宋"/>
          <w:color w:val="auto"/>
          <w:sz w:val="32"/>
          <w:szCs w:val="32"/>
          <w:highlight w:val="none"/>
          <w:lang w:val="en-US" w:eastAsia="zh-CN"/>
        </w:rPr>
        <w:t>考核目标。</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全面完成2024年</w:t>
      </w:r>
      <w:r>
        <w:rPr>
          <w:rFonts w:hint="eastAsia" w:ascii="仿宋" w:hAnsi="仿宋" w:eastAsia="仿宋" w:cs="仿宋"/>
          <w:b w:val="0"/>
          <w:bCs w:val="0"/>
          <w:color w:val="auto"/>
          <w:sz w:val="32"/>
          <w:szCs w:val="32"/>
          <w:highlight w:val="none"/>
          <w:lang w:val="en-US" w:eastAsia="zh-CN"/>
        </w:rPr>
        <w:t>结转项目</w:t>
      </w:r>
    </w:p>
    <w:p>
      <w:pPr>
        <w:spacing w:line="560" w:lineRule="exact"/>
        <w:ind w:firstLine="643" w:firstLineChars="200"/>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项目</w:t>
      </w:r>
      <w:r>
        <w:rPr>
          <w:rFonts w:hint="eastAsia" w:ascii="仿宋" w:hAnsi="仿宋" w:eastAsia="仿宋" w:cs="仿宋"/>
          <w:b/>
          <w:bCs/>
          <w:color w:val="auto"/>
          <w:sz w:val="32"/>
          <w:szCs w:val="32"/>
          <w:highlight w:val="none"/>
          <w:lang w:val="en-US" w:eastAsia="zh-CN"/>
        </w:rPr>
        <w:t>八</w:t>
      </w:r>
      <w:r>
        <w:rPr>
          <w:rFonts w:hint="default" w:ascii="仿宋" w:hAnsi="仿宋" w:eastAsia="仿宋" w:cs="仿宋"/>
          <w:b/>
          <w:bCs/>
          <w:color w:val="auto"/>
          <w:sz w:val="32"/>
          <w:szCs w:val="32"/>
          <w:highlight w:val="none"/>
          <w:lang w:val="en-US" w:eastAsia="zh-CN"/>
        </w:rPr>
        <w:t>：2025年松材线虫防控工程车运行经费</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1.项目概述：2025年松材线虫防控工程车运行经费</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2.立项依据：兴财字</w:t>
      </w:r>
      <w:r>
        <w:rPr>
          <w:rFonts w:hint="eastAsia" w:ascii="仿宋" w:hAnsi="仿宋" w:eastAsia="仿宋" w:cs="仿宋"/>
          <w:color w:val="auto"/>
          <w:sz w:val="32"/>
          <w:szCs w:val="32"/>
          <w:highlight w:val="none"/>
          <w:lang w:val="en-US" w:eastAsia="zh-CN"/>
        </w:rPr>
        <w:t>〔2024〕16号</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3.实施主体：兴国县林业局</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4.实施方案：松材线虫防控工程车运行经费。</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5.实施周期：2025年</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6.年度预算安排： 项目库申报金额3万元；预算批复金额3万元。</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7.年度绩效目标：保障松材线虫防控，达到预期目标。</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val="en-US" w:eastAsia="zh-CN"/>
        </w:rPr>
        <w:t>2025年</w:t>
      </w:r>
      <w:r>
        <w:rPr>
          <w:rFonts w:hint="eastAsia" w:ascii="楷体" w:hAnsi="楷体" w:eastAsia="楷体" w:cs="楷体"/>
          <w:b/>
          <w:bCs/>
          <w:color w:val="auto"/>
          <w:sz w:val="32"/>
          <w:szCs w:val="32"/>
          <w:highlight w:val="none"/>
        </w:rPr>
        <w:t>“三公”经费预算情况说明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2025年</w:t>
      </w:r>
      <w:r>
        <w:rPr>
          <w:rFonts w:hint="eastAsia" w:ascii="仿宋" w:hAnsi="仿宋" w:eastAsia="仿宋" w:cs="仿宋"/>
          <w:color w:val="auto"/>
          <w:sz w:val="32"/>
          <w:szCs w:val="32"/>
          <w:highlight w:val="none"/>
          <w:lang w:eastAsia="zh-CN"/>
        </w:rPr>
        <w:t>本单位</w:t>
      </w:r>
      <w:r>
        <w:rPr>
          <w:rFonts w:hint="eastAsia" w:ascii="仿宋" w:hAnsi="仿宋" w:eastAsia="仿宋" w:cs="仿宋"/>
          <w:color w:val="auto"/>
          <w:sz w:val="32"/>
          <w:szCs w:val="32"/>
          <w:highlight w:val="none"/>
        </w:rPr>
        <w:t>“三公”经费一般公共预算安排</w:t>
      </w:r>
      <w:r>
        <w:rPr>
          <w:rFonts w:hint="eastAsia" w:ascii="仿宋" w:hAnsi="仿宋" w:eastAsia="仿宋" w:cs="仿宋"/>
          <w:color w:val="auto"/>
          <w:sz w:val="32"/>
          <w:szCs w:val="32"/>
          <w:highlight w:val="none"/>
          <w:lang w:val="en-US" w:eastAsia="zh-CN"/>
        </w:rPr>
        <w:t>17.42</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因公出国（境）费</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，比上年增（减）</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，主要原因是：</w:t>
      </w:r>
      <w:r>
        <w:rPr>
          <w:rFonts w:hint="eastAsia" w:ascii="仿宋" w:hAnsi="仿宋" w:eastAsia="仿宋" w:cs="仿宋"/>
          <w:color w:val="auto"/>
          <w:sz w:val="32"/>
          <w:szCs w:val="32"/>
          <w:highlight w:val="none"/>
          <w:lang w:val="en-US" w:eastAsia="zh-CN"/>
        </w:rPr>
        <w:t>无相关业务，不安排相关资金</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w:t>
      </w:r>
      <w:r>
        <w:rPr>
          <w:rFonts w:hint="eastAsia" w:ascii="仿宋" w:hAnsi="仿宋" w:eastAsia="仿宋" w:cs="仿宋"/>
          <w:color w:val="auto"/>
          <w:sz w:val="32"/>
          <w:szCs w:val="32"/>
          <w:highlight w:val="none"/>
          <w:u w:val="none"/>
          <w:lang w:val="en-US" w:eastAsia="zh-CN"/>
        </w:rPr>
        <w:t>10.20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，比上年增（减）</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公务用车运行维护费</w:t>
      </w:r>
      <w:r>
        <w:rPr>
          <w:rFonts w:hint="eastAsia" w:ascii="仿宋" w:hAnsi="仿宋" w:eastAsia="仿宋" w:cs="仿宋"/>
          <w:color w:val="auto"/>
          <w:sz w:val="32"/>
          <w:szCs w:val="32"/>
          <w:highlight w:val="none"/>
          <w:u w:val="none"/>
          <w:lang w:val="en-US" w:eastAsia="zh-CN"/>
        </w:rPr>
        <w:t>10.22</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，比上年增（减）</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公务用车购置费</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，比上年增（减）</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，主要原因是：</w:t>
      </w:r>
      <w:r>
        <w:rPr>
          <w:rFonts w:hint="eastAsia" w:ascii="仿宋" w:hAnsi="仿宋" w:eastAsia="仿宋" w:cs="仿宋"/>
          <w:color w:val="auto"/>
          <w:sz w:val="32"/>
          <w:szCs w:val="32"/>
          <w:highlight w:val="none"/>
          <w:lang w:val="en-US" w:eastAsia="zh-CN"/>
        </w:rPr>
        <w:t>无相关业务，不安排相关资金</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eastAsia="zh-CN"/>
        </w:rPr>
        <w:t>三</w:t>
      </w:r>
      <w:r>
        <w:rPr>
          <w:rFonts w:hint="eastAsia" w:ascii="黑体" w:hAnsi="黑体" w:eastAsia="黑体" w:cs="黑体"/>
          <w:b w:val="0"/>
          <w:bCs w:val="0"/>
          <w:sz w:val="32"/>
          <w:szCs w:val="32"/>
          <w:highlight w:val="none"/>
        </w:rPr>
        <w:t xml:space="preserve">部分 </w:t>
      </w:r>
      <w:r>
        <w:rPr>
          <w:rFonts w:hint="eastAsia" w:ascii="黑体" w:hAnsi="黑体" w:eastAsia="黑体" w:cs="黑体"/>
          <w:b w:val="0"/>
          <w:bCs w:val="0"/>
          <w:sz w:val="32"/>
          <w:szCs w:val="32"/>
          <w:highlight w:val="none"/>
          <w:lang w:val="en-US" w:eastAsia="zh-CN"/>
        </w:rPr>
        <w:t>2025年</w:t>
      </w:r>
      <w:r>
        <w:rPr>
          <w:rFonts w:hint="eastAsia" w:ascii="黑体" w:hAnsi="黑体" w:eastAsia="黑体" w:cs="黑体"/>
          <w:b w:val="0"/>
          <w:bCs w:val="0"/>
          <w:sz w:val="32"/>
          <w:szCs w:val="32"/>
          <w:highlight w:val="none"/>
          <w:lang w:eastAsia="zh-CN"/>
        </w:rPr>
        <w:t>单位</w:t>
      </w:r>
      <w:r>
        <w:rPr>
          <w:rFonts w:hint="eastAsia" w:ascii="黑体" w:hAnsi="黑体" w:eastAsia="黑体" w:cs="黑体"/>
          <w:b w:val="0"/>
          <w:bCs w:val="0"/>
          <w:sz w:val="32"/>
          <w:szCs w:val="32"/>
          <w:highlight w:val="none"/>
        </w:rPr>
        <w:t>预算表</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highlight w:val="none"/>
          <w:lang w:eastAsia="zh-CN"/>
        </w:rPr>
      </w:pPr>
      <w:r>
        <w:rPr>
          <w:rFonts w:hint="eastAsia" w:eastAsia="仿宋"/>
          <w:color w:val="auto"/>
          <w:highlight w:val="none"/>
          <w:lang w:eastAsia="zh-CN"/>
        </w:rPr>
        <w:t>（详见附表）</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第四部分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rPr>
        <w:t>名词解释</w:t>
      </w:r>
    </w:p>
    <w:p>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一、收入科目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各</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（六）上级补助收入：反映事业单位从主管</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（七）使用非财政拨款结余：填列历年滚存的非限定用途的非统计财政拨款结余弥补</w:t>
      </w:r>
      <w:r>
        <w:rPr>
          <w:rFonts w:hint="eastAsia" w:ascii="仿宋" w:hAnsi="仿宋" w:eastAsia="仿宋" w:cs="仿宋"/>
          <w:sz w:val="32"/>
          <w:szCs w:val="32"/>
          <w:highlight w:val="none"/>
          <w:lang w:val="en-US" w:eastAsia="zh-CN"/>
        </w:rPr>
        <w:t>2025年</w:t>
      </w:r>
      <w:r>
        <w:rPr>
          <w:rFonts w:hint="eastAsia" w:ascii="仿宋" w:hAnsi="仿宋" w:eastAsia="仿宋" w:cs="仿宋"/>
          <w:sz w:val="32"/>
          <w:szCs w:val="32"/>
          <w:highlight w:val="none"/>
        </w:rPr>
        <w:t>收支差额的数额。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（八）上年结转和结余：填列</w:t>
      </w: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二、支出科目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对</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或单位预算中涉及的支出功能分类科目（明细到项级），结合</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实际，参照《</w:t>
      </w:r>
      <w:r>
        <w:rPr>
          <w:rFonts w:hint="eastAsia" w:ascii="仿宋" w:hAnsi="仿宋" w:eastAsia="仿宋" w:cs="仿宋"/>
          <w:sz w:val="32"/>
          <w:szCs w:val="32"/>
          <w:highlight w:val="none"/>
          <w:lang w:val="en-US" w:eastAsia="zh-CN"/>
        </w:rPr>
        <w:t>2025年</w:t>
      </w:r>
      <w:r>
        <w:rPr>
          <w:rFonts w:hint="eastAsia" w:ascii="仿宋" w:hAnsi="仿宋" w:eastAsia="仿宋" w:cs="仿宋"/>
          <w:sz w:val="32"/>
          <w:szCs w:val="32"/>
          <w:highlight w:val="none"/>
        </w:rPr>
        <w:t>政府收支分类科目》的规范说</w:t>
      </w:r>
      <w:r>
        <w:rPr>
          <w:rFonts w:hint="eastAsia" w:ascii="仿宋" w:hAnsi="仿宋" w:eastAsia="仿宋" w:cs="仿宋"/>
          <w:sz w:val="32"/>
          <w:szCs w:val="32"/>
          <w:highlight w:val="none"/>
          <w:lang w:eastAsia="zh-CN"/>
        </w:rPr>
        <w:t>明进</w:t>
      </w:r>
      <w:r>
        <w:rPr>
          <w:rFonts w:hint="eastAsia" w:ascii="仿宋" w:hAnsi="仿宋" w:eastAsia="仿宋" w:cs="仿宋"/>
          <w:sz w:val="32"/>
          <w:szCs w:val="32"/>
          <w:highlight w:val="none"/>
        </w:rPr>
        <w:t>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（五）事业单位医疗：反映财政</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highlight w:val="none"/>
          <w14:textFill>
            <w14:solidFill>
              <w14:schemeClr w14:val="tx1"/>
            </w14:solidFill>
          </w14:textFill>
        </w:rPr>
      </w:pPr>
      <w:r>
        <w:rPr>
          <w:rFonts w:hint="eastAsia" w:ascii="仿宋" w:hAnsi="仿宋" w:eastAsia="仿宋" w:cs="仿宋"/>
          <w:sz w:val="32"/>
          <w:szCs w:val="32"/>
          <w:highlight w:val="none"/>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三</w:t>
      </w:r>
      <w:r>
        <w:rPr>
          <w:rFonts w:hint="eastAsia" w:ascii="楷体" w:hAnsi="楷体" w:eastAsia="楷体" w:cs="楷体"/>
          <w:b/>
          <w:bCs/>
          <w:sz w:val="32"/>
          <w:szCs w:val="32"/>
          <w:highlight w:val="none"/>
        </w:rPr>
        <w:t>、</w:t>
      </w:r>
      <w:r>
        <w:rPr>
          <w:rFonts w:hint="eastAsia" w:ascii="楷体" w:hAnsi="楷体" w:eastAsia="楷体" w:cs="楷体"/>
          <w:b/>
          <w:bCs/>
          <w:sz w:val="32"/>
          <w:szCs w:val="32"/>
          <w:highlight w:val="none"/>
          <w:lang w:eastAsia="zh-CN"/>
        </w:rPr>
        <w:t>相关专业名词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各</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二）“三公”经费：指使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12213F-2E8E-4E70-BD78-11715B42A51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290B3C9F-D0F6-4648-8309-AD76150173EB}"/>
  </w:font>
  <w:font w:name="仿宋_GB2312">
    <w:panose1 w:val="02010609030101010101"/>
    <w:charset w:val="86"/>
    <w:family w:val="modern"/>
    <w:pitch w:val="default"/>
    <w:sig w:usb0="00000001" w:usb1="080E0000" w:usb2="00000000" w:usb3="00000000" w:csb0="00040000" w:csb1="00000000"/>
    <w:embedRegular r:id="rId3" w:fontKey="{81FF0101-3445-43C1-BFDF-63FED0D22245}"/>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4" w:fontKey="{F27FA895-E822-46F2-AC98-2D32464EF346}"/>
  </w:font>
  <w:font w:name="楷体">
    <w:panose1 w:val="02010609060101010101"/>
    <w:charset w:val="86"/>
    <w:family w:val="auto"/>
    <w:pitch w:val="default"/>
    <w:sig w:usb0="800002BF" w:usb1="38CF7CFA" w:usb2="00000016" w:usb3="00000000" w:csb0="00040001" w:csb1="00000000"/>
    <w:embedRegular r:id="rId5" w:fontKey="{FF7491EB-6E47-4D8E-BD32-49060B6804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7DACD0"/>
    <w:multiLevelType w:val="singleLevel"/>
    <w:tmpl w:val="E17DACD0"/>
    <w:lvl w:ilvl="0" w:tentative="0">
      <w:start w:val="1"/>
      <w:numFmt w:val="decimal"/>
      <w:lvlText w:val="%1."/>
      <w:lvlJc w:val="left"/>
      <w:pPr>
        <w:tabs>
          <w:tab w:val="left" w:pos="312"/>
        </w:tabs>
      </w:p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Tc4NmRjZjBjZDFhMmY1ZjFkNTliNGJkZmFhOTQifQ=="/>
  </w:docVars>
  <w:rsids>
    <w:rsidRoot w:val="445E02C8"/>
    <w:rsid w:val="00004917"/>
    <w:rsid w:val="01AE15BA"/>
    <w:rsid w:val="023A109F"/>
    <w:rsid w:val="028A0E70"/>
    <w:rsid w:val="029C1412"/>
    <w:rsid w:val="0382364B"/>
    <w:rsid w:val="04EE7A30"/>
    <w:rsid w:val="05FD6618"/>
    <w:rsid w:val="06A76233"/>
    <w:rsid w:val="08142F09"/>
    <w:rsid w:val="0DA87805"/>
    <w:rsid w:val="0F2B00AD"/>
    <w:rsid w:val="105F2578"/>
    <w:rsid w:val="12D314C8"/>
    <w:rsid w:val="133E2072"/>
    <w:rsid w:val="14995D41"/>
    <w:rsid w:val="150775E9"/>
    <w:rsid w:val="15AC2D46"/>
    <w:rsid w:val="163D489D"/>
    <w:rsid w:val="16B20DAC"/>
    <w:rsid w:val="172067DB"/>
    <w:rsid w:val="178E60A4"/>
    <w:rsid w:val="183B6FDD"/>
    <w:rsid w:val="19CF11C0"/>
    <w:rsid w:val="19E963DC"/>
    <w:rsid w:val="1C215462"/>
    <w:rsid w:val="1C286458"/>
    <w:rsid w:val="1C2E1720"/>
    <w:rsid w:val="1C33298F"/>
    <w:rsid w:val="1CCD75E6"/>
    <w:rsid w:val="1DE32862"/>
    <w:rsid w:val="1E761E86"/>
    <w:rsid w:val="1EA8395A"/>
    <w:rsid w:val="1EE44DD9"/>
    <w:rsid w:val="1F226863"/>
    <w:rsid w:val="1FA00DC2"/>
    <w:rsid w:val="208C1E7D"/>
    <w:rsid w:val="20DF1F83"/>
    <w:rsid w:val="21641254"/>
    <w:rsid w:val="21E85FCA"/>
    <w:rsid w:val="22FD7853"/>
    <w:rsid w:val="230D12AE"/>
    <w:rsid w:val="2358717F"/>
    <w:rsid w:val="248118CF"/>
    <w:rsid w:val="249F7525"/>
    <w:rsid w:val="250273A3"/>
    <w:rsid w:val="25B37610"/>
    <w:rsid w:val="26AA48C2"/>
    <w:rsid w:val="29934A6D"/>
    <w:rsid w:val="2B5E7F74"/>
    <w:rsid w:val="2B692C3E"/>
    <w:rsid w:val="2B6B1F67"/>
    <w:rsid w:val="2B7C3849"/>
    <w:rsid w:val="2BB33D16"/>
    <w:rsid w:val="2C8E5424"/>
    <w:rsid w:val="2C95120B"/>
    <w:rsid w:val="2F7C0FE2"/>
    <w:rsid w:val="2F9A2833"/>
    <w:rsid w:val="302E5079"/>
    <w:rsid w:val="30EF5591"/>
    <w:rsid w:val="31024210"/>
    <w:rsid w:val="326319AF"/>
    <w:rsid w:val="326D79FF"/>
    <w:rsid w:val="326F585D"/>
    <w:rsid w:val="32990C1B"/>
    <w:rsid w:val="349D271D"/>
    <w:rsid w:val="352A6ADB"/>
    <w:rsid w:val="357C4F4F"/>
    <w:rsid w:val="386F3749"/>
    <w:rsid w:val="38AE3672"/>
    <w:rsid w:val="393E2668"/>
    <w:rsid w:val="3A4013F4"/>
    <w:rsid w:val="3B87704A"/>
    <w:rsid w:val="3C215F09"/>
    <w:rsid w:val="3C7324DC"/>
    <w:rsid w:val="3CC1149A"/>
    <w:rsid w:val="3CF63839"/>
    <w:rsid w:val="3D2B59E9"/>
    <w:rsid w:val="3D670293"/>
    <w:rsid w:val="3F594A16"/>
    <w:rsid w:val="3F5F2902"/>
    <w:rsid w:val="3FFE2FA6"/>
    <w:rsid w:val="42294DF3"/>
    <w:rsid w:val="43166E7E"/>
    <w:rsid w:val="445E02C8"/>
    <w:rsid w:val="46941843"/>
    <w:rsid w:val="477B6B06"/>
    <w:rsid w:val="4877302A"/>
    <w:rsid w:val="48A40B02"/>
    <w:rsid w:val="4BB772C7"/>
    <w:rsid w:val="4C545B80"/>
    <w:rsid w:val="4CE92A73"/>
    <w:rsid w:val="4E300EE3"/>
    <w:rsid w:val="4ED646CD"/>
    <w:rsid w:val="50731F8A"/>
    <w:rsid w:val="511E441C"/>
    <w:rsid w:val="51F82DD6"/>
    <w:rsid w:val="53EA0E7E"/>
    <w:rsid w:val="54223F19"/>
    <w:rsid w:val="54370568"/>
    <w:rsid w:val="57947A7F"/>
    <w:rsid w:val="5795755B"/>
    <w:rsid w:val="58D1108E"/>
    <w:rsid w:val="598633F7"/>
    <w:rsid w:val="5A296BA4"/>
    <w:rsid w:val="5E4F64AE"/>
    <w:rsid w:val="617150B2"/>
    <w:rsid w:val="62740BD9"/>
    <w:rsid w:val="62CC52AD"/>
    <w:rsid w:val="632E5672"/>
    <w:rsid w:val="64C00BC8"/>
    <w:rsid w:val="64D57F77"/>
    <w:rsid w:val="678A67A9"/>
    <w:rsid w:val="67DD5341"/>
    <w:rsid w:val="683427E9"/>
    <w:rsid w:val="6AA9734A"/>
    <w:rsid w:val="6AC653CF"/>
    <w:rsid w:val="6DA719AA"/>
    <w:rsid w:val="6DB025EB"/>
    <w:rsid w:val="6DD32C57"/>
    <w:rsid w:val="6DF75CCF"/>
    <w:rsid w:val="6E7361E8"/>
    <w:rsid w:val="6ECD03A1"/>
    <w:rsid w:val="717007BD"/>
    <w:rsid w:val="71724DA6"/>
    <w:rsid w:val="725125F7"/>
    <w:rsid w:val="726F4BBC"/>
    <w:rsid w:val="73467A28"/>
    <w:rsid w:val="73E060CE"/>
    <w:rsid w:val="76051E1C"/>
    <w:rsid w:val="772705B7"/>
    <w:rsid w:val="78061B98"/>
    <w:rsid w:val="781268D1"/>
    <w:rsid w:val="79874FE5"/>
    <w:rsid w:val="7996690A"/>
    <w:rsid w:val="79E7320F"/>
    <w:rsid w:val="7ADD5F1E"/>
    <w:rsid w:val="7BA17B73"/>
    <w:rsid w:val="7D0077D3"/>
    <w:rsid w:val="7D1E6F5B"/>
    <w:rsid w:val="7DA50C86"/>
    <w:rsid w:val="7EE847CA"/>
    <w:rsid w:val="7F875961"/>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5155</Words>
  <Characters>5795</Characters>
  <Lines>0</Lines>
  <Paragraphs>0</Paragraphs>
  <TotalTime>14</TotalTime>
  <ScaleCrop>false</ScaleCrop>
  <LinksUpToDate>false</LinksUpToDate>
  <CharactersWithSpaces>5835</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 䉁</cp:lastModifiedBy>
  <dcterms:modified xsi:type="dcterms:W3CDTF">2025-02-20T09:23:10Z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200B2953A8C94887B84F91F6E946D88B_13</vt:lpwstr>
  </property>
  <property fmtid="{D5CDD505-2E9C-101B-9397-08002B2CF9AE}" pid="4" name="KSOTemplateDocerSaveRecord">
    <vt:lpwstr>eyJoZGlkIjoiMmUxM2RmNGFhYmMzMGE2NTQ3MWFlYjQzZmZlMTkyZjkiLCJ1c2VySWQiOiIxNDU1NzAxMjc3In0=</vt:lpwstr>
  </property>
</Properties>
</file>