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bookmarkStart w:id="0" w:name="_GoBack"/>
      <w:bookmarkEnd w:id="0"/>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兴国县财政局2023年度部门决算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兴国县财政局概况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兴国县财政局概况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（一）贯彻执行国家的财政、税收法律法规和政策。研究财税发展战略，完善鼓励公益事业发展的财税措施。</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承担县本级各项财政收支管理的责任；负责编制年度县本级预决算草案并组织执行；受县政府委托，向县人民代表大会报告全县预算及其执行情况，向县人大常委会报告全县决算；组织制定经费开支标准、定额，负责审核批复部门（单位）的年度预决算；完善县对乡镇(区)的转移支付制度。</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（三）负责非税收入监管，按规定对行政事业性收费和政府性基金、罚没收入等非税收入进行监管；管理财政票据；执行彩票管理的有关政策，监管彩票市场，按规定管理彩票资金。</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（四）组织制定财政国库管理制度和国库集中收付制度，指导和监督全县国库业务，按规定开展财政国库资金管理工作。负责制定政府采购制度并监督管理。</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（五）负责制定行政事业单位国有资产管理规章制度，按规定管理行政事业单位国有资产，制定需要全县统一规定的开支标准和支出政策。</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六）负责审核和汇总编制全县国有资本经营预决算草案，制定国有资本经营预算的制度和办法，收取县本级企业国有资本收益，制定并组织执行企业财务制度，参与制定企业国有资产管理相关制度，按规定管理资产评估工作。</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七）负责办理和监督县本级财政的经济发展支出、县本级政府投资项目的财政拨款，参与制定县本级建设投资的有关政策，制定基本建设财务制度，负责有关政策性补贴和专项储备资金财政管理工作。负责县本级政府投资项目工程预算审查、结算管理工作。</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（八）编制县本级土地出让收支年度预算，监督管理土地出让收入；协助有关部门做好土地收储和土地出让工作。</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（九）会同有关部门管理全县财政社会保障和就业及医疗卫生支出，会同有关部门拟订社会保障资金（基金）的财务管理制度，编制全县社会保险基金预决算草案。</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（十）参与研究利用外资的有关政策，管理外国政府和国际金融机构在本县贷款项目的有关业务。</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（十一）负责管理全县的会计工作，监督和规范会计行为，指导和监督注册会计师和会计师事务所的业务，指导和管理社会审计。</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十二）拟订财经监督的制度和办法，研究制订财经监督检查的工作规划与强化财经监督检查的措施；监督财税方针政策、法规和制度执行情况；组织实施全县财经监督检查工作，提出加强财政管理的政策建议；查处重大违反财经纪律和打击报复案件。组织对预算部门编制部门预算建议计划、预算绩效说明书和绩效预算草案进行审查和预期绩效评估；具体组织本级绩效预算的执行，并对预算的执行进行绩效监督检查和控制；负责审查本级预算部门绩效自评报告，并提出审查意见批复部门。</w:t>
      </w:r>
    </w:p>
    <w:p>
      <w:pPr>
        <w:ind w:firstLine="630"/>
        <w:jc w:val="left"/>
        <w:rPr>
          <w:rFonts w:hint="eastAsia" w:ascii="仿宋_GB2312" w:hAnsi="仿宋_GB2312" w:eastAsia="仿宋_GB2312"/>
          <w:sz w:val="32"/>
          <w:szCs w:val="32"/>
        </w:rPr>
      </w:pPr>
      <w:r>
        <w:rPr>
          <w:rFonts w:hint="eastAsia" w:ascii="仿宋_GB2312" w:hAnsi="仿宋_GB2312" w:eastAsia="仿宋_GB2312"/>
          <w:color w:val="auto"/>
          <w:sz w:val="32"/>
          <w:szCs w:val="32"/>
        </w:rPr>
        <w:t>（十三）完成县委、县政府交办的其它工作任务。</w:t>
      </w: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2</w:t>
      </w:r>
      <w:r>
        <w:rPr>
          <w:rFonts w:hint="eastAsia" w:ascii="仿宋_GB2312" w:hAnsi="仿宋_GB2312" w:eastAsia="仿宋_GB2312"/>
          <w:sz w:val="32"/>
          <w:szCs w:val="32"/>
        </w:rPr>
        <w:t>个，包括：</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default" w:ascii="仿宋_GB2312" w:hAnsi="仿宋_GB2312" w:eastAsia="仿宋_GB2312"/>
                <w:color w:val="FFFFFF" w:themeColor="background1"/>
                <w:sz w:val="30"/>
                <w:szCs w:val="30"/>
                <w:highlight w:val="none"/>
                <w:lang w:val="en-US" w:eastAsia="zh-CN"/>
              </w:rPr>
            </w:pPr>
            <w:r>
              <w:rPr>
                <w:rFonts w:hint="eastAsia" w:ascii="仿宋_GB2312" w:hAnsi="仿宋_GB2312" w:eastAsia="仿宋_GB2312"/>
                <w:color w:val="auto"/>
                <w:sz w:val="30"/>
                <w:szCs w:val="30"/>
                <w:highlight w:val="none"/>
                <w:lang w:val="en-US" w:eastAsia="zh-CN"/>
              </w:rPr>
              <w:t xml:space="preserve">  1</w:t>
            </w:r>
          </w:p>
        </w:tc>
        <w:tc>
          <w:tcPr>
            <w:tcW w:w="4769" w:type="dxa"/>
            <w:shd w:val="clear" w:color="auto" w:fill="auto"/>
            <w:noWrap w:val="0"/>
            <w:vAlign w:val="top"/>
          </w:tcPr>
          <w:p>
            <w:pPr>
              <w:jc w:val="left"/>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兴国县财政局</w:t>
            </w:r>
          </w:p>
        </w:tc>
        <w:tc>
          <w:tcPr>
            <w:tcW w:w="2348" w:type="dxa"/>
            <w:shd w:val="clear" w:color="auto" w:fill="auto"/>
            <w:noWrap w:val="0"/>
            <w:vAlign w:val="top"/>
          </w:tcPr>
          <w:p>
            <w:pPr>
              <w:ind w:firstLine="300" w:firstLineChars="100"/>
              <w:jc w:val="left"/>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pPr>
              <w:jc w:val="left"/>
              <w:rPr>
                <w:rFonts w:ascii="仿宋_GB2312" w:hAnsi="仿宋_GB2312" w:eastAsia="仿宋_GB2312"/>
                <w:sz w:val="30"/>
                <w:szCs w:val="30"/>
              </w:rPr>
            </w:pPr>
            <w:r>
              <w:rPr>
                <w:rFonts w:hint="eastAsia" w:ascii="仿宋_GB2312" w:hAnsi="仿宋_GB2312" w:eastAsia="仿宋_GB2312"/>
                <w:sz w:val="30"/>
                <w:szCs w:val="30"/>
              </w:rPr>
              <w:t xml:space="preserve"> </w:t>
            </w:r>
            <w:r>
              <w:rPr>
                <w:rFonts w:hint="eastAsia" w:ascii="仿宋_GB2312" w:hAnsi="仿宋_GB2312" w:eastAsia="仿宋_GB2312"/>
                <w:sz w:val="30"/>
                <w:szCs w:val="30"/>
                <w:lang w:val="en-US" w:eastAsia="zh-CN"/>
              </w:rPr>
              <w:t xml:space="preserve"> 2</w:t>
            </w:r>
            <w:r>
              <w:rPr>
                <w:rFonts w:hint="eastAsia" w:ascii="仿宋_GB2312" w:hAnsi="仿宋_GB2312" w:eastAsia="仿宋_GB2312"/>
                <w:sz w:val="30"/>
                <w:szCs w:val="30"/>
              </w:rPr>
              <w:t xml:space="preserve">  </w:t>
            </w:r>
          </w:p>
        </w:tc>
        <w:tc>
          <w:tcPr>
            <w:tcW w:w="4769" w:type="dxa"/>
            <w:shd w:val="clear" w:color="auto" w:fill="auto"/>
            <w:noWrap w:val="0"/>
            <w:vAlign w:val="top"/>
          </w:tcPr>
          <w:p>
            <w:pPr>
              <w:jc w:val="left"/>
              <w:rPr>
                <w:rFonts w:ascii="仿宋_GB2312" w:hAnsi="仿宋_GB2312" w:eastAsia="仿宋_GB2312"/>
                <w:sz w:val="30"/>
                <w:szCs w:val="30"/>
              </w:rPr>
            </w:pPr>
            <w:r>
              <w:rPr>
                <w:rFonts w:hint="eastAsia" w:ascii="仿宋_GB2312" w:hAnsi="仿宋_GB2312" w:eastAsia="仿宋_GB2312"/>
                <w:sz w:val="30"/>
                <w:szCs w:val="30"/>
                <w:lang w:val="en-US" w:eastAsia="zh-CN"/>
              </w:rPr>
              <w:t>兴国县国有资产服务中心</w:t>
            </w:r>
            <w:r>
              <w:rPr>
                <w:rFonts w:hint="eastAsia" w:ascii="仿宋_GB2312" w:hAnsi="仿宋_GB2312" w:eastAsia="仿宋_GB2312"/>
                <w:sz w:val="30"/>
                <w:szCs w:val="30"/>
              </w:rPr>
              <w:t xml:space="preserve">      </w:t>
            </w:r>
          </w:p>
        </w:tc>
        <w:tc>
          <w:tcPr>
            <w:tcW w:w="2348" w:type="dxa"/>
            <w:shd w:val="clear" w:color="auto" w:fill="auto"/>
            <w:noWrap w:val="0"/>
            <w:vAlign w:val="top"/>
          </w:tcPr>
          <w:p>
            <w:pPr>
              <w:jc w:val="left"/>
              <w:rPr>
                <w:rFonts w:ascii="仿宋_GB2312" w:hAnsi="仿宋_GB2312" w:eastAsia="仿宋_GB2312"/>
                <w:sz w:val="30"/>
                <w:szCs w:val="30"/>
              </w:rPr>
            </w:pPr>
            <w:r>
              <w:rPr>
                <w:rFonts w:hint="eastAsia" w:ascii="仿宋_GB2312" w:hAnsi="仿宋_GB2312" w:eastAsia="仿宋_GB2312"/>
                <w:sz w:val="30"/>
                <w:szCs w:val="30"/>
              </w:rPr>
              <w:t xml:space="preserve"> </w:t>
            </w:r>
            <w:r>
              <w:rPr>
                <w:rFonts w:hint="eastAsia" w:ascii="仿宋_GB2312" w:hAnsi="仿宋_GB2312" w:eastAsia="仿宋_GB2312"/>
                <w:sz w:val="30"/>
                <w:szCs w:val="30"/>
                <w:lang w:val="en-US" w:eastAsia="zh-CN"/>
              </w:rPr>
              <w:t xml:space="preserve"> 二级</w:t>
            </w:r>
            <w:r>
              <w:rPr>
                <w:rFonts w:hint="eastAsia" w:ascii="仿宋_GB2312" w:hAnsi="仿宋_GB2312" w:eastAsia="仿宋_GB2312"/>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sz w:val="30"/>
                <w:szCs w:val="30"/>
                <w:highlight w:val="yellow"/>
              </w:rPr>
            </w:pPr>
          </w:p>
        </w:tc>
        <w:tc>
          <w:tcPr>
            <w:tcW w:w="4769" w:type="dxa"/>
            <w:shd w:val="clear" w:color="auto" w:fill="auto"/>
            <w:noWrap w:val="0"/>
            <w:vAlign w:val="top"/>
          </w:tcPr>
          <w:p>
            <w:pPr>
              <w:jc w:val="left"/>
              <w:rPr>
                <w:rFonts w:hint="eastAsia" w:ascii="仿宋_GB2312" w:hAnsi="仿宋_GB2312" w:eastAsia="仿宋_GB2312"/>
                <w:sz w:val="30"/>
                <w:szCs w:val="30"/>
                <w:highlight w:val="yellow"/>
              </w:rPr>
            </w:pPr>
          </w:p>
        </w:tc>
        <w:tc>
          <w:tcPr>
            <w:tcW w:w="2348" w:type="dxa"/>
            <w:shd w:val="clear" w:color="auto" w:fill="auto"/>
            <w:noWrap w:val="0"/>
            <w:vAlign w:val="top"/>
          </w:tcPr>
          <w:p>
            <w:pPr>
              <w:jc w:val="left"/>
              <w:rPr>
                <w:rFonts w:hint="eastAsia" w:ascii="仿宋_GB2312" w:hAnsi="仿宋_GB2312" w:eastAsia="仿宋_GB2312"/>
                <w:sz w:val="30"/>
                <w:szCs w:val="3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sz w:val="30"/>
                <w:szCs w:val="30"/>
                <w:highlight w:val="yellow"/>
              </w:rPr>
            </w:pPr>
          </w:p>
        </w:tc>
        <w:tc>
          <w:tcPr>
            <w:tcW w:w="4769" w:type="dxa"/>
            <w:shd w:val="clear" w:color="auto" w:fill="auto"/>
            <w:noWrap w:val="0"/>
            <w:vAlign w:val="top"/>
          </w:tcPr>
          <w:p>
            <w:pPr>
              <w:jc w:val="left"/>
              <w:rPr>
                <w:rFonts w:hint="eastAsia" w:ascii="仿宋_GB2312" w:hAnsi="仿宋_GB2312" w:eastAsia="仿宋_GB2312"/>
                <w:sz w:val="30"/>
                <w:szCs w:val="30"/>
                <w:highlight w:val="yellow"/>
              </w:rPr>
            </w:pPr>
          </w:p>
        </w:tc>
        <w:tc>
          <w:tcPr>
            <w:tcW w:w="2348" w:type="dxa"/>
            <w:shd w:val="clear" w:color="auto" w:fill="auto"/>
            <w:noWrap w:val="0"/>
            <w:vAlign w:val="top"/>
          </w:tcPr>
          <w:p>
            <w:pPr>
              <w:jc w:val="left"/>
              <w:rPr>
                <w:rFonts w:hint="eastAsia" w:ascii="仿宋_GB2312" w:hAnsi="仿宋_GB2312" w:eastAsia="仿宋_GB2312"/>
                <w:sz w:val="30"/>
                <w:szCs w:val="30"/>
                <w:highlight w:val="yellow"/>
              </w:rPr>
            </w:pPr>
          </w:p>
        </w:tc>
      </w:tr>
    </w:tbl>
    <w:p>
      <w:pPr>
        <w:ind w:firstLine="640" w:firstLineChars="200"/>
        <w:jc w:val="left"/>
        <w:rPr>
          <w:rFonts w:hint="eastAsia"/>
        </w:rPr>
      </w:pPr>
      <w:r>
        <w:rPr>
          <w:rFonts w:hint="eastAsia" w:ascii="仿宋_GB2312" w:hAnsi="仿宋_GB2312" w:eastAsia="仿宋_GB2312"/>
          <w:sz w:val="32"/>
          <w:szCs w:val="32"/>
        </w:rPr>
        <w:t>本部门年末在职人员125人，离退休人员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人（不含由养老保险基金发放养老金的离退休人员），其他人员20人。由养老保险基金发放养老金的离退休人员80人。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pPr>
            <w:r>
              <w:rPr>
                <w:rFonts w:ascii="宋体" w:hAnsi="宋体" w:eastAsia="宋体" w:cs="宋体"/>
                <w:b w:val="0"/>
                <w:i w:val="0"/>
                <w:color w:val="000000"/>
                <w:sz w:val="14"/>
              </w:rPr>
              <w:t>收入</w:t>
            </w:r>
          </w:p>
        </w:tc>
        <w:tc>
          <w:tcPr>
            <w:tcW w:w="2340" w:type="dxa"/>
            <w:gridSpan w:val="3"/>
            <w:vAlign w:val="center"/>
          </w:tcPr>
          <w:p>
            <w:pPr>
              <w:jc w:val="center"/>
            </w:pPr>
            <w:r>
              <w:rPr>
                <w:rFonts w:ascii="宋体" w:hAnsi="宋体" w:eastAsia="宋体" w:cs="宋体"/>
                <w:b w:val="0"/>
                <w:i w:val="0"/>
                <w:color w:val="000000"/>
                <w:sz w:val="14"/>
              </w:rPr>
              <w:t>支出</w:t>
            </w:r>
          </w:p>
        </w:tc>
      </w:tr>
      <w:tr>
        <w:tblPrEx>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4,594.74</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3,880.26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pPr>
              <w:jc w:val="right"/>
            </w:pPr>
            <w:r>
              <w:rPr>
                <w:rFonts w:ascii="宋体" w:hAnsi="宋体" w:eastAsia="宋体" w:cs="宋体"/>
                <w:b w:val="0"/>
                <w:i w:val="0"/>
                <w:color w:val="000000"/>
                <w:sz w:val="14"/>
              </w:rPr>
              <w:t>150.45</w:t>
            </w: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267.30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110.55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pPr>
              <w:jc w:val="right"/>
            </w:pPr>
            <w:r>
              <w:rPr>
                <w:rFonts w:ascii="宋体" w:hAnsi="宋体" w:eastAsia="宋体" w:cs="宋体"/>
                <w:b w:val="0"/>
                <w:i w:val="0"/>
                <w:color w:val="000000"/>
                <w:sz w:val="14"/>
              </w:rPr>
              <w:t>275.77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127.81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pPr>
              <w:jc w:val="right"/>
            </w:pPr>
            <w:r>
              <w:rPr>
                <w:rFonts w:ascii="宋体" w:hAnsi="宋体" w:eastAsia="宋体" w:cs="宋体"/>
                <w:b w:val="0"/>
                <w:i w:val="0"/>
                <w:color w:val="000000"/>
                <w:sz w:val="14"/>
              </w:rPr>
              <w:t>29.92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4,745.19</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4,691.61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pPr>
              <w:jc w:val="right"/>
            </w:pPr>
            <w:r>
              <w:rPr>
                <w:rFonts w:ascii="宋体" w:hAnsi="宋体" w:eastAsia="宋体" w:cs="宋体"/>
                <w:b w:val="0"/>
                <w:i w:val="0"/>
                <w:color w:val="000000"/>
                <w:sz w:val="14"/>
              </w:rPr>
              <w:t>53.58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4,745.19</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4,745.19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4,745.19</w:t>
            </w:r>
          </w:p>
        </w:tc>
        <w:tc>
          <w:tcPr>
            <w:tcW w:w="900" w:type="dxa"/>
            <w:vAlign w:val="center"/>
          </w:tcPr>
          <w:p>
            <w:pPr>
              <w:jc w:val="right"/>
            </w:pPr>
            <w:r>
              <w:rPr>
                <w:rFonts w:ascii="宋体" w:hAnsi="宋体" w:eastAsia="宋体" w:cs="宋体"/>
                <w:b w:val="0"/>
                <w:i w:val="0"/>
                <w:color w:val="000000"/>
                <w:sz w:val="9"/>
              </w:rPr>
              <w:t>4,594.74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150.45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w:t>
            </w:r>
          </w:p>
        </w:tc>
        <w:tc>
          <w:tcPr>
            <w:tcW w:w="1420" w:type="dxa"/>
            <w:vAlign w:val="center"/>
          </w:tcPr>
          <w:p>
            <w:pPr>
              <w:jc w:val="left"/>
            </w:pPr>
            <w:r>
              <w:rPr>
                <w:rFonts w:ascii="宋体" w:hAnsi="宋体" w:eastAsia="宋体" w:cs="宋体"/>
                <w:b w:val="0"/>
                <w:i w:val="0"/>
                <w:color w:val="000000"/>
                <w:sz w:val="9"/>
              </w:rPr>
              <w:t>一般公共服务支出</w:t>
            </w:r>
          </w:p>
        </w:tc>
        <w:tc>
          <w:tcPr>
            <w:tcW w:w="860" w:type="dxa"/>
            <w:vAlign w:val="center"/>
          </w:tcPr>
          <w:p>
            <w:pPr>
              <w:jc w:val="right"/>
            </w:pPr>
            <w:r>
              <w:rPr>
                <w:rFonts w:ascii="宋体" w:hAnsi="宋体" w:eastAsia="宋体" w:cs="宋体"/>
                <w:b w:val="0"/>
                <w:i w:val="0"/>
                <w:color w:val="000000"/>
                <w:sz w:val="9"/>
              </w:rPr>
              <w:t>3,880.26</w:t>
            </w:r>
          </w:p>
        </w:tc>
        <w:tc>
          <w:tcPr>
            <w:tcW w:w="900" w:type="dxa"/>
            <w:vAlign w:val="center"/>
          </w:tcPr>
          <w:p>
            <w:pPr>
              <w:jc w:val="right"/>
            </w:pPr>
            <w:r>
              <w:rPr>
                <w:rFonts w:ascii="宋体" w:hAnsi="宋体" w:eastAsia="宋体" w:cs="宋体"/>
                <w:b w:val="0"/>
                <w:i w:val="0"/>
                <w:color w:val="000000"/>
                <w:sz w:val="9"/>
              </w:rPr>
              <w:t>3,813.31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66.95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20106</w:t>
            </w:r>
          </w:p>
        </w:tc>
        <w:tc>
          <w:tcPr>
            <w:tcW w:w="1420" w:type="dxa"/>
            <w:vAlign w:val="center"/>
          </w:tcPr>
          <w:p>
            <w:pPr>
              <w:jc w:val="left"/>
            </w:pPr>
            <w:r>
              <w:rPr>
                <w:rFonts w:ascii="宋体" w:hAnsi="宋体" w:eastAsia="宋体" w:cs="宋体"/>
                <w:b w:val="0"/>
                <w:i w:val="0"/>
                <w:color w:val="000000"/>
                <w:sz w:val="9"/>
              </w:rPr>
              <w:t>财政事务</w:t>
            </w:r>
          </w:p>
        </w:tc>
        <w:tc>
          <w:tcPr>
            <w:tcW w:w="860" w:type="dxa"/>
            <w:vAlign w:val="center"/>
          </w:tcPr>
          <w:p>
            <w:pPr>
              <w:jc w:val="right"/>
            </w:pPr>
            <w:r>
              <w:rPr>
                <w:rFonts w:ascii="宋体" w:hAnsi="宋体" w:eastAsia="宋体" w:cs="宋体"/>
                <w:b w:val="0"/>
                <w:i w:val="0"/>
                <w:color w:val="000000"/>
                <w:sz w:val="9"/>
              </w:rPr>
              <w:t>3,242.26</w:t>
            </w:r>
          </w:p>
        </w:tc>
        <w:tc>
          <w:tcPr>
            <w:tcW w:w="900" w:type="dxa"/>
            <w:vAlign w:val="center"/>
          </w:tcPr>
          <w:p>
            <w:pPr>
              <w:jc w:val="right"/>
            </w:pPr>
            <w:r>
              <w:rPr>
                <w:rFonts w:ascii="宋体" w:hAnsi="宋体" w:eastAsia="宋体" w:cs="宋体"/>
                <w:b w:val="0"/>
                <w:i w:val="0"/>
                <w:color w:val="000000"/>
                <w:sz w:val="9"/>
              </w:rPr>
              <w:t>3,175.31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66.95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2010601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1,101.49</w:t>
            </w:r>
          </w:p>
        </w:tc>
        <w:tc>
          <w:tcPr>
            <w:tcW w:w="900" w:type="dxa"/>
            <w:vAlign w:val="center"/>
          </w:tcPr>
          <w:p>
            <w:pPr>
              <w:jc w:val="right"/>
            </w:pPr>
            <w:r>
              <w:rPr>
                <w:rFonts w:ascii="宋体" w:hAnsi="宋体" w:eastAsia="宋体" w:cs="宋体"/>
                <w:b w:val="0"/>
                <w:i w:val="0"/>
                <w:color w:val="000000"/>
                <w:sz w:val="9"/>
              </w:rPr>
              <w:t>1,101.49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2010699</w:t>
            </w:r>
          </w:p>
        </w:tc>
        <w:tc>
          <w:tcPr>
            <w:tcW w:w="1420" w:type="dxa"/>
            <w:vAlign w:val="center"/>
          </w:tcPr>
          <w:p>
            <w:pPr>
              <w:jc w:val="left"/>
            </w:pPr>
            <w:r>
              <w:rPr>
                <w:rFonts w:ascii="宋体" w:hAnsi="宋体" w:eastAsia="宋体" w:cs="宋体"/>
                <w:b w:val="0"/>
                <w:i w:val="0"/>
                <w:color w:val="000000"/>
                <w:sz w:val="9"/>
              </w:rPr>
              <w:t>其他财政事务支出</w:t>
            </w:r>
          </w:p>
        </w:tc>
        <w:tc>
          <w:tcPr>
            <w:tcW w:w="860" w:type="dxa"/>
            <w:vAlign w:val="center"/>
          </w:tcPr>
          <w:p>
            <w:pPr>
              <w:jc w:val="right"/>
            </w:pPr>
            <w:r>
              <w:rPr>
                <w:rFonts w:ascii="宋体" w:hAnsi="宋体" w:eastAsia="宋体" w:cs="宋体"/>
                <w:b w:val="0"/>
                <w:i w:val="0"/>
                <w:color w:val="000000"/>
                <w:sz w:val="9"/>
              </w:rPr>
              <w:t>2,140.77</w:t>
            </w:r>
          </w:p>
        </w:tc>
        <w:tc>
          <w:tcPr>
            <w:tcW w:w="900" w:type="dxa"/>
            <w:vAlign w:val="center"/>
          </w:tcPr>
          <w:p>
            <w:pPr>
              <w:jc w:val="right"/>
            </w:pPr>
            <w:r>
              <w:rPr>
                <w:rFonts w:ascii="宋体" w:hAnsi="宋体" w:eastAsia="宋体" w:cs="宋体"/>
                <w:b w:val="0"/>
                <w:i w:val="0"/>
                <w:color w:val="000000"/>
                <w:sz w:val="9"/>
              </w:rPr>
              <w:t>2,073.82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66.95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638.00</w:t>
            </w:r>
          </w:p>
        </w:tc>
        <w:tc>
          <w:tcPr>
            <w:tcW w:w="900" w:type="dxa"/>
            <w:vAlign w:val="center"/>
          </w:tcPr>
          <w:p>
            <w:pPr>
              <w:jc w:val="right"/>
            </w:pPr>
            <w:r>
              <w:rPr>
                <w:rFonts w:ascii="宋体" w:hAnsi="宋体" w:eastAsia="宋体" w:cs="宋体"/>
                <w:b w:val="0"/>
                <w:i w:val="0"/>
                <w:color w:val="000000"/>
                <w:sz w:val="9"/>
              </w:rPr>
              <w:t>638.00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2019999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638.00</w:t>
            </w:r>
          </w:p>
        </w:tc>
        <w:tc>
          <w:tcPr>
            <w:tcW w:w="900" w:type="dxa"/>
            <w:vAlign w:val="center"/>
          </w:tcPr>
          <w:p>
            <w:pPr>
              <w:jc w:val="right"/>
            </w:pPr>
            <w:r>
              <w:rPr>
                <w:rFonts w:ascii="宋体" w:hAnsi="宋体" w:eastAsia="宋体" w:cs="宋体"/>
                <w:b w:val="0"/>
                <w:i w:val="0"/>
                <w:color w:val="000000"/>
                <w:sz w:val="9"/>
              </w:rPr>
              <w:t>638.00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267.30</w:t>
            </w:r>
          </w:p>
        </w:tc>
        <w:tc>
          <w:tcPr>
            <w:tcW w:w="900" w:type="dxa"/>
            <w:vAlign w:val="center"/>
          </w:tcPr>
          <w:p>
            <w:pPr>
              <w:jc w:val="right"/>
            </w:pPr>
            <w:r>
              <w:rPr>
                <w:rFonts w:ascii="宋体" w:hAnsi="宋体" w:eastAsia="宋体" w:cs="宋体"/>
                <w:b w:val="0"/>
                <w:i w:val="0"/>
                <w:color w:val="000000"/>
                <w:sz w:val="9"/>
              </w:rPr>
              <w:t>267.30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179.17</w:t>
            </w:r>
          </w:p>
        </w:tc>
        <w:tc>
          <w:tcPr>
            <w:tcW w:w="900" w:type="dxa"/>
            <w:vAlign w:val="center"/>
          </w:tcPr>
          <w:p>
            <w:pPr>
              <w:jc w:val="right"/>
            </w:pPr>
            <w:r>
              <w:rPr>
                <w:rFonts w:ascii="宋体" w:hAnsi="宋体" w:eastAsia="宋体" w:cs="宋体"/>
                <w:b w:val="0"/>
                <w:i w:val="0"/>
                <w:color w:val="000000"/>
                <w:sz w:val="9"/>
              </w:rPr>
              <w:t>179.17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179.17</w:t>
            </w:r>
          </w:p>
        </w:tc>
        <w:tc>
          <w:tcPr>
            <w:tcW w:w="900" w:type="dxa"/>
            <w:vAlign w:val="center"/>
          </w:tcPr>
          <w:p>
            <w:pPr>
              <w:jc w:val="right"/>
            </w:pPr>
            <w:r>
              <w:rPr>
                <w:rFonts w:ascii="宋体" w:hAnsi="宋体" w:eastAsia="宋体" w:cs="宋体"/>
                <w:b w:val="0"/>
                <w:i w:val="0"/>
                <w:color w:val="000000"/>
                <w:sz w:val="9"/>
              </w:rPr>
              <w:t>179.17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w:t>
            </w:r>
          </w:p>
        </w:tc>
        <w:tc>
          <w:tcPr>
            <w:tcW w:w="1420" w:type="dxa"/>
            <w:vAlign w:val="center"/>
          </w:tcPr>
          <w:p>
            <w:pPr>
              <w:jc w:val="left"/>
            </w:pPr>
            <w:r>
              <w:rPr>
                <w:rFonts w:ascii="宋体" w:hAnsi="宋体" w:eastAsia="宋体" w:cs="宋体"/>
                <w:b w:val="0"/>
                <w:i w:val="0"/>
                <w:color w:val="000000"/>
                <w:sz w:val="9"/>
              </w:rPr>
              <w:t>就业补助</w:t>
            </w:r>
          </w:p>
        </w:tc>
        <w:tc>
          <w:tcPr>
            <w:tcW w:w="860" w:type="dxa"/>
            <w:vAlign w:val="center"/>
          </w:tcPr>
          <w:p>
            <w:pPr>
              <w:jc w:val="right"/>
            </w:pPr>
            <w:r>
              <w:rPr>
                <w:rFonts w:ascii="宋体" w:hAnsi="宋体" w:eastAsia="宋体" w:cs="宋体"/>
                <w:b w:val="0"/>
                <w:i w:val="0"/>
                <w:color w:val="000000"/>
                <w:sz w:val="9"/>
              </w:rPr>
              <w:t>11.35</w:t>
            </w:r>
          </w:p>
        </w:tc>
        <w:tc>
          <w:tcPr>
            <w:tcW w:w="900" w:type="dxa"/>
            <w:vAlign w:val="center"/>
          </w:tcPr>
          <w:p>
            <w:pPr>
              <w:jc w:val="right"/>
            </w:pPr>
            <w:r>
              <w:rPr>
                <w:rFonts w:ascii="宋体" w:hAnsi="宋体" w:eastAsia="宋体" w:cs="宋体"/>
                <w:b w:val="0"/>
                <w:i w:val="0"/>
                <w:color w:val="000000"/>
                <w:sz w:val="9"/>
              </w:rPr>
              <w:t>11.35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2080711</w:t>
            </w:r>
          </w:p>
        </w:tc>
        <w:tc>
          <w:tcPr>
            <w:tcW w:w="1420" w:type="dxa"/>
            <w:vAlign w:val="center"/>
          </w:tcPr>
          <w:p>
            <w:pPr>
              <w:jc w:val="left"/>
            </w:pPr>
            <w:r>
              <w:rPr>
                <w:rFonts w:ascii="宋体" w:hAnsi="宋体" w:eastAsia="宋体" w:cs="宋体"/>
                <w:b w:val="0"/>
                <w:i w:val="0"/>
                <w:color w:val="000000"/>
                <w:sz w:val="9"/>
              </w:rPr>
              <w:t>就业见习补贴</w:t>
            </w:r>
          </w:p>
        </w:tc>
        <w:tc>
          <w:tcPr>
            <w:tcW w:w="860" w:type="dxa"/>
            <w:vAlign w:val="center"/>
          </w:tcPr>
          <w:p>
            <w:pPr>
              <w:jc w:val="right"/>
            </w:pPr>
            <w:r>
              <w:rPr>
                <w:rFonts w:ascii="宋体" w:hAnsi="宋体" w:eastAsia="宋体" w:cs="宋体"/>
                <w:b w:val="0"/>
                <w:i w:val="0"/>
                <w:color w:val="000000"/>
                <w:sz w:val="9"/>
              </w:rPr>
              <w:t>11.35</w:t>
            </w:r>
          </w:p>
        </w:tc>
        <w:tc>
          <w:tcPr>
            <w:tcW w:w="900" w:type="dxa"/>
            <w:vAlign w:val="center"/>
          </w:tcPr>
          <w:p>
            <w:pPr>
              <w:jc w:val="right"/>
            </w:pPr>
            <w:r>
              <w:rPr>
                <w:rFonts w:ascii="宋体" w:hAnsi="宋体" w:eastAsia="宋体" w:cs="宋体"/>
                <w:b w:val="0"/>
                <w:i w:val="0"/>
                <w:color w:val="000000"/>
                <w:sz w:val="9"/>
              </w:rPr>
              <w:t>11.35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w:t>
            </w:r>
          </w:p>
        </w:tc>
        <w:tc>
          <w:tcPr>
            <w:tcW w:w="1420" w:type="dxa"/>
            <w:vAlign w:val="center"/>
          </w:tcPr>
          <w:p>
            <w:pPr>
              <w:jc w:val="left"/>
            </w:pPr>
            <w:r>
              <w:rPr>
                <w:rFonts w:ascii="宋体" w:hAnsi="宋体" w:eastAsia="宋体" w:cs="宋体"/>
                <w:b w:val="0"/>
                <w:i w:val="0"/>
                <w:color w:val="000000"/>
                <w:sz w:val="9"/>
              </w:rPr>
              <w:t>抚恤</w:t>
            </w:r>
          </w:p>
        </w:tc>
        <w:tc>
          <w:tcPr>
            <w:tcW w:w="860" w:type="dxa"/>
            <w:vAlign w:val="center"/>
          </w:tcPr>
          <w:p>
            <w:pPr>
              <w:jc w:val="right"/>
            </w:pPr>
            <w:r>
              <w:rPr>
                <w:rFonts w:ascii="宋体" w:hAnsi="宋体" w:eastAsia="宋体" w:cs="宋体"/>
                <w:b w:val="0"/>
                <w:i w:val="0"/>
                <w:color w:val="000000"/>
                <w:sz w:val="9"/>
              </w:rPr>
              <w:t>25.52</w:t>
            </w:r>
          </w:p>
        </w:tc>
        <w:tc>
          <w:tcPr>
            <w:tcW w:w="900" w:type="dxa"/>
            <w:vAlign w:val="center"/>
          </w:tcPr>
          <w:p>
            <w:pPr>
              <w:jc w:val="right"/>
            </w:pPr>
            <w:r>
              <w:rPr>
                <w:rFonts w:ascii="宋体" w:hAnsi="宋体" w:eastAsia="宋体" w:cs="宋体"/>
                <w:b w:val="0"/>
                <w:i w:val="0"/>
                <w:color w:val="000000"/>
                <w:sz w:val="9"/>
              </w:rPr>
              <w:t>25.52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2080801</w:t>
            </w:r>
          </w:p>
        </w:tc>
        <w:tc>
          <w:tcPr>
            <w:tcW w:w="1420" w:type="dxa"/>
            <w:vAlign w:val="center"/>
          </w:tcPr>
          <w:p>
            <w:pPr>
              <w:jc w:val="left"/>
            </w:pPr>
            <w:r>
              <w:rPr>
                <w:rFonts w:ascii="宋体" w:hAnsi="宋体" w:eastAsia="宋体" w:cs="宋体"/>
                <w:b w:val="0"/>
                <w:i w:val="0"/>
                <w:color w:val="000000"/>
                <w:sz w:val="9"/>
              </w:rPr>
              <w:t>死亡抚恤</w:t>
            </w:r>
          </w:p>
        </w:tc>
        <w:tc>
          <w:tcPr>
            <w:tcW w:w="860" w:type="dxa"/>
            <w:vAlign w:val="center"/>
          </w:tcPr>
          <w:p>
            <w:pPr>
              <w:jc w:val="right"/>
            </w:pPr>
            <w:r>
              <w:rPr>
                <w:rFonts w:ascii="宋体" w:hAnsi="宋体" w:eastAsia="宋体" w:cs="宋体"/>
                <w:b w:val="0"/>
                <w:i w:val="0"/>
                <w:color w:val="000000"/>
                <w:sz w:val="9"/>
              </w:rPr>
              <w:t>25.52</w:t>
            </w:r>
          </w:p>
        </w:tc>
        <w:tc>
          <w:tcPr>
            <w:tcW w:w="900" w:type="dxa"/>
            <w:vAlign w:val="center"/>
          </w:tcPr>
          <w:p>
            <w:pPr>
              <w:jc w:val="right"/>
            </w:pPr>
            <w:r>
              <w:rPr>
                <w:rFonts w:ascii="宋体" w:hAnsi="宋体" w:eastAsia="宋体" w:cs="宋体"/>
                <w:b w:val="0"/>
                <w:i w:val="0"/>
                <w:color w:val="000000"/>
                <w:sz w:val="9"/>
              </w:rPr>
              <w:t>25.52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51.27</w:t>
            </w:r>
          </w:p>
        </w:tc>
        <w:tc>
          <w:tcPr>
            <w:tcW w:w="900" w:type="dxa"/>
            <w:vAlign w:val="center"/>
          </w:tcPr>
          <w:p>
            <w:pPr>
              <w:jc w:val="right"/>
            </w:pPr>
            <w:r>
              <w:rPr>
                <w:rFonts w:ascii="宋体" w:hAnsi="宋体" w:eastAsia="宋体" w:cs="宋体"/>
                <w:b w:val="0"/>
                <w:i w:val="0"/>
                <w:color w:val="000000"/>
                <w:sz w:val="9"/>
              </w:rPr>
              <w:t>51.27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51.27</w:t>
            </w:r>
          </w:p>
        </w:tc>
        <w:tc>
          <w:tcPr>
            <w:tcW w:w="900" w:type="dxa"/>
            <w:vAlign w:val="center"/>
          </w:tcPr>
          <w:p>
            <w:pPr>
              <w:jc w:val="right"/>
            </w:pPr>
            <w:r>
              <w:rPr>
                <w:rFonts w:ascii="宋体" w:hAnsi="宋体" w:eastAsia="宋体" w:cs="宋体"/>
                <w:b w:val="0"/>
                <w:i w:val="0"/>
                <w:color w:val="000000"/>
                <w:sz w:val="9"/>
              </w:rPr>
              <w:t>51.27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110.55</w:t>
            </w:r>
          </w:p>
        </w:tc>
        <w:tc>
          <w:tcPr>
            <w:tcW w:w="900" w:type="dxa"/>
            <w:vAlign w:val="center"/>
          </w:tcPr>
          <w:p>
            <w:pPr>
              <w:jc w:val="right"/>
            </w:pPr>
            <w:r>
              <w:rPr>
                <w:rFonts w:ascii="宋体" w:hAnsi="宋体" w:eastAsia="宋体" w:cs="宋体"/>
                <w:b w:val="0"/>
                <w:i w:val="0"/>
                <w:color w:val="000000"/>
                <w:sz w:val="9"/>
              </w:rPr>
              <w:t>110.55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110.55</w:t>
            </w:r>
          </w:p>
        </w:tc>
        <w:tc>
          <w:tcPr>
            <w:tcW w:w="900" w:type="dxa"/>
            <w:vAlign w:val="center"/>
          </w:tcPr>
          <w:p>
            <w:pPr>
              <w:jc w:val="right"/>
            </w:pPr>
            <w:r>
              <w:rPr>
                <w:rFonts w:ascii="宋体" w:hAnsi="宋体" w:eastAsia="宋体" w:cs="宋体"/>
                <w:b w:val="0"/>
                <w:i w:val="0"/>
                <w:color w:val="000000"/>
                <w:sz w:val="9"/>
              </w:rPr>
              <w:t>110.55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70.09</w:t>
            </w:r>
          </w:p>
        </w:tc>
        <w:tc>
          <w:tcPr>
            <w:tcW w:w="900" w:type="dxa"/>
            <w:vAlign w:val="center"/>
          </w:tcPr>
          <w:p>
            <w:pPr>
              <w:jc w:val="right"/>
            </w:pPr>
            <w:r>
              <w:rPr>
                <w:rFonts w:ascii="宋体" w:hAnsi="宋体" w:eastAsia="宋体" w:cs="宋体"/>
                <w:b w:val="0"/>
                <w:i w:val="0"/>
                <w:color w:val="000000"/>
                <w:sz w:val="9"/>
              </w:rPr>
              <w:t>70.09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2101102</w:t>
            </w:r>
          </w:p>
        </w:tc>
        <w:tc>
          <w:tcPr>
            <w:tcW w:w="1420" w:type="dxa"/>
            <w:vAlign w:val="center"/>
          </w:tcPr>
          <w:p>
            <w:pPr>
              <w:jc w:val="left"/>
            </w:pPr>
            <w:r>
              <w:rPr>
                <w:rFonts w:ascii="宋体" w:hAnsi="宋体" w:eastAsia="宋体" w:cs="宋体"/>
                <w:b w:val="0"/>
                <w:i w:val="0"/>
                <w:color w:val="000000"/>
                <w:sz w:val="9"/>
              </w:rPr>
              <w:t>事业单位医疗</w:t>
            </w:r>
          </w:p>
        </w:tc>
        <w:tc>
          <w:tcPr>
            <w:tcW w:w="860" w:type="dxa"/>
            <w:vAlign w:val="center"/>
          </w:tcPr>
          <w:p>
            <w:pPr>
              <w:jc w:val="right"/>
            </w:pPr>
            <w:r>
              <w:rPr>
                <w:rFonts w:ascii="宋体" w:hAnsi="宋体" w:eastAsia="宋体" w:cs="宋体"/>
                <w:b w:val="0"/>
                <w:i w:val="0"/>
                <w:color w:val="000000"/>
                <w:sz w:val="9"/>
              </w:rPr>
              <w:t>5.83</w:t>
            </w:r>
          </w:p>
        </w:tc>
        <w:tc>
          <w:tcPr>
            <w:tcW w:w="900" w:type="dxa"/>
            <w:vAlign w:val="center"/>
          </w:tcPr>
          <w:p>
            <w:pPr>
              <w:jc w:val="right"/>
            </w:pPr>
            <w:r>
              <w:rPr>
                <w:rFonts w:ascii="宋体" w:hAnsi="宋体" w:eastAsia="宋体" w:cs="宋体"/>
                <w:b w:val="0"/>
                <w:i w:val="0"/>
                <w:color w:val="000000"/>
                <w:sz w:val="9"/>
              </w:rPr>
              <w:t>5.83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34.63</w:t>
            </w:r>
          </w:p>
        </w:tc>
        <w:tc>
          <w:tcPr>
            <w:tcW w:w="900" w:type="dxa"/>
            <w:vAlign w:val="center"/>
          </w:tcPr>
          <w:p>
            <w:pPr>
              <w:jc w:val="right"/>
            </w:pPr>
            <w:r>
              <w:rPr>
                <w:rFonts w:ascii="宋体" w:hAnsi="宋体" w:eastAsia="宋体" w:cs="宋体"/>
                <w:b w:val="0"/>
                <w:i w:val="0"/>
                <w:color w:val="000000"/>
                <w:sz w:val="9"/>
              </w:rPr>
              <w:t>34.63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215</w:t>
            </w:r>
          </w:p>
        </w:tc>
        <w:tc>
          <w:tcPr>
            <w:tcW w:w="1420" w:type="dxa"/>
            <w:vAlign w:val="center"/>
          </w:tcPr>
          <w:p>
            <w:pPr>
              <w:jc w:val="left"/>
            </w:pPr>
            <w:r>
              <w:rPr>
                <w:rFonts w:ascii="宋体" w:hAnsi="宋体" w:eastAsia="宋体" w:cs="宋体"/>
                <w:b w:val="0"/>
                <w:i w:val="0"/>
                <w:color w:val="000000"/>
                <w:sz w:val="9"/>
              </w:rPr>
              <w:t>资源勘探工业信息等支出</w:t>
            </w:r>
          </w:p>
        </w:tc>
        <w:tc>
          <w:tcPr>
            <w:tcW w:w="860" w:type="dxa"/>
            <w:vAlign w:val="center"/>
          </w:tcPr>
          <w:p>
            <w:pPr>
              <w:jc w:val="right"/>
            </w:pPr>
            <w:r>
              <w:rPr>
                <w:rFonts w:ascii="宋体" w:hAnsi="宋体" w:eastAsia="宋体" w:cs="宋体"/>
                <w:b w:val="0"/>
                <w:i w:val="0"/>
                <w:color w:val="000000"/>
                <w:sz w:val="9"/>
              </w:rPr>
              <w:t>275.77</w:t>
            </w:r>
          </w:p>
        </w:tc>
        <w:tc>
          <w:tcPr>
            <w:tcW w:w="900" w:type="dxa"/>
            <w:vAlign w:val="center"/>
          </w:tcPr>
          <w:p>
            <w:pPr>
              <w:jc w:val="right"/>
            </w:pPr>
            <w:r>
              <w:rPr>
                <w:rFonts w:ascii="宋体" w:hAnsi="宋体" w:eastAsia="宋体" w:cs="宋体"/>
                <w:b w:val="0"/>
                <w:i w:val="0"/>
                <w:color w:val="000000"/>
                <w:sz w:val="9"/>
              </w:rPr>
              <w:t>275.77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21507</w:t>
            </w:r>
          </w:p>
        </w:tc>
        <w:tc>
          <w:tcPr>
            <w:tcW w:w="1420" w:type="dxa"/>
            <w:vAlign w:val="center"/>
          </w:tcPr>
          <w:p>
            <w:pPr>
              <w:jc w:val="left"/>
            </w:pPr>
            <w:r>
              <w:rPr>
                <w:rFonts w:ascii="宋体" w:hAnsi="宋体" w:eastAsia="宋体" w:cs="宋体"/>
                <w:b w:val="0"/>
                <w:i w:val="0"/>
                <w:color w:val="000000"/>
                <w:sz w:val="9"/>
              </w:rPr>
              <w:t>国有资产监管</w:t>
            </w:r>
          </w:p>
        </w:tc>
        <w:tc>
          <w:tcPr>
            <w:tcW w:w="860" w:type="dxa"/>
            <w:vAlign w:val="center"/>
          </w:tcPr>
          <w:p>
            <w:pPr>
              <w:jc w:val="right"/>
            </w:pPr>
            <w:r>
              <w:rPr>
                <w:rFonts w:ascii="宋体" w:hAnsi="宋体" w:eastAsia="宋体" w:cs="宋体"/>
                <w:b w:val="0"/>
                <w:i w:val="0"/>
                <w:color w:val="000000"/>
                <w:sz w:val="9"/>
              </w:rPr>
              <w:t>164.51</w:t>
            </w:r>
          </w:p>
        </w:tc>
        <w:tc>
          <w:tcPr>
            <w:tcW w:w="900" w:type="dxa"/>
            <w:vAlign w:val="center"/>
          </w:tcPr>
          <w:p>
            <w:pPr>
              <w:jc w:val="right"/>
            </w:pPr>
            <w:r>
              <w:rPr>
                <w:rFonts w:ascii="宋体" w:hAnsi="宋体" w:eastAsia="宋体" w:cs="宋体"/>
                <w:b w:val="0"/>
                <w:i w:val="0"/>
                <w:color w:val="000000"/>
                <w:sz w:val="9"/>
              </w:rPr>
              <w:t>164.51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2150701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4.05</w:t>
            </w:r>
          </w:p>
        </w:tc>
        <w:tc>
          <w:tcPr>
            <w:tcW w:w="900" w:type="dxa"/>
            <w:vAlign w:val="center"/>
          </w:tcPr>
          <w:p>
            <w:pPr>
              <w:jc w:val="right"/>
            </w:pPr>
            <w:r>
              <w:rPr>
                <w:rFonts w:ascii="宋体" w:hAnsi="宋体" w:eastAsia="宋体" w:cs="宋体"/>
                <w:b w:val="0"/>
                <w:i w:val="0"/>
                <w:color w:val="000000"/>
                <w:sz w:val="9"/>
              </w:rPr>
              <w:t>4.05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2150799</w:t>
            </w:r>
          </w:p>
        </w:tc>
        <w:tc>
          <w:tcPr>
            <w:tcW w:w="1420" w:type="dxa"/>
            <w:vAlign w:val="center"/>
          </w:tcPr>
          <w:p>
            <w:pPr>
              <w:jc w:val="left"/>
            </w:pPr>
            <w:r>
              <w:rPr>
                <w:rFonts w:ascii="宋体" w:hAnsi="宋体" w:eastAsia="宋体" w:cs="宋体"/>
                <w:b w:val="0"/>
                <w:i w:val="0"/>
                <w:color w:val="000000"/>
                <w:sz w:val="9"/>
              </w:rPr>
              <w:t>其他国有资产监管支出</w:t>
            </w:r>
          </w:p>
        </w:tc>
        <w:tc>
          <w:tcPr>
            <w:tcW w:w="860" w:type="dxa"/>
            <w:vAlign w:val="center"/>
          </w:tcPr>
          <w:p>
            <w:pPr>
              <w:jc w:val="right"/>
            </w:pPr>
            <w:r>
              <w:rPr>
                <w:rFonts w:ascii="宋体" w:hAnsi="宋体" w:eastAsia="宋体" w:cs="宋体"/>
                <w:b w:val="0"/>
                <w:i w:val="0"/>
                <w:color w:val="000000"/>
                <w:sz w:val="9"/>
              </w:rPr>
              <w:t>160.46</w:t>
            </w:r>
          </w:p>
        </w:tc>
        <w:tc>
          <w:tcPr>
            <w:tcW w:w="900" w:type="dxa"/>
            <w:vAlign w:val="center"/>
          </w:tcPr>
          <w:p>
            <w:pPr>
              <w:jc w:val="right"/>
            </w:pPr>
            <w:r>
              <w:rPr>
                <w:rFonts w:ascii="宋体" w:hAnsi="宋体" w:eastAsia="宋体" w:cs="宋体"/>
                <w:b w:val="0"/>
                <w:i w:val="0"/>
                <w:color w:val="000000"/>
                <w:sz w:val="9"/>
              </w:rPr>
              <w:t>160.46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21599</w:t>
            </w:r>
          </w:p>
        </w:tc>
        <w:tc>
          <w:tcPr>
            <w:tcW w:w="1420" w:type="dxa"/>
            <w:vAlign w:val="center"/>
          </w:tcPr>
          <w:p>
            <w:pPr>
              <w:jc w:val="left"/>
            </w:pPr>
            <w:r>
              <w:rPr>
                <w:rFonts w:ascii="宋体" w:hAnsi="宋体" w:eastAsia="宋体" w:cs="宋体"/>
                <w:b w:val="0"/>
                <w:i w:val="0"/>
                <w:color w:val="000000"/>
                <w:sz w:val="9"/>
              </w:rPr>
              <w:t>其他资源勘探工业信息等支出</w:t>
            </w:r>
          </w:p>
        </w:tc>
        <w:tc>
          <w:tcPr>
            <w:tcW w:w="860" w:type="dxa"/>
            <w:vAlign w:val="center"/>
          </w:tcPr>
          <w:p>
            <w:pPr>
              <w:jc w:val="right"/>
            </w:pPr>
            <w:r>
              <w:rPr>
                <w:rFonts w:ascii="宋体" w:hAnsi="宋体" w:eastAsia="宋体" w:cs="宋体"/>
                <w:b w:val="0"/>
                <w:i w:val="0"/>
                <w:color w:val="000000"/>
                <w:sz w:val="9"/>
              </w:rPr>
              <w:t>111.26</w:t>
            </w:r>
          </w:p>
        </w:tc>
        <w:tc>
          <w:tcPr>
            <w:tcW w:w="900" w:type="dxa"/>
            <w:vAlign w:val="center"/>
          </w:tcPr>
          <w:p>
            <w:pPr>
              <w:jc w:val="right"/>
            </w:pPr>
            <w:r>
              <w:rPr>
                <w:rFonts w:ascii="宋体" w:hAnsi="宋体" w:eastAsia="宋体" w:cs="宋体"/>
                <w:b w:val="0"/>
                <w:i w:val="0"/>
                <w:color w:val="000000"/>
                <w:sz w:val="9"/>
              </w:rPr>
              <w:t>111.26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2159999</w:t>
            </w:r>
          </w:p>
        </w:tc>
        <w:tc>
          <w:tcPr>
            <w:tcW w:w="1420" w:type="dxa"/>
            <w:vAlign w:val="center"/>
          </w:tcPr>
          <w:p>
            <w:pPr>
              <w:jc w:val="left"/>
            </w:pPr>
            <w:r>
              <w:rPr>
                <w:rFonts w:ascii="宋体" w:hAnsi="宋体" w:eastAsia="宋体" w:cs="宋体"/>
                <w:b w:val="0"/>
                <w:i w:val="0"/>
                <w:color w:val="000000"/>
                <w:sz w:val="9"/>
              </w:rPr>
              <w:t>其他资源勘探工业信息等支出</w:t>
            </w:r>
          </w:p>
        </w:tc>
        <w:tc>
          <w:tcPr>
            <w:tcW w:w="860" w:type="dxa"/>
            <w:vAlign w:val="center"/>
          </w:tcPr>
          <w:p>
            <w:pPr>
              <w:jc w:val="right"/>
            </w:pPr>
            <w:r>
              <w:rPr>
                <w:rFonts w:ascii="宋体" w:hAnsi="宋体" w:eastAsia="宋体" w:cs="宋体"/>
                <w:b w:val="0"/>
                <w:i w:val="0"/>
                <w:color w:val="000000"/>
                <w:sz w:val="9"/>
              </w:rPr>
              <w:t>111.26</w:t>
            </w:r>
          </w:p>
        </w:tc>
        <w:tc>
          <w:tcPr>
            <w:tcW w:w="900" w:type="dxa"/>
            <w:vAlign w:val="center"/>
          </w:tcPr>
          <w:p>
            <w:pPr>
              <w:jc w:val="right"/>
            </w:pPr>
            <w:r>
              <w:rPr>
                <w:rFonts w:ascii="宋体" w:hAnsi="宋体" w:eastAsia="宋体" w:cs="宋体"/>
                <w:b w:val="0"/>
                <w:i w:val="0"/>
                <w:color w:val="000000"/>
                <w:sz w:val="9"/>
              </w:rPr>
              <w:t>111.26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127.81</w:t>
            </w:r>
          </w:p>
        </w:tc>
        <w:tc>
          <w:tcPr>
            <w:tcW w:w="900" w:type="dxa"/>
            <w:vAlign w:val="center"/>
          </w:tcPr>
          <w:p>
            <w:pPr>
              <w:jc w:val="right"/>
            </w:pPr>
            <w:r>
              <w:rPr>
                <w:rFonts w:ascii="宋体" w:hAnsi="宋体" w:eastAsia="宋体" w:cs="宋体"/>
                <w:b w:val="0"/>
                <w:i w:val="0"/>
                <w:color w:val="000000"/>
                <w:sz w:val="9"/>
              </w:rPr>
              <w:t>127.81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127.81</w:t>
            </w:r>
          </w:p>
        </w:tc>
        <w:tc>
          <w:tcPr>
            <w:tcW w:w="900" w:type="dxa"/>
            <w:vAlign w:val="center"/>
          </w:tcPr>
          <w:p>
            <w:pPr>
              <w:jc w:val="right"/>
            </w:pPr>
            <w:r>
              <w:rPr>
                <w:rFonts w:ascii="宋体" w:hAnsi="宋体" w:eastAsia="宋体" w:cs="宋体"/>
                <w:b w:val="0"/>
                <w:i w:val="0"/>
                <w:color w:val="000000"/>
                <w:sz w:val="9"/>
              </w:rPr>
              <w:t>127.81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127.81</w:t>
            </w:r>
          </w:p>
        </w:tc>
        <w:tc>
          <w:tcPr>
            <w:tcW w:w="900" w:type="dxa"/>
            <w:vAlign w:val="center"/>
          </w:tcPr>
          <w:p>
            <w:pPr>
              <w:jc w:val="right"/>
            </w:pPr>
            <w:r>
              <w:rPr>
                <w:rFonts w:ascii="宋体" w:hAnsi="宋体" w:eastAsia="宋体" w:cs="宋体"/>
                <w:b w:val="0"/>
                <w:i w:val="0"/>
                <w:color w:val="000000"/>
                <w:sz w:val="9"/>
              </w:rPr>
              <w:t>127.81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83.50</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83.50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83.50</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83.50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83.50</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83.50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4,691.61</w:t>
            </w:r>
          </w:p>
        </w:tc>
        <w:tc>
          <w:tcPr>
            <w:tcW w:w="1000" w:type="dxa"/>
            <w:vAlign w:val="center"/>
          </w:tcPr>
          <w:p>
            <w:pPr>
              <w:jc w:val="right"/>
            </w:pPr>
            <w:r>
              <w:rPr>
                <w:rFonts w:ascii="宋体" w:hAnsi="宋体" w:eastAsia="宋体" w:cs="宋体"/>
                <w:b w:val="0"/>
                <w:i w:val="0"/>
                <w:color w:val="000000"/>
                <w:sz w:val="11"/>
              </w:rPr>
              <w:t>1,738.89</w:t>
            </w:r>
          </w:p>
        </w:tc>
        <w:tc>
          <w:tcPr>
            <w:tcW w:w="980" w:type="dxa"/>
            <w:vAlign w:val="center"/>
          </w:tcPr>
          <w:p>
            <w:pPr>
              <w:jc w:val="right"/>
            </w:pPr>
            <w:r>
              <w:rPr>
                <w:rFonts w:ascii="宋体" w:hAnsi="宋体" w:eastAsia="宋体" w:cs="宋体"/>
                <w:b w:val="0"/>
                <w:i w:val="0"/>
                <w:color w:val="000000"/>
                <w:sz w:val="11"/>
              </w:rPr>
              <w:t>2,952.72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w:t>
            </w:r>
          </w:p>
        </w:tc>
        <w:tc>
          <w:tcPr>
            <w:tcW w:w="1760" w:type="dxa"/>
            <w:vAlign w:val="center"/>
          </w:tcPr>
          <w:p>
            <w:pPr>
              <w:jc w:val="left"/>
            </w:pPr>
            <w:r>
              <w:rPr>
                <w:rFonts w:ascii="宋体" w:hAnsi="宋体" w:eastAsia="宋体" w:cs="宋体"/>
                <w:b w:val="0"/>
                <w:i w:val="0"/>
                <w:color w:val="000000"/>
                <w:sz w:val="11"/>
              </w:rPr>
              <w:t>一般公共服务支出</w:t>
            </w:r>
          </w:p>
        </w:tc>
        <w:tc>
          <w:tcPr>
            <w:tcW w:w="940" w:type="dxa"/>
            <w:vAlign w:val="center"/>
          </w:tcPr>
          <w:p>
            <w:pPr>
              <w:jc w:val="right"/>
            </w:pPr>
            <w:r>
              <w:rPr>
                <w:rFonts w:ascii="宋体" w:hAnsi="宋体" w:eastAsia="宋体" w:cs="宋体"/>
                <w:b w:val="0"/>
                <w:i w:val="0"/>
                <w:color w:val="000000"/>
                <w:sz w:val="11"/>
              </w:rPr>
              <w:t>3,880.26</w:t>
            </w:r>
          </w:p>
        </w:tc>
        <w:tc>
          <w:tcPr>
            <w:tcW w:w="1000" w:type="dxa"/>
            <w:vAlign w:val="center"/>
          </w:tcPr>
          <w:p>
            <w:pPr>
              <w:jc w:val="right"/>
            </w:pPr>
            <w:r>
              <w:rPr>
                <w:rFonts w:ascii="宋体" w:hAnsi="宋体" w:eastAsia="宋体" w:cs="宋体"/>
                <w:b w:val="0"/>
                <w:i w:val="0"/>
                <w:color w:val="000000"/>
                <w:sz w:val="11"/>
              </w:rPr>
              <w:t>1,138.93</w:t>
            </w:r>
          </w:p>
        </w:tc>
        <w:tc>
          <w:tcPr>
            <w:tcW w:w="980" w:type="dxa"/>
            <w:vAlign w:val="center"/>
          </w:tcPr>
          <w:p>
            <w:pPr>
              <w:jc w:val="right"/>
            </w:pPr>
            <w:r>
              <w:rPr>
                <w:rFonts w:ascii="宋体" w:hAnsi="宋体" w:eastAsia="宋体" w:cs="宋体"/>
                <w:b w:val="0"/>
                <w:i w:val="0"/>
                <w:color w:val="000000"/>
                <w:sz w:val="11"/>
              </w:rPr>
              <w:t>2,741.32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20106</w:t>
            </w:r>
          </w:p>
        </w:tc>
        <w:tc>
          <w:tcPr>
            <w:tcW w:w="1760" w:type="dxa"/>
            <w:vAlign w:val="center"/>
          </w:tcPr>
          <w:p>
            <w:pPr>
              <w:jc w:val="left"/>
            </w:pPr>
            <w:r>
              <w:rPr>
                <w:rFonts w:ascii="宋体" w:hAnsi="宋体" w:eastAsia="宋体" w:cs="宋体"/>
                <w:b w:val="0"/>
                <w:i w:val="0"/>
                <w:color w:val="000000"/>
                <w:sz w:val="11"/>
              </w:rPr>
              <w:t>财政事务</w:t>
            </w:r>
          </w:p>
        </w:tc>
        <w:tc>
          <w:tcPr>
            <w:tcW w:w="940" w:type="dxa"/>
            <w:vAlign w:val="center"/>
          </w:tcPr>
          <w:p>
            <w:pPr>
              <w:jc w:val="right"/>
            </w:pPr>
            <w:r>
              <w:rPr>
                <w:rFonts w:ascii="宋体" w:hAnsi="宋体" w:eastAsia="宋体" w:cs="宋体"/>
                <w:b w:val="0"/>
                <w:i w:val="0"/>
                <w:color w:val="000000"/>
                <w:sz w:val="11"/>
              </w:rPr>
              <w:t>3,242.26</w:t>
            </w:r>
          </w:p>
        </w:tc>
        <w:tc>
          <w:tcPr>
            <w:tcW w:w="1000" w:type="dxa"/>
            <w:vAlign w:val="center"/>
          </w:tcPr>
          <w:p>
            <w:pPr>
              <w:jc w:val="right"/>
            </w:pPr>
            <w:r>
              <w:rPr>
                <w:rFonts w:ascii="宋体" w:hAnsi="宋体" w:eastAsia="宋体" w:cs="宋体"/>
                <w:b w:val="0"/>
                <w:i w:val="0"/>
                <w:color w:val="000000"/>
                <w:sz w:val="11"/>
              </w:rPr>
              <w:t>1,138.93</w:t>
            </w:r>
          </w:p>
        </w:tc>
        <w:tc>
          <w:tcPr>
            <w:tcW w:w="980" w:type="dxa"/>
            <w:vAlign w:val="center"/>
          </w:tcPr>
          <w:p>
            <w:pPr>
              <w:jc w:val="right"/>
            </w:pPr>
            <w:r>
              <w:rPr>
                <w:rFonts w:ascii="宋体" w:hAnsi="宋体" w:eastAsia="宋体" w:cs="宋体"/>
                <w:b w:val="0"/>
                <w:i w:val="0"/>
                <w:color w:val="000000"/>
                <w:sz w:val="11"/>
              </w:rPr>
              <w:t>2,103.33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2010601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1,101.49</w:t>
            </w:r>
          </w:p>
        </w:tc>
        <w:tc>
          <w:tcPr>
            <w:tcW w:w="1000" w:type="dxa"/>
            <w:vAlign w:val="center"/>
          </w:tcPr>
          <w:p>
            <w:pPr>
              <w:jc w:val="right"/>
            </w:pPr>
            <w:r>
              <w:rPr>
                <w:rFonts w:ascii="宋体" w:hAnsi="宋体" w:eastAsia="宋体" w:cs="宋体"/>
                <w:b w:val="0"/>
                <w:i w:val="0"/>
                <w:color w:val="000000"/>
                <w:sz w:val="11"/>
              </w:rPr>
              <w:t>1,101.49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2010699</w:t>
            </w:r>
          </w:p>
        </w:tc>
        <w:tc>
          <w:tcPr>
            <w:tcW w:w="1760" w:type="dxa"/>
            <w:vAlign w:val="center"/>
          </w:tcPr>
          <w:p>
            <w:pPr>
              <w:jc w:val="left"/>
            </w:pPr>
            <w:r>
              <w:rPr>
                <w:rFonts w:ascii="宋体" w:hAnsi="宋体" w:eastAsia="宋体" w:cs="宋体"/>
                <w:b w:val="0"/>
                <w:i w:val="0"/>
                <w:color w:val="000000"/>
                <w:sz w:val="11"/>
              </w:rPr>
              <w:t>其他财政事务支出</w:t>
            </w:r>
          </w:p>
        </w:tc>
        <w:tc>
          <w:tcPr>
            <w:tcW w:w="940" w:type="dxa"/>
            <w:vAlign w:val="center"/>
          </w:tcPr>
          <w:p>
            <w:pPr>
              <w:jc w:val="right"/>
            </w:pPr>
            <w:r>
              <w:rPr>
                <w:rFonts w:ascii="宋体" w:hAnsi="宋体" w:eastAsia="宋体" w:cs="宋体"/>
                <w:b w:val="0"/>
                <w:i w:val="0"/>
                <w:color w:val="000000"/>
                <w:sz w:val="11"/>
              </w:rPr>
              <w:t>2,140.77</w:t>
            </w:r>
          </w:p>
        </w:tc>
        <w:tc>
          <w:tcPr>
            <w:tcW w:w="1000" w:type="dxa"/>
            <w:vAlign w:val="center"/>
          </w:tcPr>
          <w:p>
            <w:pPr>
              <w:jc w:val="right"/>
            </w:pPr>
            <w:r>
              <w:rPr>
                <w:rFonts w:ascii="宋体" w:hAnsi="宋体" w:eastAsia="宋体" w:cs="宋体"/>
                <w:b w:val="0"/>
                <w:i w:val="0"/>
                <w:color w:val="000000"/>
                <w:sz w:val="11"/>
              </w:rPr>
              <w:t>37.44</w:t>
            </w:r>
          </w:p>
        </w:tc>
        <w:tc>
          <w:tcPr>
            <w:tcW w:w="980" w:type="dxa"/>
            <w:vAlign w:val="center"/>
          </w:tcPr>
          <w:p>
            <w:pPr>
              <w:jc w:val="right"/>
            </w:pPr>
            <w:r>
              <w:rPr>
                <w:rFonts w:ascii="宋体" w:hAnsi="宋体" w:eastAsia="宋体" w:cs="宋体"/>
                <w:b w:val="0"/>
                <w:i w:val="0"/>
                <w:color w:val="000000"/>
                <w:sz w:val="11"/>
              </w:rPr>
              <w:t>2,103.33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638.00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638.00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2019999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638.00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638.00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267.30</w:t>
            </w:r>
          </w:p>
        </w:tc>
        <w:tc>
          <w:tcPr>
            <w:tcW w:w="1000" w:type="dxa"/>
            <w:vAlign w:val="center"/>
          </w:tcPr>
          <w:p>
            <w:pPr>
              <w:jc w:val="right"/>
            </w:pPr>
            <w:r>
              <w:rPr>
                <w:rFonts w:ascii="宋体" w:hAnsi="宋体" w:eastAsia="宋体" w:cs="宋体"/>
                <w:b w:val="0"/>
                <w:i w:val="0"/>
                <w:color w:val="000000"/>
                <w:sz w:val="11"/>
              </w:rPr>
              <w:t>267.30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179.17</w:t>
            </w:r>
          </w:p>
        </w:tc>
        <w:tc>
          <w:tcPr>
            <w:tcW w:w="1000" w:type="dxa"/>
            <w:vAlign w:val="center"/>
          </w:tcPr>
          <w:p>
            <w:pPr>
              <w:jc w:val="right"/>
            </w:pPr>
            <w:r>
              <w:rPr>
                <w:rFonts w:ascii="宋体" w:hAnsi="宋体" w:eastAsia="宋体" w:cs="宋体"/>
                <w:b w:val="0"/>
                <w:i w:val="0"/>
                <w:color w:val="000000"/>
                <w:sz w:val="11"/>
              </w:rPr>
              <w:t>179.17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179.17</w:t>
            </w:r>
          </w:p>
        </w:tc>
        <w:tc>
          <w:tcPr>
            <w:tcW w:w="1000" w:type="dxa"/>
            <w:vAlign w:val="center"/>
          </w:tcPr>
          <w:p>
            <w:pPr>
              <w:jc w:val="right"/>
            </w:pPr>
            <w:r>
              <w:rPr>
                <w:rFonts w:ascii="宋体" w:hAnsi="宋体" w:eastAsia="宋体" w:cs="宋体"/>
                <w:b w:val="0"/>
                <w:i w:val="0"/>
                <w:color w:val="000000"/>
                <w:sz w:val="11"/>
              </w:rPr>
              <w:t>179.17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w:t>
            </w:r>
          </w:p>
        </w:tc>
        <w:tc>
          <w:tcPr>
            <w:tcW w:w="1760" w:type="dxa"/>
            <w:vAlign w:val="center"/>
          </w:tcPr>
          <w:p>
            <w:pPr>
              <w:jc w:val="left"/>
            </w:pPr>
            <w:r>
              <w:rPr>
                <w:rFonts w:ascii="宋体" w:hAnsi="宋体" w:eastAsia="宋体" w:cs="宋体"/>
                <w:b w:val="0"/>
                <w:i w:val="0"/>
                <w:color w:val="000000"/>
                <w:sz w:val="11"/>
              </w:rPr>
              <w:t>就业补助</w:t>
            </w:r>
          </w:p>
        </w:tc>
        <w:tc>
          <w:tcPr>
            <w:tcW w:w="940" w:type="dxa"/>
            <w:vAlign w:val="center"/>
          </w:tcPr>
          <w:p>
            <w:pPr>
              <w:jc w:val="right"/>
            </w:pPr>
            <w:r>
              <w:rPr>
                <w:rFonts w:ascii="宋体" w:hAnsi="宋体" w:eastAsia="宋体" w:cs="宋体"/>
                <w:b w:val="0"/>
                <w:i w:val="0"/>
                <w:color w:val="000000"/>
                <w:sz w:val="11"/>
              </w:rPr>
              <w:t>11.35</w:t>
            </w:r>
          </w:p>
        </w:tc>
        <w:tc>
          <w:tcPr>
            <w:tcW w:w="1000" w:type="dxa"/>
            <w:vAlign w:val="center"/>
          </w:tcPr>
          <w:p>
            <w:pPr>
              <w:jc w:val="right"/>
            </w:pPr>
            <w:r>
              <w:rPr>
                <w:rFonts w:ascii="宋体" w:hAnsi="宋体" w:eastAsia="宋体" w:cs="宋体"/>
                <w:b w:val="0"/>
                <w:i w:val="0"/>
                <w:color w:val="000000"/>
                <w:sz w:val="11"/>
              </w:rPr>
              <w:t>11.35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2080711</w:t>
            </w:r>
          </w:p>
        </w:tc>
        <w:tc>
          <w:tcPr>
            <w:tcW w:w="1760" w:type="dxa"/>
            <w:vAlign w:val="center"/>
          </w:tcPr>
          <w:p>
            <w:pPr>
              <w:jc w:val="left"/>
            </w:pPr>
            <w:r>
              <w:rPr>
                <w:rFonts w:ascii="宋体" w:hAnsi="宋体" w:eastAsia="宋体" w:cs="宋体"/>
                <w:b w:val="0"/>
                <w:i w:val="0"/>
                <w:color w:val="000000"/>
                <w:sz w:val="11"/>
              </w:rPr>
              <w:t>就业见习补贴</w:t>
            </w:r>
          </w:p>
        </w:tc>
        <w:tc>
          <w:tcPr>
            <w:tcW w:w="940" w:type="dxa"/>
            <w:vAlign w:val="center"/>
          </w:tcPr>
          <w:p>
            <w:pPr>
              <w:jc w:val="right"/>
            </w:pPr>
            <w:r>
              <w:rPr>
                <w:rFonts w:ascii="宋体" w:hAnsi="宋体" w:eastAsia="宋体" w:cs="宋体"/>
                <w:b w:val="0"/>
                <w:i w:val="0"/>
                <w:color w:val="000000"/>
                <w:sz w:val="11"/>
              </w:rPr>
              <w:t>11.35</w:t>
            </w:r>
          </w:p>
        </w:tc>
        <w:tc>
          <w:tcPr>
            <w:tcW w:w="1000" w:type="dxa"/>
            <w:vAlign w:val="center"/>
          </w:tcPr>
          <w:p>
            <w:pPr>
              <w:jc w:val="right"/>
            </w:pPr>
            <w:r>
              <w:rPr>
                <w:rFonts w:ascii="宋体" w:hAnsi="宋体" w:eastAsia="宋体" w:cs="宋体"/>
                <w:b w:val="0"/>
                <w:i w:val="0"/>
                <w:color w:val="000000"/>
                <w:sz w:val="11"/>
              </w:rPr>
              <w:t>11.35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w:t>
            </w:r>
          </w:p>
        </w:tc>
        <w:tc>
          <w:tcPr>
            <w:tcW w:w="1760" w:type="dxa"/>
            <w:vAlign w:val="center"/>
          </w:tcPr>
          <w:p>
            <w:pPr>
              <w:jc w:val="left"/>
            </w:pPr>
            <w:r>
              <w:rPr>
                <w:rFonts w:ascii="宋体" w:hAnsi="宋体" w:eastAsia="宋体" w:cs="宋体"/>
                <w:b w:val="0"/>
                <w:i w:val="0"/>
                <w:color w:val="000000"/>
                <w:sz w:val="11"/>
              </w:rPr>
              <w:t>抚恤</w:t>
            </w:r>
          </w:p>
        </w:tc>
        <w:tc>
          <w:tcPr>
            <w:tcW w:w="940" w:type="dxa"/>
            <w:vAlign w:val="center"/>
          </w:tcPr>
          <w:p>
            <w:pPr>
              <w:jc w:val="right"/>
            </w:pPr>
            <w:r>
              <w:rPr>
                <w:rFonts w:ascii="宋体" w:hAnsi="宋体" w:eastAsia="宋体" w:cs="宋体"/>
                <w:b w:val="0"/>
                <w:i w:val="0"/>
                <w:color w:val="000000"/>
                <w:sz w:val="11"/>
              </w:rPr>
              <w:t>25.52</w:t>
            </w:r>
          </w:p>
        </w:tc>
        <w:tc>
          <w:tcPr>
            <w:tcW w:w="1000" w:type="dxa"/>
            <w:vAlign w:val="center"/>
          </w:tcPr>
          <w:p>
            <w:pPr>
              <w:jc w:val="right"/>
            </w:pPr>
            <w:r>
              <w:rPr>
                <w:rFonts w:ascii="宋体" w:hAnsi="宋体" w:eastAsia="宋体" w:cs="宋体"/>
                <w:b w:val="0"/>
                <w:i w:val="0"/>
                <w:color w:val="000000"/>
                <w:sz w:val="11"/>
              </w:rPr>
              <w:t>25.52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2080801</w:t>
            </w:r>
          </w:p>
        </w:tc>
        <w:tc>
          <w:tcPr>
            <w:tcW w:w="1760" w:type="dxa"/>
            <w:vAlign w:val="center"/>
          </w:tcPr>
          <w:p>
            <w:pPr>
              <w:jc w:val="left"/>
            </w:pPr>
            <w:r>
              <w:rPr>
                <w:rFonts w:ascii="宋体" w:hAnsi="宋体" w:eastAsia="宋体" w:cs="宋体"/>
                <w:b w:val="0"/>
                <w:i w:val="0"/>
                <w:color w:val="000000"/>
                <w:sz w:val="11"/>
              </w:rPr>
              <w:t>死亡抚恤</w:t>
            </w:r>
          </w:p>
        </w:tc>
        <w:tc>
          <w:tcPr>
            <w:tcW w:w="940" w:type="dxa"/>
            <w:vAlign w:val="center"/>
          </w:tcPr>
          <w:p>
            <w:pPr>
              <w:jc w:val="right"/>
            </w:pPr>
            <w:r>
              <w:rPr>
                <w:rFonts w:ascii="宋体" w:hAnsi="宋体" w:eastAsia="宋体" w:cs="宋体"/>
                <w:b w:val="0"/>
                <w:i w:val="0"/>
                <w:color w:val="000000"/>
                <w:sz w:val="11"/>
              </w:rPr>
              <w:t>25.52</w:t>
            </w:r>
          </w:p>
        </w:tc>
        <w:tc>
          <w:tcPr>
            <w:tcW w:w="1000" w:type="dxa"/>
            <w:vAlign w:val="center"/>
          </w:tcPr>
          <w:p>
            <w:pPr>
              <w:jc w:val="right"/>
            </w:pPr>
            <w:r>
              <w:rPr>
                <w:rFonts w:ascii="宋体" w:hAnsi="宋体" w:eastAsia="宋体" w:cs="宋体"/>
                <w:b w:val="0"/>
                <w:i w:val="0"/>
                <w:color w:val="000000"/>
                <w:sz w:val="11"/>
              </w:rPr>
              <w:t>25.52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51.27</w:t>
            </w:r>
          </w:p>
        </w:tc>
        <w:tc>
          <w:tcPr>
            <w:tcW w:w="1000" w:type="dxa"/>
            <w:vAlign w:val="center"/>
          </w:tcPr>
          <w:p>
            <w:pPr>
              <w:jc w:val="right"/>
            </w:pPr>
            <w:r>
              <w:rPr>
                <w:rFonts w:ascii="宋体" w:hAnsi="宋体" w:eastAsia="宋体" w:cs="宋体"/>
                <w:b w:val="0"/>
                <w:i w:val="0"/>
                <w:color w:val="000000"/>
                <w:sz w:val="11"/>
              </w:rPr>
              <w:t>51.27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51.27</w:t>
            </w:r>
          </w:p>
        </w:tc>
        <w:tc>
          <w:tcPr>
            <w:tcW w:w="1000" w:type="dxa"/>
            <w:vAlign w:val="center"/>
          </w:tcPr>
          <w:p>
            <w:pPr>
              <w:jc w:val="right"/>
            </w:pPr>
            <w:r>
              <w:rPr>
                <w:rFonts w:ascii="宋体" w:hAnsi="宋体" w:eastAsia="宋体" w:cs="宋体"/>
                <w:b w:val="0"/>
                <w:i w:val="0"/>
                <w:color w:val="000000"/>
                <w:sz w:val="11"/>
              </w:rPr>
              <w:t>51.27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110.55</w:t>
            </w:r>
          </w:p>
        </w:tc>
        <w:tc>
          <w:tcPr>
            <w:tcW w:w="1000" w:type="dxa"/>
            <w:vAlign w:val="center"/>
          </w:tcPr>
          <w:p>
            <w:pPr>
              <w:jc w:val="right"/>
            </w:pPr>
            <w:r>
              <w:rPr>
                <w:rFonts w:ascii="宋体" w:hAnsi="宋体" w:eastAsia="宋体" w:cs="宋体"/>
                <w:b w:val="0"/>
                <w:i w:val="0"/>
                <w:color w:val="000000"/>
                <w:sz w:val="11"/>
              </w:rPr>
              <w:t>110.55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110.55</w:t>
            </w:r>
          </w:p>
        </w:tc>
        <w:tc>
          <w:tcPr>
            <w:tcW w:w="1000" w:type="dxa"/>
            <w:vAlign w:val="center"/>
          </w:tcPr>
          <w:p>
            <w:pPr>
              <w:jc w:val="right"/>
            </w:pPr>
            <w:r>
              <w:rPr>
                <w:rFonts w:ascii="宋体" w:hAnsi="宋体" w:eastAsia="宋体" w:cs="宋体"/>
                <w:b w:val="0"/>
                <w:i w:val="0"/>
                <w:color w:val="000000"/>
                <w:sz w:val="11"/>
              </w:rPr>
              <w:t>110.55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70.09</w:t>
            </w:r>
          </w:p>
        </w:tc>
        <w:tc>
          <w:tcPr>
            <w:tcW w:w="1000" w:type="dxa"/>
            <w:vAlign w:val="center"/>
          </w:tcPr>
          <w:p>
            <w:pPr>
              <w:jc w:val="right"/>
            </w:pPr>
            <w:r>
              <w:rPr>
                <w:rFonts w:ascii="宋体" w:hAnsi="宋体" w:eastAsia="宋体" w:cs="宋体"/>
                <w:b w:val="0"/>
                <w:i w:val="0"/>
                <w:color w:val="000000"/>
                <w:sz w:val="11"/>
              </w:rPr>
              <w:t>70.09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2101102</w:t>
            </w:r>
          </w:p>
        </w:tc>
        <w:tc>
          <w:tcPr>
            <w:tcW w:w="1760" w:type="dxa"/>
            <w:vAlign w:val="center"/>
          </w:tcPr>
          <w:p>
            <w:pPr>
              <w:jc w:val="left"/>
            </w:pPr>
            <w:r>
              <w:rPr>
                <w:rFonts w:ascii="宋体" w:hAnsi="宋体" w:eastAsia="宋体" w:cs="宋体"/>
                <w:b w:val="0"/>
                <w:i w:val="0"/>
                <w:color w:val="000000"/>
                <w:sz w:val="11"/>
              </w:rPr>
              <w:t>事业单位医疗</w:t>
            </w:r>
          </w:p>
        </w:tc>
        <w:tc>
          <w:tcPr>
            <w:tcW w:w="940" w:type="dxa"/>
            <w:vAlign w:val="center"/>
          </w:tcPr>
          <w:p>
            <w:pPr>
              <w:jc w:val="right"/>
            </w:pPr>
            <w:r>
              <w:rPr>
                <w:rFonts w:ascii="宋体" w:hAnsi="宋体" w:eastAsia="宋体" w:cs="宋体"/>
                <w:b w:val="0"/>
                <w:i w:val="0"/>
                <w:color w:val="000000"/>
                <w:sz w:val="11"/>
              </w:rPr>
              <w:t>5.83</w:t>
            </w:r>
          </w:p>
        </w:tc>
        <w:tc>
          <w:tcPr>
            <w:tcW w:w="1000" w:type="dxa"/>
            <w:vAlign w:val="center"/>
          </w:tcPr>
          <w:p>
            <w:pPr>
              <w:jc w:val="right"/>
            </w:pPr>
            <w:r>
              <w:rPr>
                <w:rFonts w:ascii="宋体" w:hAnsi="宋体" w:eastAsia="宋体" w:cs="宋体"/>
                <w:b w:val="0"/>
                <w:i w:val="0"/>
                <w:color w:val="000000"/>
                <w:sz w:val="11"/>
              </w:rPr>
              <w:t>5.83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34.63</w:t>
            </w:r>
          </w:p>
        </w:tc>
        <w:tc>
          <w:tcPr>
            <w:tcW w:w="1000" w:type="dxa"/>
            <w:vAlign w:val="center"/>
          </w:tcPr>
          <w:p>
            <w:pPr>
              <w:jc w:val="right"/>
            </w:pPr>
            <w:r>
              <w:rPr>
                <w:rFonts w:ascii="宋体" w:hAnsi="宋体" w:eastAsia="宋体" w:cs="宋体"/>
                <w:b w:val="0"/>
                <w:i w:val="0"/>
                <w:color w:val="000000"/>
                <w:sz w:val="11"/>
              </w:rPr>
              <w:t>34.63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215</w:t>
            </w:r>
          </w:p>
        </w:tc>
        <w:tc>
          <w:tcPr>
            <w:tcW w:w="1760" w:type="dxa"/>
            <w:vAlign w:val="center"/>
          </w:tcPr>
          <w:p>
            <w:pPr>
              <w:jc w:val="left"/>
            </w:pPr>
            <w:r>
              <w:rPr>
                <w:rFonts w:ascii="宋体" w:hAnsi="宋体" w:eastAsia="宋体" w:cs="宋体"/>
                <w:b w:val="0"/>
                <w:i w:val="0"/>
                <w:color w:val="000000"/>
                <w:sz w:val="11"/>
              </w:rPr>
              <w:t>资源勘探工业信息等支出</w:t>
            </w:r>
          </w:p>
        </w:tc>
        <w:tc>
          <w:tcPr>
            <w:tcW w:w="940" w:type="dxa"/>
            <w:vAlign w:val="center"/>
          </w:tcPr>
          <w:p>
            <w:pPr>
              <w:jc w:val="right"/>
            </w:pPr>
            <w:r>
              <w:rPr>
                <w:rFonts w:ascii="宋体" w:hAnsi="宋体" w:eastAsia="宋体" w:cs="宋体"/>
                <w:b w:val="0"/>
                <w:i w:val="0"/>
                <w:color w:val="000000"/>
                <w:sz w:val="11"/>
              </w:rPr>
              <w:t>275.77</w:t>
            </w:r>
          </w:p>
        </w:tc>
        <w:tc>
          <w:tcPr>
            <w:tcW w:w="1000" w:type="dxa"/>
            <w:vAlign w:val="center"/>
          </w:tcPr>
          <w:p>
            <w:pPr>
              <w:jc w:val="right"/>
            </w:pPr>
            <w:r>
              <w:rPr>
                <w:rFonts w:ascii="宋体" w:hAnsi="宋体" w:eastAsia="宋体" w:cs="宋体"/>
                <w:b w:val="0"/>
                <w:i w:val="0"/>
                <w:color w:val="000000"/>
                <w:sz w:val="11"/>
              </w:rPr>
              <w:t>94.30</w:t>
            </w:r>
          </w:p>
        </w:tc>
        <w:tc>
          <w:tcPr>
            <w:tcW w:w="980" w:type="dxa"/>
            <w:vAlign w:val="center"/>
          </w:tcPr>
          <w:p>
            <w:pPr>
              <w:jc w:val="right"/>
            </w:pPr>
            <w:r>
              <w:rPr>
                <w:rFonts w:ascii="宋体" w:hAnsi="宋体" w:eastAsia="宋体" w:cs="宋体"/>
                <w:b w:val="0"/>
                <w:i w:val="0"/>
                <w:color w:val="000000"/>
                <w:sz w:val="11"/>
              </w:rPr>
              <w:t>181.47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21507</w:t>
            </w:r>
          </w:p>
        </w:tc>
        <w:tc>
          <w:tcPr>
            <w:tcW w:w="1760" w:type="dxa"/>
            <w:vAlign w:val="center"/>
          </w:tcPr>
          <w:p>
            <w:pPr>
              <w:jc w:val="left"/>
            </w:pPr>
            <w:r>
              <w:rPr>
                <w:rFonts w:ascii="宋体" w:hAnsi="宋体" w:eastAsia="宋体" w:cs="宋体"/>
                <w:b w:val="0"/>
                <w:i w:val="0"/>
                <w:color w:val="000000"/>
                <w:sz w:val="11"/>
              </w:rPr>
              <w:t>国有资产监管</w:t>
            </w:r>
          </w:p>
        </w:tc>
        <w:tc>
          <w:tcPr>
            <w:tcW w:w="940" w:type="dxa"/>
            <w:vAlign w:val="center"/>
          </w:tcPr>
          <w:p>
            <w:pPr>
              <w:jc w:val="right"/>
            </w:pPr>
            <w:r>
              <w:rPr>
                <w:rFonts w:ascii="宋体" w:hAnsi="宋体" w:eastAsia="宋体" w:cs="宋体"/>
                <w:b w:val="0"/>
                <w:i w:val="0"/>
                <w:color w:val="000000"/>
                <w:sz w:val="11"/>
              </w:rPr>
              <w:t>164.51</w:t>
            </w:r>
          </w:p>
        </w:tc>
        <w:tc>
          <w:tcPr>
            <w:tcW w:w="1000" w:type="dxa"/>
            <w:vAlign w:val="center"/>
          </w:tcPr>
          <w:p>
            <w:pPr>
              <w:jc w:val="right"/>
            </w:pPr>
            <w:r>
              <w:rPr>
                <w:rFonts w:ascii="宋体" w:hAnsi="宋体" w:eastAsia="宋体" w:cs="宋体"/>
                <w:b w:val="0"/>
                <w:i w:val="0"/>
                <w:color w:val="000000"/>
                <w:sz w:val="11"/>
              </w:rPr>
              <w:t>94.30</w:t>
            </w:r>
          </w:p>
        </w:tc>
        <w:tc>
          <w:tcPr>
            <w:tcW w:w="980" w:type="dxa"/>
            <w:vAlign w:val="center"/>
          </w:tcPr>
          <w:p>
            <w:pPr>
              <w:jc w:val="right"/>
            </w:pPr>
            <w:r>
              <w:rPr>
                <w:rFonts w:ascii="宋体" w:hAnsi="宋体" w:eastAsia="宋体" w:cs="宋体"/>
                <w:b w:val="0"/>
                <w:i w:val="0"/>
                <w:color w:val="000000"/>
                <w:sz w:val="11"/>
              </w:rPr>
              <w:t>70.22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2150701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4.05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4.05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2150799</w:t>
            </w:r>
          </w:p>
        </w:tc>
        <w:tc>
          <w:tcPr>
            <w:tcW w:w="1760" w:type="dxa"/>
            <w:vAlign w:val="center"/>
          </w:tcPr>
          <w:p>
            <w:pPr>
              <w:jc w:val="left"/>
            </w:pPr>
            <w:r>
              <w:rPr>
                <w:rFonts w:ascii="宋体" w:hAnsi="宋体" w:eastAsia="宋体" w:cs="宋体"/>
                <w:b w:val="0"/>
                <w:i w:val="0"/>
                <w:color w:val="000000"/>
                <w:sz w:val="11"/>
              </w:rPr>
              <w:t>其他国有资产监管支出</w:t>
            </w:r>
          </w:p>
        </w:tc>
        <w:tc>
          <w:tcPr>
            <w:tcW w:w="940" w:type="dxa"/>
            <w:vAlign w:val="center"/>
          </w:tcPr>
          <w:p>
            <w:pPr>
              <w:jc w:val="right"/>
            </w:pPr>
            <w:r>
              <w:rPr>
                <w:rFonts w:ascii="宋体" w:hAnsi="宋体" w:eastAsia="宋体" w:cs="宋体"/>
                <w:b w:val="0"/>
                <w:i w:val="0"/>
                <w:color w:val="000000"/>
                <w:sz w:val="11"/>
              </w:rPr>
              <w:t>160.46</w:t>
            </w:r>
          </w:p>
        </w:tc>
        <w:tc>
          <w:tcPr>
            <w:tcW w:w="1000" w:type="dxa"/>
            <w:vAlign w:val="center"/>
          </w:tcPr>
          <w:p>
            <w:pPr>
              <w:jc w:val="right"/>
            </w:pPr>
            <w:r>
              <w:rPr>
                <w:rFonts w:ascii="宋体" w:hAnsi="宋体" w:eastAsia="宋体" w:cs="宋体"/>
                <w:b w:val="0"/>
                <w:i w:val="0"/>
                <w:color w:val="000000"/>
                <w:sz w:val="11"/>
              </w:rPr>
              <w:t>94.30</w:t>
            </w:r>
          </w:p>
        </w:tc>
        <w:tc>
          <w:tcPr>
            <w:tcW w:w="980" w:type="dxa"/>
            <w:vAlign w:val="center"/>
          </w:tcPr>
          <w:p>
            <w:pPr>
              <w:jc w:val="right"/>
            </w:pPr>
            <w:r>
              <w:rPr>
                <w:rFonts w:ascii="宋体" w:hAnsi="宋体" w:eastAsia="宋体" w:cs="宋体"/>
                <w:b w:val="0"/>
                <w:i w:val="0"/>
                <w:color w:val="000000"/>
                <w:sz w:val="11"/>
              </w:rPr>
              <w:t>66.16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21599</w:t>
            </w:r>
          </w:p>
        </w:tc>
        <w:tc>
          <w:tcPr>
            <w:tcW w:w="1760" w:type="dxa"/>
            <w:vAlign w:val="center"/>
          </w:tcPr>
          <w:p>
            <w:pPr>
              <w:jc w:val="left"/>
            </w:pPr>
            <w:r>
              <w:rPr>
                <w:rFonts w:ascii="宋体" w:hAnsi="宋体" w:eastAsia="宋体" w:cs="宋体"/>
                <w:b w:val="0"/>
                <w:i w:val="0"/>
                <w:color w:val="000000"/>
                <w:sz w:val="11"/>
              </w:rPr>
              <w:t>其他资源勘探工业信息等支出</w:t>
            </w:r>
          </w:p>
        </w:tc>
        <w:tc>
          <w:tcPr>
            <w:tcW w:w="940" w:type="dxa"/>
            <w:vAlign w:val="center"/>
          </w:tcPr>
          <w:p>
            <w:pPr>
              <w:jc w:val="right"/>
            </w:pPr>
            <w:r>
              <w:rPr>
                <w:rFonts w:ascii="宋体" w:hAnsi="宋体" w:eastAsia="宋体" w:cs="宋体"/>
                <w:b w:val="0"/>
                <w:i w:val="0"/>
                <w:color w:val="000000"/>
                <w:sz w:val="11"/>
              </w:rPr>
              <w:t>111.26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111.26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2159999</w:t>
            </w:r>
          </w:p>
        </w:tc>
        <w:tc>
          <w:tcPr>
            <w:tcW w:w="1760" w:type="dxa"/>
            <w:vAlign w:val="center"/>
          </w:tcPr>
          <w:p>
            <w:pPr>
              <w:jc w:val="left"/>
            </w:pPr>
            <w:r>
              <w:rPr>
                <w:rFonts w:ascii="宋体" w:hAnsi="宋体" w:eastAsia="宋体" w:cs="宋体"/>
                <w:b w:val="0"/>
                <w:i w:val="0"/>
                <w:color w:val="000000"/>
                <w:sz w:val="11"/>
              </w:rPr>
              <w:t>其他资源勘探工业信息等支出</w:t>
            </w:r>
          </w:p>
        </w:tc>
        <w:tc>
          <w:tcPr>
            <w:tcW w:w="940" w:type="dxa"/>
            <w:vAlign w:val="center"/>
          </w:tcPr>
          <w:p>
            <w:pPr>
              <w:jc w:val="right"/>
            </w:pPr>
            <w:r>
              <w:rPr>
                <w:rFonts w:ascii="宋体" w:hAnsi="宋体" w:eastAsia="宋体" w:cs="宋体"/>
                <w:b w:val="0"/>
                <w:i w:val="0"/>
                <w:color w:val="000000"/>
                <w:sz w:val="11"/>
              </w:rPr>
              <w:t>111.26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111.26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127.81</w:t>
            </w:r>
          </w:p>
        </w:tc>
        <w:tc>
          <w:tcPr>
            <w:tcW w:w="1000" w:type="dxa"/>
            <w:vAlign w:val="center"/>
          </w:tcPr>
          <w:p>
            <w:pPr>
              <w:jc w:val="right"/>
            </w:pPr>
            <w:r>
              <w:rPr>
                <w:rFonts w:ascii="宋体" w:hAnsi="宋体" w:eastAsia="宋体" w:cs="宋体"/>
                <w:b w:val="0"/>
                <w:i w:val="0"/>
                <w:color w:val="000000"/>
                <w:sz w:val="11"/>
              </w:rPr>
              <w:t>127.81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127.81</w:t>
            </w:r>
          </w:p>
        </w:tc>
        <w:tc>
          <w:tcPr>
            <w:tcW w:w="1000" w:type="dxa"/>
            <w:vAlign w:val="center"/>
          </w:tcPr>
          <w:p>
            <w:pPr>
              <w:jc w:val="right"/>
            </w:pPr>
            <w:r>
              <w:rPr>
                <w:rFonts w:ascii="宋体" w:hAnsi="宋体" w:eastAsia="宋体" w:cs="宋体"/>
                <w:b w:val="0"/>
                <w:i w:val="0"/>
                <w:color w:val="000000"/>
                <w:sz w:val="11"/>
              </w:rPr>
              <w:t>127.81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127.81</w:t>
            </w:r>
          </w:p>
        </w:tc>
        <w:tc>
          <w:tcPr>
            <w:tcW w:w="1000" w:type="dxa"/>
            <w:vAlign w:val="center"/>
          </w:tcPr>
          <w:p>
            <w:pPr>
              <w:jc w:val="right"/>
            </w:pPr>
            <w:r>
              <w:rPr>
                <w:rFonts w:ascii="宋体" w:hAnsi="宋体" w:eastAsia="宋体" w:cs="宋体"/>
                <w:b w:val="0"/>
                <w:i w:val="0"/>
                <w:color w:val="000000"/>
                <w:sz w:val="11"/>
              </w:rPr>
              <w:t>127.81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29.92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29.92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29.92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29.92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29.92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29.92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pPr>
            <w:r>
              <w:rPr>
                <w:rFonts w:ascii="宋体" w:hAnsi="宋体" w:eastAsia="宋体" w:cs="宋体"/>
                <w:b w:val="0"/>
                <w:i w:val="0"/>
                <w:color w:val="000000"/>
                <w:sz w:val="17"/>
              </w:rPr>
              <w:t>收     入</w:t>
            </w:r>
          </w:p>
        </w:tc>
        <w:tc>
          <w:tcPr>
            <w:tcW w:w="2980"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4,594.74</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pPr>
              <w:jc w:val="right"/>
            </w:pPr>
            <w:r>
              <w:rPr>
                <w:rFonts w:ascii="宋体" w:hAnsi="宋体" w:eastAsia="宋体" w:cs="宋体"/>
                <w:b w:val="0"/>
                <w:i w:val="0"/>
                <w:color w:val="000000"/>
                <w:sz w:val="17"/>
              </w:rPr>
              <w:t>3,813.31</w:t>
            </w:r>
          </w:p>
        </w:tc>
        <w:tc>
          <w:tcPr>
            <w:tcW w:w="1460" w:type="dxa"/>
            <w:vAlign w:val="center"/>
          </w:tcPr>
          <w:p>
            <w:pPr>
              <w:jc w:val="right"/>
            </w:pPr>
            <w:r>
              <w:rPr>
                <w:rFonts w:ascii="宋体" w:hAnsi="宋体" w:eastAsia="宋体" w:cs="宋体"/>
                <w:b w:val="0"/>
                <w:i w:val="0"/>
                <w:color w:val="000000"/>
                <w:sz w:val="17"/>
              </w:rPr>
              <w:t>3,813.31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267.30</w:t>
            </w:r>
          </w:p>
        </w:tc>
        <w:tc>
          <w:tcPr>
            <w:tcW w:w="1460" w:type="dxa"/>
            <w:vAlign w:val="center"/>
          </w:tcPr>
          <w:p>
            <w:pPr>
              <w:jc w:val="right"/>
            </w:pPr>
            <w:r>
              <w:rPr>
                <w:rFonts w:ascii="宋体" w:hAnsi="宋体" w:eastAsia="宋体" w:cs="宋体"/>
                <w:b w:val="0"/>
                <w:i w:val="0"/>
                <w:color w:val="000000"/>
                <w:sz w:val="17"/>
              </w:rPr>
              <w:t>267.30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110.55</w:t>
            </w:r>
          </w:p>
        </w:tc>
        <w:tc>
          <w:tcPr>
            <w:tcW w:w="1460" w:type="dxa"/>
            <w:vAlign w:val="center"/>
          </w:tcPr>
          <w:p>
            <w:pPr>
              <w:jc w:val="right"/>
            </w:pPr>
            <w:r>
              <w:rPr>
                <w:rFonts w:ascii="宋体" w:hAnsi="宋体" w:eastAsia="宋体" w:cs="宋体"/>
                <w:b w:val="0"/>
                <w:i w:val="0"/>
                <w:color w:val="000000"/>
                <w:sz w:val="17"/>
              </w:rPr>
              <w:t>110.55</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pPr>
              <w:jc w:val="right"/>
            </w:pPr>
            <w:r>
              <w:rPr>
                <w:rFonts w:ascii="宋体" w:hAnsi="宋体" w:eastAsia="宋体" w:cs="宋体"/>
                <w:b w:val="0"/>
                <w:i w:val="0"/>
                <w:color w:val="000000"/>
                <w:sz w:val="17"/>
              </w:rPr>
              <w:t>275.77</w:t>
            </w:r>
          </w:p>
        </w:tc>
        <w:tc>
          <w:tcPr>
            <w:tcW w:w="1460" w:type="dxa"/>
            <w:vAlign w:val="center"/>
          </w:tcPr>
          <w:p>
            <w:pPr>
              <w:jc w:val="right"/>
            </w:pPr>
            <w:r>
              <w:rPr>
                <w:rFonts w:ascii="宋体" w:hAnsi="宋体" w:eastAsia="宋体" w:cs="宋体"/>
                <w:b w:val="0"/>
                <w:i w:val="0"/>
                <w:color w:val="000000"/>
                <w:sz w:val="17"/>
              </w:rPr>
              <w:t>275.77</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127.81</w:t>
            </w:r>
          </w:p>
        </w:tc>
        <w:tc>
          <w:tcPr>
            <w:tcW w:w="1460" w:type="dxa"/>
            <w:vAlign w:val="center"/>
          </w:tcPr>
          <w:p>
            <w:pPr>
              <w:jc w:val="right"/>
            </w:pPr>
            <w:r>
              <w:rPr>
                <w:rFonts w:ascii="宋体" w:hAnsi="宋体" w:eastAsia="宋体" w:cs="宋体"/>
                <w:b w:val="0"/>
                <w:i w:val="0"/>
                <w:color w:val="000000"/>
                <w:sz w:val="17"/>
              </w:rPr>
              <w:t>127.81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4,594.74</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4,594.74</w:t>
            </w:r>
          </w:p>
        </w:tc>
        <w:tc>
          <w:tcPr>
            <w:tcW w:w="1460" w:type="dxa"/>
            <w:vAlign w:val="center"/>
          </w:tcPr>
          <w:p>
            <w:pPr>
              <w:jc w:val="right"/>
            </w:pPr>
            <w:r>
              <w:rPr>
                <w:rFonts w:ascii="宋体" w:hAnsi="宋体" w:eastAsia="宋体" w:cs="宋体"/>
                <w:b w:val="0"/>
                <w:i w:val="0"/>
                <w:color w:val="000000"/>
                <w:sz w:val="17"/>
              </w:rPr>
              <w:t>4,594.74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4,594.74</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4,594.74</w:t>
            </w:r>
          </w:p>
        </w:tc>
        <w:tc>
          <w:tcPr>
            <w:tcW w:w="1460" w:type="dxa"/>
            <w:vAlign w:val="center"/>
          </w:tcPr>
          <w:p>
            <w:pPr>
              <w:jc w:val="right"/>
            </w:pPr>
            <w:r>
              <w:rPr>
                <w:rFonts w:ascii="宋体" w:hAnsi="宋体" w:eastAsia="宋体" w:cs="宋体"/>
                <w:b w:val="0"/>
                <w:i w:val="0"/>
                <w:color w:val="000000"/>
                <w:sz w:val="17"/>
              </w:rPr>
              <w:t>4,594.74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CellMar>
            <w:top w:w="0" w:type="dxa"/>
            <w:left w:w="80" w:type="dxa"/>
            <w:bottom w:w="0" w:type="dxa"/>
            <w:right w:w="80" w:type="dxa"/>
          </w:tblCellMar>
        </w:tblPrEx>
        <w:trPr>
          <w:trHeight w:val="344"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4,594.74</w:t>
            </w:r>
          </w:p>
        </w:tc>
        <w:tc>
          <w:tcPr>
            <w:tcW w:w="1520" w:type="dxa"/>
            <w:vAlign w:val="center"/>
          </w:tcPr>
          <w:p>
            <w:pPr>
              <w:jc w:val="right"/>
            </w:pPr>
            <w:r>
              <w:rPr>
                <w:rFonts w:ascii="宋体" w:hAnsi="宋体" w:eastAsia="宋体" w:cs="宋体"/>
                <w:b w:val="0"/>
                <w:i w:val="0"/>
                <w:color w:val="000000"/>
                <w:sz w:val="16"/>
              </w:rPr>
              <w:t>1,738.89</w:t>
            </w:r>
          </w:p>
        </w:tc>
        <w:tc>
          <w:tcPr>
            <w:tcW w:w="1526" w:type="dxa"/>
            <w:vAlign w:val="center"/>
          </w:tcPr>
          <w:p>
            <w:pPr>
              <w:jc w:val="right"/>
            </w:pPr>
            <w:r>
              <w:rPr>
                <w:rFonts w:ascii="宋体" w:hAnsi="宋体" w:eastAsia="宋体" w:cs="宋体"/>
                <w:b w:val="0"/>
                <w:i w:val="0"/>
                <w:color w:val="000000"/>
                <w:sz w:val="16"/>
              </w:rPr>
              <w:t>2,855.85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w:t>
            </w: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3,813.31</w:t>
            </w:r>
          </w:p>
        </w:tc>
        <w:tc>
          <w:tcPr>
            <w:tcW w:w="1520" w:type="dxa"/>
            <w:vAlign w:val="center"/>
          </w:tcPr>
          <w:p>
            <w:pPr>
              <w:jc w:val="right"/>
            </w:pPr>
            <w:r>
              <w:rPr>
                <w:rFonts w:ascii="宋体" w:hAnsi="宋体" w:eastAsia="宋体" w:cs="宋体"/>
                <w:b w:val="0"/>
                <w:i w:val="0"/>
                <w:color w:val="000000"/>
                <w:sz w:val="16"/>
              </w:rPr>
              <w:t>1,138.93</w:t>
            </w:r>
          </w:p>
        </w:tc>
        <w:tc>
          <w:tcPr>
            <w:tcW w:w="1526" w:type="dxa"/>
            <w:vAlign w:val="center"/>
          </w:tcPr>
          <w:p>
            <w:pPr>
              <w:jc w:val="right"/>
            </w:pPr>
            <w:r>
              <w:rPr>
                <w:rFonts w:ascii="宋体" w:hAnsi="宋体" w:eastAsia="宋体" w:cs="宋体"/>
                <w:b w:val="0"/>
                <w:i w:val="0"/>
                <w:color w:val="000000"/>
                <w:sz w:val="16"/>
              </w:rPr>
              <w:t>2,674.38</w:t>
            </w: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20106</w:t>
            </w:r>
          </w:p>
        </w:tc>
        <w:tc>
          <w:tcPr>
            <w:tcW w:w="2700" w:type="dxa"/>
            <w:vAlign w:val="center"/>
          </w:tcPr>
          <w:p>
            <w:pPr>
              <w:jc w:val="left"/>
            </w:pPr>
            <w:r>
              <w:rPr>
                <w:rFonts w:ascii="宋体" w:hAnsi="宋体" w:eastAsia="宋体" w:cs="宋体"/>
                <w:b w:val="0"/>
                <w:i w:val="0"/>
                <w:color w:val="000000"/>
                <w:sz w:val="16"/>
              </w:rPr>
              <w:t>财政事务</w:t>
            </w:r>
          </w:p>
        </w:tc>
        <w:tc>
          <w:tcPr>
            <w:tcW w:w="1420" w:type="dxa"/>
            <w:vAlign w:val="center"/>
          </w:tcPr>
          <w:p>
            <w:pPr>
              <w:jc w:val="right"/>
            </w:pPr>
            <w:r>
              <w:rPr>
                <w:rFonts w:ascii="宋体" w:hAnsi="宋体" w:eastAsia="宋体" w:cs="宋体"/>
                <w:b w:val="0"/>
                <w:i w:val="0"/>
                <w:color w:val="000000"/>
                <w:sz w:val="16"/>
              </w:rPr>
              <w:t>3,175.31</w:t>
            </w:r>
          </w:p>
        </w:tc>
        <w:tc>
          <w:tcPr>
            <w:tcW w:w="1520" w:type="dxa"/>
            <w:vAlign w:val="center"/>
          </w:tcPr>
          <w:p>
            <w:pPr>
              <w:jc w:val="right"/>
            </w:pPr>
            <w:r>
              <w:rPr>
                <w:rFonts w:ascii="宋体" w:hAnsi="宋体" w:eastAsia="宋体" w:cs="宋体"/>
                <w:b w:val="0"/>
                <w:i w:val="0"/>
                <w:color w:val="000000"/>
                <w:sz w:val="16"/>
              </w:rPr>
              <w:t>1,138.93</w:t>
            </w:r>
          </w:p>
        </w:tc>
        <w:tc>
          <w:tcPr>
            <w:tcW w:w="1526" w:type="dxa"/>
            <w:vAlign w:val="center"/>
          </w:tcPr>
          <w:p>
            <w:pPr>
              <w:jc w:val="right"/>
            </w:pPr>
            <w:r>
              <w:rPr>
                <w:rFonts w:ascii="宋体" w:hAnsi="宋体" w:eastAsia="宋体" w:cs="宋体"/>
                <w:b w:val="0"/>
                <w:i w:val="0"/>
                <w:color w:val="000000"/>
                <w:sz w:val="16"/>
              </w:rPr>
              <w:t>2,036.38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2010601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1,101.49</w:t>
            </w:r>
          </w:p>
        </w:tc>
        <w:tc>
          <w:tcPr>
            <w:tcW w:w="1520" w:type="dxa"/>
            <w:vAlign w:val="center"/>
          </w:tcPr>
          <w:p>
            <w:pPr>
              <w:jc w:val="right"/>
            </w:pPr>
            <w:r>
              <w:rPr>
                <w:rFonts w:ascii="宋体" w:hAnsi="宋体" w:eastAsia="宋体" w:cs="宋体"/>
                <w:b w:val="0"/>
                <w:i w:val="0"/>
                <w:color w:val="000000"/>
                <w:sz w:val="16"/>
              </w:rPr>
              <w:t>1,101.49</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2010699</w:t>
            </w:r>
          </w:p>
        </w:tc>
        <w:tc>
          <w:tcPr>
            <w:tcW w:w="2700" w:type="dxa"/>
            <w:vAlign w:val="center"/>
          </w:tcPr>
          <w:p>
            <w:pPr>
              <w:jc w:val="left"/>
            </w:pPr>
            <w:r>
              <w:rPr>
                <w:rFonts w:ascii="宋体" w:hAnsi="宋体" w:eastAsia="宋体" w:cs="宋体"/>
                <w:b w:val="0"/>
                <w:i w:val="0"/>
                <w:color w:val="000000"/>
                <w:sz w:val="16"/>
              </w:rPr>
              <w:t>其他财政事务支出</w:t>
            </w:r>
          </w:p>
        </w:tc>
        <w:tc>
          <w:tcPr>
            <w:tcW w:w="1420" w:type="dxa"/>
            <w:vAlign w:val="center"/>
          </w:tcPr>
          <w:p>
            <w:pPr>
              <w:jc w:val="right"/>
            </w:pPr>
            <w:r>
              <w:rPr>
                <w:rFonts w:ascii="宋体" w:hAnsi="宋体" w:eastAsia="宋体" w:cs="宋体"/>
                <w:b w:val="0"/>
                <w:i w:val="0"/>
                <w:color w:val="000000"/>
                <w:sz w:val="16"/>
              </w:rPr>
              <w:t>2,073.82</w:t>
            </w:r>
          </w:p>
        </w:tc>
        <w:tc>
          <w:tcPr>
            <w:tcW w:w="1520" w:type="dxa"/>
            <w:vAlign w:val="center"/>
          </w:tcPr>
          <w:p>
            <w:pPr>
              <w:jc w:val="right"/>
            </w:pPr>
            <w:r>
              <w:rPr>
                <w:rFonts w:ascii="宋体" w:hAnsi="宋体" w:eastAsia="宋体" w:cs="宋体"/>
                <w:b w:val="0"/>
                <w:i w:val="0"/>
                <w:color w:val="000000"/>
                <w:sz w:val="16"/>
              </w:rPr>
              <w:t>37.44</w:t>
            </w:r>
          </w:p>
        </w:tc>
        <w:tc>
          <w:tcPr>
            <w:tcW w:w="1526" w:type="dxa"/>
            <w:vAlign w:val="center"/>
          </w:tcPr>
          <w:p>
            <w:pPr>
              <w:jc w:val="right"/>
            </w:pPr>
            <w:r>
              <w:rPr>
                <w:rFonts w:ascii="宋体" w:hAnsi="宋体" w:eastAsia="宋体" w:cs="宋体"/>
                <w:b w:val="0"/>
                <w:i w:val="0"/>
                <w:color w:val="000000"/>
                <w:sz w:val="16"/>
              </w:rPr>
              <w:t>2,036.38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638.00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638.00</w:t>
            </w: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2019999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638.00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638.00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267.30</w:t>
            </w:r>
          </w:p>
        </w:tc>
        <w:tc>
          <w:tcPr>
            <w:tcW w:w="1520" w:type="dxa"/>
            <w:vAlign w:val="center"/>
          </w:tcPr>
          <w:p>
            <w:pPr>
              <w:jc w:val="right"/>
            </w:pPr>
            <w:r>
              <w:rPr>
                <w:rFonts w:ascii="宋体" w:hAnsi="宋体" w:eastAsia="宋体" w:cs="宋体"/>
                <w:b w:val="0"/>
                <w:i w:val="0"/>
                <w:color w:val="000000"/>
                <w:sz w:val="16"/>
              </w:rPr>
              <w:t>267.30</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179.17</w:t>
            </w:r>
          </w:p>
        </w:tc>
        <w:tc>
          <w:tcPr>
            <w:tcW w:w="1520" w:type="dxa"/>
            <w:vAlign w:val="center"/>
          </w:tcPr>
          <w:p>
            <w:pPr>
              <w:jc w:val="right"/>
            </w:pPr>
            <w:r>
              <w:rPr>
                <w:rFonts w:ascii="宋体" w:hAnsi="宋体" w:eastAsia="宋体" w:cs="宋体"/>
                <w:b w:val="0"/>
                <w:i w:val="0"/>
                <w:color w:val="000000"/>
                <w:sz w:val="16"/>
              </w:rPr>
              <w:t>179.17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179.17</w:t>
            </w:r>
          </w:p>
        </w:tc>
        <w:tc>
          <w:tcPr>
            <w:tcW w:w="1520" w:type="dxa"/>
            <w:vAlign w:val="center"/>
          </w:tcPr>
          <w:p>
            <w:pPr>
              <w:jc w:val="right"/>
            </w:pPr>
            <w:r>
              <w:rPr>
                <w:rFonts w:ascii="宋体" w:hAnsi="宋体" w:eastAsia="宋体" w:cs="宋体"/>
                <w:b w:val="0"/>
                <w:i w:val="0"/>
                <w:color w:val="000000"/>
                <w:sz w:val="16"/>
              </w:rPr>
              <w:t>179.17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w:t>
            </w:r>
          </w:p>
        </w:tc>
        <w:tc>
          <w:tcPr>
            <w:tcW w:w="2700" w:type="dxa"/>
            <w:vAlign w:val="center"/>
          </w:tcPr>
          <w:p>
            <w:pPr>
              <w:jc w:val="left"/>
            </w:pPr>
            <w:r>
              <w:rPr>
                <w:rFonts w:ascii="宋体" w:hAnsi="宋体" w:eastAsia="宋体" w:cs="宋体"/>
                <w:b w:val="0"/>
                <w:i w:val="0"/>
                <w:color w:val="000000"/>
                <w:sz w:val="16"/>
              </w:rPr>
              <w:t>就业补助</w:t>
            </w:r>
          </w:p>
        </w:tc>
        <w:tc>
          <w:tcPr>
            <w:tcW w:w="1420" w:type="dxa"/>
            <w:vAlign w:val="center"/>
          </w:tcPr>
          <w:p>
            <w:pPr>
              <w:jc w:val="right"/>
            </w:pPr>
            <w:r>
              <w:rPr>
                <w:rFonts w:ascii="宋体" w:hAnsi="宋体" w:eastAsia="宋体" w:cs="宋体"/>
                <w:b w:val="0"/>
                <w:i w:val="0"/>
                <w:color w:val="000000"/>
                <w:sz w:val="16"/>
              </w:rPr>
              <w:t>11.35</w:t>
            </w:r>
          </w:p>
        </w:tc>
        <w:tc>
          <w:tcPr>
            <w:tcW w:w="1520" w:type="dxa"/>
            <w:vAlign w:val="center"/>
          </w:tcPr>
          <w:p>
            <w:pPr>
              <w:jc w:val="right"/>
            </w:pPr>
            <w:r>
              <w:rPr>
                <w:rFonts w:ascii="宋体" w:hAnsi="宋体" w:eastAsia="宋体" w:cs="宋体"/>
                <w:b w:val="0"/>
                <w:i w:val="0"/>
                <w:color w:val="000000"/>
                <w:sz w:val="16"/>
              </w:rPr>
              <w:t>11.35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2080711</w:t>
            </w:r>
          </w:p>
        </w:tc>
        <w:tc>
          <w:tcPr>
            <w:tcW w:w="2700" w:type="dxa"/>
            <w:vAlign w:val="center"/>
          </w:tcPr>
          <w:p>
            <w:pPr>
              <w:jc w:val="left"/>
            </w:pPr>
            <w:r>
              <w:rPr>
                <w:rFonts w:ascii="宋体" w:hAnsi="宋体" w:eastAsia="宋体" w:cs="宋体"/>
                <w:b w:val="0"/>
                <w:i w:val="0"/>
                <w:color w:val="000000"/>
                <w:sz w:val="16"/>
              </w:rPr>
              <w:t>就业见习补贴</w:t>
            </w:r>
          </w:p>
        </w:tc>
        <w:tc>
          <w:tcPr>
            <w:tcW w:w="1420" w:type="dxa"/>
            <w:vAlign w:val="center"/>
          </w:tcPr>
          <w:p>
            <w:pPr>
              <w:jc w:val="right"/>
            </w:pPr>
            <w:r>
              <w:rPr>
                <w:rFonts w:ascii="宋体" w:hAnsi="宋体" w:eastAsia="宋体" w:cs="宋体"/>
                <w:b w:val="0"/>
                <w:i w:val="0"/>
                <w:color w:val="000000"/>
                <w:sz w:val="16"/>
              </w:rPr>
              <w:t>11.35</w:t>
            </w:r>
          </w:p>
        </w:tc>
        <w:tc>
          <w:tcPr>
            <w:tcW w:w="1520" w:type="dxa"/>
            <w:vAlign w:val="center"/>
          </w:tcPr>
          <w:p>
            <w:pPr>
              <w:jc w:val="right"/>
            </w:pPr>
            <w:r>
              <w:rPr>
                <w:rFonts w:ascii="宋体" w:hAnsi="宋体" w:eastAsia="宋体" w:cs="宋体"/>
                <w:b w:val="0"/>
                <w:i w:val="0"/>
                <w:color w:val="000000"/>
                <w:sz w:val="16"/>
              </w:rPr>
              <w:t>11.35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w:t>
            </w:r>
          </w:p>
        </w:tc>
        <w:tc>
          <w:tcPr>
            <w:tcW w:w="2700" w:type="dxa"/>
            <w:vAlign w:val="center"/>
          </w:tcPr>
          <w:p>
            <w:pPr>
              <w:jc w:val="left"/>
            </w:pPr>
            <w:r>
              <w:rPr>
                <w:rFonts w:ascii="宋体" w:hAnsi="宋体" w:eastAsia="宋体" w:cs="宋体"/>
                <w:b w:val="0"/>
                <w:i w:val="0"/>
                <w:color w:val="000000"/>
                <w:sz w:val="16"/>
              </w:rPr>
              <w:t>抚恤</w:t>
            </w:r>
          </w:p>
        </w:tc>
        <w:tc>
          <w:tcPr>
            <w:tcW w:w="1420" w:type="dxa"/>
            <w:vAlign w:val="center"/>
          </w:tcPr>
          <w:p>
            <w:pPr>
              <w:jc w:val="right"/>
            </w:pPr>
            <w:r>
              <w:rPr>
                <w:rFonts w:ascii="宋体" w:hAnsi="宋体" w:eastAsia="宋体" w:cs="宋体"/>
                <w:b w:val="0"/>
                <w:i w:val="0"/>
                <w:color w:val="000000"/>
                <w:sz w:val="16"/>
              </w:rPr>
              <w:t>25.52</w:t>
            </w:r>
          </w:p>
        </w:tc>
        <w:tc>
          <w:tcPr>
            <w:tcW w:w="1520" w:type="dxa"/>
            <w:vAlign w:val="center"/>
          </w:tcPr>
          <w:p>
            <w:pPr>
              <w:jc w:val="right"/>
            </w:pPr>
            <w:r>
              <w:rPr>
                <w:rFonts w:ascii="宋体" w:hAnsi="宋体" w:eastAsia="宋体" w:cs="宋体"/>
                <w:b w:val="0"/>
                <w:i w:val="0"/>
                <w:color w:val="000000"/>
                <w:sz w:val="16"/>
              </w:rPr>
              <w:t>25.52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2080801</w:t>
            </w:r>
          </w:p>
        </w:tc>
        <w:tc>
          <w:tcPr>
            <w:tcW w:w="2700" w:type="dxa"/>
            <w:vAlign w:val="center"/>
          </w:tcPr>
          <w:p>
            <w:pPr>
              <w:jc w:val="left"/>
            </w:pPr>
            <w:r>
              <w:rPr>
                <w:rFonts w:ascii="宋体" w:hAnsi="宋体" w:eastAsia="宋体" w:cs="宋体"/>
                <w:b w:val="0"/>
                <w:i w:val="0"/>
                <w:color w:val="000000"/>
                <w:sz w:val="16"/>
              </w:rPr>
              <w:t>死亡抚恤</w:t>
            </w:r>
          </w:p>
        </w:tc>
        <w:tc>
          <w:tcPr>
            <w:tcW w:w="1420" w:type="dxa"/>
            <w:vAlign w:val="center"/>
          </w:tcPr>
          <w:p>
            <w:pPr>
              <w:jc w:val="right"/>
            </w:pPr>
            <w:r>
              <w:rPr>
                <w:rFonts w:ascii="宋体" w:hAnsi="宋体" w:eastAsia="宋体" w:cs="宋体"/>
                <w:b w:val="0"/>
                <w:i w:val="0"/>
                <w:color w:val="000000"/>
                <w:sz w:val="16"/>
              </w:rPr>
              <w:t>25.52</w:t>
            </w:r>
          </w:p>
        </w:tc>
        <w:tc>
          <w:tcPr>
            <w:tcW w:w="1520" w:type="dxa"/>
            <w:vAlign w:val="center"/>
          </w:tcPr>
          <w:p>
            <w:pPr>
              <w:jc w:val="right"/>
            </w:pPr>
            <w:r>
              <w:rPr>
                <w:rFonts w:ascii="宋体" w:hAnsi="宋体" w:eastAsia="宋体" w:cs="宋体"/>
                <w:b w:val="0"/>
                <w:i w:val="0"/>
                <w:color w:val="000000"/>
                <w:sz w:val="16"/>
              </w:rPr>
              <w:t>25.52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51.27</w:t>
            </w:r>
          </w:p>
        </w:tc>
        <w:tc>
          <w:tcPr>
            <w:tcW w:w="1520" w:type="dxa"/>
            <w:vAlign w:val="center"/>
          </w:tcPr>
          <w:p>
            <w:pPr>
              <w:jc w:val="right"/>
            </w:pPr>
            <w:r>
              <w:rPr>
                <w:rFonts w:ascii="宋体" w:hAnsi="宋体" w:eastAsia="宋体" w:cs="宋体"/>
                <w:b w:val="0"/>
                <w:i w:val="0"/>
                <w:color w:val="000000"/>
                <w:sz w:val="16"/>
              </w:rPr>
              <w:t>51.27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51.27</w:t>
            </w:r>
          </w:p>
        </w:tc>
        <w:tc>
          <w:tcPr>
            <w:tcW w:w="1520" w:type="dxa"/>
            <w:vAlign w:val="center"/>
          </w:tcPr>
          <w:p>
            <w:pPr>
              <w:jc w:val="right"/>
            </w:pPr>
            <w:r>
              <w:rPr>
                <w:rFonts w:ascii="宋体" w:hAnsi="宋体" w:eastAsia="宋体" w:cs="宋体"/>
                <w:b w:val="0"/>
                <w:i w:val="0"/>
                <w:color w:val="000000"/>
                <w:sz w:val="16"/>
              </w:rPr>
              <w:t>51.27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110.55</w:t>
            </w:r>
          </w:p>
        </w:tc>
        <w:tc>
          <w:tcPr>
            <w:tcW w:w="1520" w:type="dxa"/>
            <w:vAlign w:val="center"/>
          </w:tcPr>
          <w:p>
            <w:pPr>
              <w:jc w:val="right"/>
            </w:pPr>
            <w:r>
              <w:rPr>
                <w:rFonts w:ascii="宋体" w:hAnsi="宋体" w:eastAsia="宋体" w:cs="宋体"/>
                <w:b w:val="0"/>
                <w:i w:val="0"/>
                <w:color w:val="000000"/>
                <w:sz w:val="16"/>
              </w:rPr>
              <w:t>110.55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110.55</w:t>
            </w:r>
          </w:p>
        </w:tc>
        <w:tc>
          <w:tcPr>
            <w:tcW w:w="1520" w:type="dxa"/>
            <w:vAlign w:val="center"/>
          </w:tcPr>
          <w:p>
            <w:pPr>
              <w:jc w:val="right"/>
            </w:pPr>
            <w:r>
              <w:rPr>
                <w:rFonts w:ascii="宋体" w:hAnsi="宋体" w:eastAsia="宋体" w:cs="宋体"/>
                <w:b w:val="0"/>
                <w:i w:val="0"/>
                <w:color w:val="000000"/>
                <w:sz w:val="16"/>
              </w:rPr>
              <w:t>110.55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70.09</w:t>
            </w:r>
          </w:p>
        </w:tc>
        <w:tc>
          <w:tcPr>
            <w:tcW w:w="1520" w:type="dxa"/>
            <w:vAlign w:val="center"/>
          </w:tcPr>
          <w:p>
            <w:pPr>
              <w:jc w:val="right"/>
            </w:pPr>
            <w:r>
              <w:rPr>
                <w:rFonts w:ascii="宋体" w:hAnsi="宋体" w:eastAsia="宋体" w:cs="宋体"/>
                <w:b w:val="0"/>
                <w:i w:val="0"/>
                <w:color w:val="000000"/>
                <w:sz w:val="16"/>
              </w:rPr>
              <w:t>70.09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2101102</w:t>
            </w:r>
          </w:p>
        </w:tc>
        <w:tc>
          <w:tcPr>
            <w:tcW w:w="2700" w:type="dxa"/>
            <w:vAlign w:val="center"/>
          </w:tcPr>
          <w:p>
            <w:pPr>
              <w:jc w:val="left"/>
            </w:pPr>
            <w:r>
              <w:rPr>
                <w:rFonts w:ascii="宋体" w:hAnsi="宋体" w:eastAsia="宋体" w:cs="宋体"/>
                <w:b w:val="0"/>
                <w:i w:val="0"/>
                <w:color w:val="000000"/>
                <w:sz w:val="16"/>
              </w:rPr>
              <w:t>事业单位医疗</w:t>
            </w:r>
          </w:p>
        </w:tc>
        <w:tc>
          <w:tcPr>
            <w:tcW w:w="1420" w:type="dxa"/>
            <w:vAlign w:val="center"/>
          </w:tcPr>
          <w:p>
            <w:pPr>
              <w:jc w:val="right"/>
            </w:pPr>
            <w:r>
              <w:rPr>
                <w:rFonts w:ascii="宋体" w:hAnsi="宋体" w:eastAsia="宋体" w:cs="宋体"/>
                <w:b w:val="0"/>
                <w:i w:val="0"/>
                <w:color w:val="000000"/>
                <w:sz w:val="16"/>
              </w:rPr>
              <w:t>5.83</w:t>
            </w:r>
          </w:p>
        </w:tc>
        <w:tc>
          <w:tcPr>
            <w:tcW w:w="1520" w:type="dxa"/>
            <w:vAlign w:val="center"/>
          </w:tcPr>
          <w:p>
            <w:pPr>
              <w:jc w:val="right"/>
            </w:pPr>
            <w:r>
              <w:rPr>
                <w:rFonts w:ascii="宋体" w:hAnsi="宋体" w:eastAsia="宋体" w:cs="宋体"/>
                <w:b w:val="0"/>
                <w:i w:val="0"/>
                <w:color w:val="000000"/>
                <w:sz w:val="16"/>
              </w:rPr>
              <w:t>5.83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34.63</w:t>
            </w:r>
          </w:p>
        </w:tc>
        <w:tc>
          <w:tcPr>
            <w:tcW w:w="1520" w:type="dxa"/>
            <w:vAlign w:val="center"/>
          </w:tcPr>
          <w:p>
            <w:pPr>
              <w:jc w:val="right"/>
            </w:pPr>
            <w:r>
              <w:rPr>
                <w:rFonts w:ascii="宋体" w:hAnsi="宋体" w:eastAsia="宋体" w:cs="宋体"/>
                <w:b w:val="0"/>
                <w:i w:val="0"/>
                <w:color w:val="000000"/>
                <w:sz w:val="16"/>
              </w:rPr>
              <w:t>34.63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215</w:t>
            </w:r>
          </w:p>
        </w:tc>
        <w:tc>
          <w:tcPr>
            <w:tcW w:w="2700" w:type="dxa"/>
            <w:vAlign w:val="center"/>
          </w:tcPr>
          <w:p>
            <w:pPr>
              <w:jc w:val="left"/>
            </w:pPr>
            <w:r>
              <w:rPr>
                <w:rFonts w:ascii="宋体" w:hAnsi="宋体" w:eastAsia="宋体" w:cs="宋体"/>
                <w:b w:val="0"/>
                <w:i w:val="0"/>
                <w:color w:val="000000"/>
                <w:sz w:val="16"/>
              </w:rPr>
              <w:t>资源勘探工业信息等支出</w:t>
            </w:r>
          </w:p>
        </w:tc>
        <w:tc>
          <w:tcPr>
            <w:tcW w:w="1420" w:type="dxa"/>
            <w:vAlign w:val="center"/>
          </w:tcPr>
          <w:p>
            <w:pPr>
              <w:jc w:val="right"/>
            </w:pPr>
            <w:r>
              <w:rPr>
                <w:rFonts w:ascii="宋体" w:hAnsi="宋体" w:eastAsia="宋体" w:cs="宋体"/>
                <w:b w:val="0"/>
                <w:i w:val="0"/>
                <w:color w:val="000000"/>
                <w:sz w:val="16"/>
              </w:rPr>
              <w:t>275.77</w:t>
            </w:r>
          </w:p>
        </w:tc>
        <w:tc>
          <w:tcPr>
            <w:tcW w:w="1520" w:type="dxa"/>
            <w:vAlign w:val="center"/>
          </w:tcPr>
          <w:p>
            <w:pPr>
              <w:jc w:val="right"/>
            </w:pPr>
            <w:r>
              <w:rPr>
                <w:rFonts w:ascii="宋体" w:hAnsi="宋体" w:eastAsia="宋体" w:cs="宋体"/>
                <w:b w:val="0"/>
                <w:i w:val="0"/>
                <w:color w:val="000000"/>
                <w:sz w:val="16"/>
              </w:rPr>
              <w:t>94.30</w:t>
            </w:r>
          </w:p>
        </w:tc>
        <w:tc>
          <w:tcPr>
            <w:tcW w:w="1526" w:type="dxa"/>
            <w:vAlign w:val="center"/>
          </w:tcPr>
          <w:p>
            <w:pPr>
              <w:jc w:val="right"/>
            </w:pPr>
            <w:r>
              <w:rPr>
                <w:rFonts w:ascii="宋体" w:hAnsi="宋体" w:eastAsia="宋体" w:cs="宋体"/>
                <w:b w:val="0"/>
                <w:i w:val="0"/>
                <w:color w:val="000000"/>
                <w:sz w:val="16"/>
              </w:rPr>
              <w:t>181.47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21507</w:t>
            </w:r>
          </w:p>
        </w:tc>
        <w:tc>
          <w:tcPr>
            <w:tcW w:w="2700" w:type="dxa"/>
            <w:vAlign w:val="center"/>
          </w:tcPr>
          <w:p>
            <w:pPr>
              <w:jc w:val="left"/>
            </w:pPr>
            <w:r>
              <w:rPr>
                <w:rFonts w:ascii="宋体" w:hAnsi="宋体" w:eastAsia="宋体" w:cs="宋体"/>
                <w:b w:val="0"/>
                <w:i w:val="0"/>
                <w:color w:val="000000"/>
                <w:sz w:val="16"/>
              </w:rPr>
              <w:t>国有资产监管</w:t>
            </w:r>
          </w:p>
        </w:tc>
        <w:tc>
          <w:tcPr>
            <w:tcW w:w="1420" w:type="dxa"/>
            <w:vAlign w:val="center"/>
          </w:tcPr>
          <w:p>
            <w:pPr>
              <w:jc w:val="right"/>
            </w:pPr>
            <w:r>
              <w:rPr>
                <w:rFonts w:ascii="宋体" w:hAnsi="宋体" w:eastAsia="宋体" w:cs="宋体"/>
                <w:b w:val="0"/>
                <w:i w:val="0"/>
                <w:color w:val="000000"/>
                <w:sz w:val="16"/>
              </w:rPr>
              <w:t>164.51</w:t>
            </w:r>
          </w:p>
        </w:tc>
        <w:tc>
          <w:tcPr>
            <w:tcW w:w="1520" w:type="dxa"/>
            <w:vAlign w:val="center"/>
          </w:tcPr>
          <w:p>
            <w:pPr>
              <w:jc w:val="right"/>
            </w:pPr>
            <w:r>
              <w:rPr>
                <w:rFonts w:ascii="宋体" w:hAnsi="宋体" w:eastAsia="宋体" w:cs="宋体"/>
                <w:b w:val="0"/>
                <w:i w:val="0"/>
                <w:color w:val="000000"/>
                <w:sz w:val="16"/>
              </w:rPr>
              <w:t>94.30</w:t>
            </w:r>
          </w:p>
        </w:tc>
        <w:tc>
          <w:tcPr>
            <w:tcW w:w="1526" w:type="dxa"/>
            <w:vAlign w:val="center"/>
          </w:tcPr>
          <w:p>
            <w:pPr>
              <w:jc w:val="right"/>
            </w:pPr>
            <w:r>
              <w:rPr>
                <w:rFonts w:ascii="宋体" w:hAnsi="宋体" w:eastAsia="宋体" w:cs="宋体"/>
                <w:b w:val="0"/>
                <w:i w:val="0"/>
                <w:color w:val="000000"/>
                <w:sz w:val="16"/>
              </w:rPr>
              <w:t>70.22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2150701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4.05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2150799</w:t>
            </w:r>
          </w:p>
        </w:tc>
        <w:tc>
          <w:tcPr>
            <w:tcW w:w="2700" w:type="dxa"/>
            <w:vAlign w:val="center"/>
          </w:tcPr>
          <w:p>
            <w:pPr>
              <w:jc w:val="left"/>
            </w:pPr>
            <w:r>
              <w:rPr>
                <w:rFonts w:ascii="宋体" w:hAnsi="宋体" w:eastAsia="宋体" w:cs="宋体"/>
                <w:b w:val="0"/>
                <w:i w:val="0"/>
                <w:color w:val="000000"/>
                <w:sz w:val="16"/>
              </w:rPr>
              <w:t>其他国有资产监管支出</w:t>
            </w:r>
          </w:p>
        </w:tc>
        <w:tc>
          <w:tcPr>
            <w:tcW w:w="1420" w:type="dxa"/>
            <w:vAlign w:val="center"/>
          </w:tcPr>
          <w:p>
            <w:pPr>
              <w:jc w:val="right"/>
            </w:pPr>
            <w:r>
              <w:rPr>
                <w:rFonts w:ascii="宋体" w:hAnsi="宋体" w:eastAsia="宋体" w:cs="宋体"/>
                <w:b w:val="0"/>
                <w:i w:val="0"/>
                <w:color w:val="000000"/>
                <w:sz w:val="16"/>
              </w:rPr>
              <w:t>160.46</w:t>
            </w:r>
          </w:p>
        </w:tc>
        <w:tc>
          <w:tcPr>
            <w:tcW w:w="1520" w:type="dxa"/>
            <w:vAlign w:val="center"/>
          </w:tcPr>
          <w:p>
            <w:pPr>
              <w:jc w:val="right"/>
            </w:pPr>
            <w:r>
              <w:rPr>
                <w:rFonts w:ascii="宋体" w:hAnsi="宋体" w:eastAsia="宋体" w:cs="宋体"/>
                <w:b w:val="0"/>
                <w:i w:val="0"/>
                <w:color w:val="000000"/>
                <w:sz w:val="16"/>
              </w:rPr>
              <w:t>94.30</w:t>
            </w:r>
          </w:p>
        </w:tc>
        <w:tc>
          <w:tcPr>
            <w:tcW w:w="1526" w:type="dxa"/>
            <w:vAlign w:val="center"/>
          </w:tcPr>
          <w:p>
            <w:pPr>
              <w:jc w:val="right"/>
            </w:pPr>
            <w:r>
              <w:rPr>
                <w:rFonts w:ascii="宋体" w:hAnsi="宋体" w:eastAsia="宋体" w:cs="宋体"/>
                <w:b w:val="0"/>
                <w:i w:val="0"/>
                <w:color w:val="000000"/>
                <w:sz w:val="16"/>
              </w:rPr>
              <w:t>66.16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21599</w:t>
            </w:r>
          </w:p>
        </w:tc>
        <w:tc>
          <w:tcPr>
            <w:tcW w:w="2700" w:type="dxa"/>
            <w:vAlign w:val="center"/>
          </w:tcPr>
          <w:p>
            <w:pPr>
              <w:jc w:val="left"/>
            </w:pPr>
            <w:r>
              <w:rPr>
                <w:rFonts w:ascii="宋体" w:hAnsi="宋体" w:eastAsia="宋体" w:cs="宋体"/>
                <w:b w:val="0"/>
                <w:i w:val="0"/>
                <w:color w:val="000000"/>
                <w:sz w:val="16"/>
              </w:rPr>
              <w:t>其他资源勘探工业信息等支出</w:t>
            </w:r>
          </w:p>
        </w:tc>
        <w:tc>
          <w:tcPr>
            <w:tcW w:w="1420" w:type="dxa"/>
            <w:vAlign w:val="center"/>
          </w:tcPr>
          <w:p>
            <w:pPr>
              <w:jc w:val="right"/>
            </w:pPr>
            <w:r>
              <w:rPr>
                <w:rFonts w:ascii="宋体" w:hAnsi="宋体" w:eastAsia="宋体" w:cs="宋体"/>
                <w:b w:val="0"/>
                <w:i w:val="0"/>
                <w:color w:val="000000"/>
                <w:sz w:val="16"/>
              </w:rPr>
              <w:t>111.26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111.26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2159999</w:t>
            </w:r>
          </w:p>
        </w:tc>
        <w:tc>
          <w:tcPr>
            <w:tcW w:w="2700" w:type="dxa"/>
            <w:vAlign w:val="center"/>
          </w:tcPr>
          <w:p>
            <w:pPr>
              <w:jc w:val="left"/>
            </w:pPr>
            <w:r>
              <w:rPr>
                <w:rFonts w:ascii="宋体" w:hAnsi="宋体" w:eastAsia="宋体" w:cs="宋体"/>
                <w:b w:val="0"/>
                <w:i w:val="0"/>
                <w:color w:val="000000"/>
                <w:sz w:val="16"/>
              </w:rPr>
              <w:t>其他资源勘探工业信息等支出</w:t>
            </w:r>
          </w:p>
        </w:tc>
        <w:tc>
          <w:tcPr>
            <w:tcW w:w="1420" w:type="dxa"/>
            <w:vAlign w:val="center"/>
          </w:tcPr>
          <w:p>
            <w:pPr>
              <w:jc w:val="right"/>
            </w:pPr>
            <w:r>
              <w:rPr>
                <w:rFonts w:ascii="宋体" w:hAnsi="宋体" w:eastAsia="宋体" w:cs="宋体"/>
                <w:b w:val="0"/>
                <w:i w:val="0"/>
                <w:color w:val="000000"/>
                <w:sz w:val="16"/>
              </w:rPr>
              <w:t>111.26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111.26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127.81</w:t>
            </w:r>
          </w:p>
        </w:tc>
        <w:tc>
          <w:tcPr>
            <w:tcW w:w="1520" w:type="dxa"/>
            <w:vAlign w:val="center"/>
          </w:tcPr>
          <w:p>
            <w:pPr>
              <w:jc w:val="right"/>
            </w:pPr>
            <w:r>
              <w:rPr>
                <w:rFonts w:ascii="宋体" w:hAnsi="宋体" w:eastAsia="宋体" w:cs="宋体"/>
                <w:b w:val="0"/>
                <w:i w:val="0"/>
                <w:color w:val="000000"/>
                <w:sz w:val="16"/>
              </w:rPr>
              <w:t>127.81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127.81</w:t>
            </w:r>
          </w:p>
        </w:tc>
        <w:tc>
          <w:tcPr>
            <w:tcW w:w="1520" w:type="dxa"/>
            <w:vAlign w:val="center"/>
          </w:tcPr>
          <w:p>
            <w:pPr>
              <w:jc w:val="right"/>
            </w:pPr>
            <w:r>
              <w:rPr>
                <w:rFonts w:ascii="宋体" w:hAnsi="宋体" w:eastAsia="宋体" w:cs="宋体"/>
                <w:b w:val="0"/>
                <w:i w:val="0"/>
                <w:color w:val="000000"/>
                <w:sz w:val="16"/>
              </w:rPr>
              <w:t>127.81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127.81</w:t>
            </w:r>
          </w:p>
        </w:tc>
        <w:tc>
          <w:tcPr>
            <w:tcW w:w="1520" w:type="dxa"/>
            <w:vAlign w:val="center"/>
          </w:tcPr>
          <w:p>
            <w:pPr>
              <w:jc w:val="right"/>
            </w:pPr>
            <w:r>
              <w:rPr>
                <w:rFonts w:ascii="宋体" w:hAnsi="宋体" w:eastAsia="宋体" w:cs="宋体"/>
                <w:b w:val="0"/>
                <w:i w:val="0"/>
                <w:color w:val="000000"/>
                <w:sz w:val="16"/>
              </w:rPr>
              <w:t>127.81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rPr>
          <w:rFonts w:hint="eastAsia" w:ascii="黑体" w:hAnsi="宋体" w:eastAsia="黑体" w:cs="黑体"/>
          <w:sz w:val="32"/>
          <w:szCs w:val="32"/>
          <w:lang w:bidi="en-AU"/>
        </w:rPr>
      </w:pPr>
      <w:r>
        <w:rPr>
          <w:sz w:val="8"/>
        </w:rPr>
        <w:t xml:space="preserve"> </w:t>
      </w: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pPr>
            <w:r>
              <w:rPr>
                <w:rFonts w:ascii="宋体" w:hAnsi="宋体" w:eastAsia="宋体" w:cs="宋体"/>
                <w:b w:val="0"/>
                <w:i w:val="0"/>
                <w:color w:val="000000"/>
                <w:sz w:val="9"/>
              </w:rPr>
              <w:t>人员经费</w:t>
            </w:r>
          </w:p>
        </w:tc>
        <w:tc>
          <w:tcPr>
            <w:tcW w:w="540"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1,592.45</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105.59</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552.05</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3.91</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247.02</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37.83</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30.61</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237.34</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pPr>
              <w:jc w:val="right"/>
            </w:pPr>
            <w:r>
              <w:rPr>
                <w:rFonts w:ascii="宋体" w:hAnsi="宋体" w:eastAsia="宋体" w:cs="宋体"/>
                <w:b w:val="0"/>
                <w:i w:val="0"/>
                <w:color w:val="000000"/>
                <w:sz w:val="9"/>
              </w:rPr>
              <w:t>0.03</w:t>
            </w: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pPr>
              <w:jc w:val="right"/>
            </w:pPr>
            <w:r>
              <w:rPr>
                <w:rFonts w:ascii="宋体" w:hAnsi="宋体" w:eastAsia="宋体" w:cs="宋体"/>
                <w:b w:val="0"/>
                <w:i w:val="0"/>
                <w:color w:val="000000"/>
                <w:sz w:val="9"/>
              </w:rPr>
              <w:t>6.84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173.24</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0.86</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5.86</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0.28</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pPr>
              <w:jc w:val="right"/>
            </w:pPr>
            <w:r>
              <w:rPr>
                <w:rFonts w:ascii="宋体" w:hAnsi="宋体" w:eastAsia="宋体" w:cs="宋体"/>
                <w:b w:val="0"/>
                <w:i w:val="0"/>
                <w:color w:val="000000"/>
                <w:sz w:val="9"/>
              </w:rPr>
              <w:t>6.84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76.29</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34.63</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50.90</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0.42</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127.81</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pPr>
              <w:jc w:val="right"/>
            </w:pPr>
            <w:r>
              <w:rPr>
                <w:rFonts w:ascii="宋体" w:hAnsi="宋体" w:eastAsia="宋体" w:cs="宋体"/>
                <w:b w:val="0"/>
                <w:i w:val="0"/>
                <w:color w:val="000000"/>
                <w:sz w:val="9"/>
              </w:rPr>
              <w:t>30.61</w:t>
            </w: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18.87</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34.02</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23.71</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pPr>
              <w:jc w:val="right"/>
            </w:pPr>
            <w:r>
              <w:rPr>
                <w:rFonts w:ascii="宋体" w:hAnsi="宋体" w:eastAsia="宋体" w:cs="宋体"/>
                <w:b w:val="0"/>
                <w:i w:val="0"/>
                <w:color w:val="000000"/>
                <w:sz w:val="9"/>
              </w:rPr>
              <w:t>25.52</w:t>
            </w: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8.50</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pPr>
              <w:jc w:val="right"/>
            </w:pPr>
            <w:r>
              <w:rPr>
                <w:rFonts w:ascii="宋体" w:hAnsi="宋体" w:eastAsia="宋体" w:cs="宋体"/>
                <w:b w:val="0"/>
                <w:i w:val="0"/>
                <w:color w:val="000000"/>
                <w:sz w:val="9"/>
              </w:rPr>
              <w:t>0.15</w:t>
            </w: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4.81</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32.46</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8.35</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1,626.47</w:t>
            </w:r>
          </w:p>
        </w:tc>
        <w:tc>
          <w:tcPr>
            <w:tcW w:w="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112.42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94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部门：兴国县财政局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123.00</w:t>
            </w:r>
          </w:p>
        </w:tc>
        <w:tc>
          <w:tcPr>
            <w:tcW w:w="1460" w:type="dxa"/>
            <w:vAlign w:val="center"/>
          </w:tcPr>
          <w:p>
            <w:pPr>
              <w:jc w:val="right"/>
            </w:pPr>
            <w:r>
              <w:rPr>
                <w:rFonts w:ascii="宋体" w:hAnsi="宋体" w:eastAsia="宋体" w:cs="宋体"/>
                <w:b w:val="0"/>
                <w:i w:val="0"/>
                <w:color w:val="000000"/>
                <w:sz w:val="16"/>
              </w:rPr>
              <w:t>176.70</w:t>
            </w:r>
          </w:p>
        </w:tc>
        <w:tc>
          <w:tcPr>
            <w:tcW w:w="1586" w:type="dxa"/>
            <w:vAlign w:val="center"/>
          </w:tcPr>
          <w:p>
            <w:pPr>
              <w:jc w:val="right"/>
            </w:pPr>
            <w:r>
              <w:rPr>
                <w:rFonts w:ascii="宋体" w:hAnsi="宋体" w:eastAsia="宋体" w:cs="宋体"/>
                <w:b w:val="0"/>
                <w:i w:val="0"/>
                <w:color w:val="000000"/>
                <w:sz w:val="17"/>
              </w:rPr>
              <w:t>58.89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123.00</w:t>
            </w:r>
          </w:p>
        </w:tc>
        <w:tc>
          <w:tcPr>
            <w:tcW w:w="1460" w:type="dxa"/>
            <w:vAlign w:val="center"/>
          </w:tcPr>
          <w:p>
            <w:pPr>
              <w:jc w:val="right"/>
            </w:pPr>
            <w:r>
              <w:rPr>
                <w:rFonts w:ascii="宋体" w:hAnsi="宋体" w:eastAsia="宋体" w:cs="宋体"/>
                <w:b w:val="0"/>
                <w:i w:val="0"/>
                <w:color w:val="000000"/>
                <w:sz w:val="16"/>
              </w:rPr>
              <w:t>176.70</w:t>
            </w:r>
          </w:p>
        </w:tc>
        <w:tc>
          <w:tcPr>
            <w:tcW w:w="1586" w:type="dxa"/>
            <w:vAlign w:val="center"/>
          </w:tcPr>
          <w:p>
            <w:pPr>
              <w:jc w:val="right"/>
            </w:pPr>
            <w:r>
              <w:rPr>
                <w:rFonts w:ascii="宋体" w:hAnsi="宋体" w:eastAsia="宋体" w:cs="宋体"/>
                <w:b w:val="0"/>
                <w:i w:val="0"/>
                <w:color w:val="000000"/>
                <w:sz w:val="17"/>
              </w:rPr>
              <w:t>58.89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58.89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3,134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ascii="宋体" w:hAnsi="宋体" w:eastAsia="宋体" w:cs="宋体"/>
                <w:sz w:val="20"/>
              </w:rPr>
              <w:t>部门：</w:t>
            </w:r>
            <w:r>
              <w:rPr>
                <w:rFonts w:hint="eastAsia" w:ascii="宋体" w:hAnsi="宋体" w:eastAsia="宋体" w:cs="宋体"/>
                <w:b w:val="0"/>
                <w:i w:val="0"/>
                <w:color w:val="000000"/>
                <w:sz w:val="20"/>
              </w:rPr>
              <w:t>兴国县财政局</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本部门2023年度收入总计4745.19万元，其中年初结转和结余0.00万元，与上年持平；使用非财政拨款结余和专用结余0.00万元，与上年持平；本年收入合计4745.19万元，比上年减少9317.58万元，下降66.26%，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2023年度兴国县国有资产服务中心未列3P项目支出预算</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本年收入的具体构成：财政拨款收入4594.74万元，占96.83%；事业收入0.00万元，占0.00%；经营收入0.00万元，占0.00%；上级补助收入0.00万元，占0.00%；附属单位上缴收入0.00万元，占0.00%；其他收入150.45万元，占3.17%。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本部门2023年度支出总计4745.19万元，其中本年支出合计4691.61万元，比上年减少9371.16万元，下降66.64%，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2023年度兴国县国有资产服务中心未列3P项目支出预算</w:t>
      </w:r>
      <w:r>
        <w:rPr>
          <w:rFonts w:hint="eastAsia" w:ascii="仿宋_GB2312" w:hAnsi="仿宋_GB2312" w:eastAsia="仿宋_GB2312"/>
          <w:sz w:val="32"/>
          <w:szCs w:val="32"/>
        </w:rPr>
        <w:t>；结余分配0.00万元，与上年持平；年末结转和结余53.58万元，比上年增加53.58万元，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个别项目未按年初预算支付到位</w:t>
      </w: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本年支出的具体构成：基本支出1738.89万元，占37.06%；项目支出2952.72万元，占62.94%；经营支出0.00万元，占0.00%；上缴上级支出0.00万元，占0.00%；对附属单位补助支出0.00万元，占0.00%。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本部门2023年度财政拨款本年支出年初预算数2648.71万元，决算数4594.74万元，完成年初预算的173.47%。其中：</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（一）一般公共服务支出（类）年初预算数2187.04万元，决算数3813.31万元，完成年初预算的174.36%。预决算差异主要原因：</w:t>
      </w:r>
      <w:r>
        <w:rPr>
          <w:rFonts w:hint="eastAsia" w:ascii="仿宋_GB2312" w:hAnsi="仿宋_GB2312" w:eastAsia="仿宋_GB2312" w:cs="Times New Roman"/>
          <w:sz w:val="32"/>
          <w:szCs w:val="32"/>
          <w:lang w:val="en-US" w:eastAsia="zh-CN"/>
        </w:rPr>
        <w:t>包含财政公共服务人员，工资、住房公积金调标和社保补缴</w:t>
      </w:r>
      <w:r>
        <w:rPr>
          <w:rFonts w:hint="eastAsia" w:ascii="仿宋_GB2312" w:hAnsi="仿宋_GB2312" w:eastAsia="仿宋_GB2312" w:cs="Times New Roman"/>
          <w:sz w:val="32"/>
          <w:szCs w:val="32"/>
        </w:rPr>
        <w:t xml:space="preserve">。 </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）社会保障和就业支出（类）年初预算数53.90万元，决算数267.30万元，完成年初预算的495.95%。预决算差异主要原因：</w:t>
      </w:r>
      <w:r>
        <w:rPr>
          <w:rFonts w:hint="eastAsia" w:ascii="仿宋_GB2312" w:hAnsi="仿宋_GB2312" w:eastAsia="仿宋_GB2312"/>
          <w:sz w:val="32"/>
          <w:szCs w:val="32"/>
          <w:lang w:val="en-US" w:eastAsia="zh-CN"/>
        </w:rPr>
        <w:t>包含财政公共服中心人员，社保补缴</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）卫生健康支出（类）年初预算数67.89万元，决算数110.55万元，完成年初预算的162.83%。预决算差异主要原因：</w:t>
      </w:r>
      <w:r>
        <w:rPr>
          <w:rFonts w:hint="eastAsia" w:ascii="仿宋_GB2312" w:hAnsi="仿宋_GB2312" w:eastAsia="仿宋_GB2312"/>
          <w:sz w:val="32"/>
          <w:szCs w:val="32"/>
          <w:lang w:val="en-US" w:eastAsia="zh-CN"/>
        </w:rPr>
        <w:t>包含财政公共服中心人员，医保调标和补缴</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（四）资源勘探工业信息等支出（类）年初预算数302.10万元，决算数275.77万元，完成年初预算的91.29%。预决算差异主要原因：</w:t>
      </w:r>
      <w:r>
        <w:rPr>
          <w:rFonts w:hint="eastAsia" w:ascii="仿宋_GB2312" w:hAnsi="仿宋_GB2312" w:eastAsia="仿宋_GB2312"/>
          <w:sz w:val="32"/>
          <w:szCs w:val="32"/>
          <w:lang w:val="en-US" w:eastAsia="zh-CN"/>
        </w:rPr>
        <w:t>落实过紧日子要求，压缩一般性支出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）住房保障支出（类）年初预算数37.79万元，决算数127.81万元，完成年初预算的338.25%。预决算差异主要原因：</w:t>
      </w:r>
      <w:r>
        <w:rPr>
          <w:rFonts w:hint="eastAsia" w:ascii="仿宋_GB2312" w:hAnsi="仿宋_GB2312" w:eastAsia="仿宋_GB2312"/>
          <w:sz w:val="32"/>
          <w:szCs w:val="32"/>
          <w:lang w:val="en-US" w:eastAsia="zh-CN"/>
        </w:rPr>
        <w:t>包含财政公共服中心人员，住房公积金调标</w:t>
      </w:r>
      <w:r>
        <w:rPr>
          <w:rFonts w:hint="eastAsia" w:ascii="仿宋_GB2312" w:hAnsi="仿宋_GB2312" w:eastAsia="仿宋_GB2312"/>
          <w:sz w:val="32"/>
          <w:szCs w:val="32"/>
        </w:rPr>
        <w:t>。</w:t>
      </w:r>
    </w:p>
    <w:p>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本部门2023年度一般公共预算财政拨款基本支出1738.89万元，其中：</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（一）工资福利支出1592.45万元，比上年增加234.57万元</w:t>
      </w:r>
      <w:r>
        <w:rPr>
          <w:rFonts w:hint="eastAsia" w:ascii="仿宋_GB2312" w:hAnsi="仿宋_GB2312" w:eastAsia="仿宋_GB2312" w:cs="Times New Roman"/>
          <w:sz w:val="32"/>
          <w:szCs w:val="32"/>
        </w:rPr>
        <w:t>，增长17.27%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工资调标</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（二）商品和服务支出105.59万元，比上年减少304.52万元，下降74.25%，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落实过紧日子要求，压缩一般性支出</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（三）对个人和家庭补助支出34.02万元，比上年增加29.85万元</w:t>
      </w:r>
      <w:r>
        <w:rPr>
          <w:rFonts w:hint="eastAsia" w:ascii="仿宋_GB2312" w:hAnsi="仿宋_GB2312" w:eastAsia="仿宋_GB2312" w:cs="Times New Roman"/>
          <w:sz w:val="32"/>
          <w:szCs w:val="32"/>
        </w:rPr>
        <w:t>，增长715.51%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抚恤金支出增加</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（四）资本性支出6.84万元，比上年增加6.84万元，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2023年发生办公设备购置6.84万元</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本部门2023年度财政拨款“三公”经费支出全年预算数176.70万元，决算数58.89万元，完成全年预算的33.33%</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决算数比上年减少0.09万元，下降0.16%，其中：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2023年无因公出国（境）</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2023年无因公出国（境）</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auto"/>
          <w:sz w:val="32"/>
          <w:szCs w:val="32"/>
          <w:lang w:val="en-US" w:eastAsia="zh-CN"/>
        </w:rPr>
        <w:t>2023年无因公出国（境）</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2023年无公务用车购置</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2023年无公务用车购置</w:t>
      </w:r>
      <w:r>
        <w:rPr>
          <w:rFonts w:hint="eastAsia" w:ascii="仿宋_GB2312" w:hAnsi="仿宋_GB2312" w:eastAsia="仿宋_GB2312"/>
          <w:sz w:val="32"/>
          <w:szCs w:val="32"/>
        </w:rPr>
        <w:t>。全年使用财政拨款购置公务用车0辆。</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无公务用车</w:t>
      </w:r>
      <w:r>
        <w:rPr>
          <w:rFonts w:hint="eastAsia" w:ascii="仿宋_GB2312" w:hAnsi="仿宋_GB2312" w:eastAsia="仿宋_GB2312"/>
          <w:color w:val="auto"/>
          <w:sz w:val="32"/>
          <w:szCs w:val="32"/>
        </w:rPr>
        <w:t>。年末使用财政拨款负担费用的公务用车保有量0辆。</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（三）公务接待费全年预算数176.70万元，决算数58.89万元，完成全年预算的33.33%，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严格控制公务接待次数和标准</w:t>
      </w:r>
      <w:r>
        <w:rPr>
          <w:rFonts w:hint="eastAsia" w:ascii="仿宋_GB2312" w:hAnsi="仿宋_GB2312" w:eastAsia="仿宋_GB2312"/>
          <w:color w:val="auto"/>
          <w:sz w:val="32"/>
          <w:szCs w:val="32"/>
        </w:rPr>
        <w:t>。决算数比上年减少0.09万元，下降0.16%,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严格控制公务接待次数和标准</w:t>
      </w:r>
      <w:r>
        <w:rPr>
          <w:rFonts w:hint="eastAsia" w:ascii="仿宋_GB2312" w:hAnsi="仿宋_GB2312" w:eastAsia="仿宋_GB2312"/>
          <w:color w:val="auto"/>
          <w:sz w:val="32"/>
          <w:szCs w:val="32"/>
        </w:rPr>
        <w:t>。全年国内公务接待430批，累计接待3134人次，主要是：</w:t>
      </w:r>
      <w:r>
        <w:rPr>
          <w:rFonts w:hint="eastAsia" w:ascii="仿宋_GB2312" w:hAnsi="仿宋_GB2312" w:eastAsia="仿宋_GB2312"/>
          <w:color w:val="auto"/>
          <w:sz w:val="32"/>
          <w:szCs w:val="32"/>
          <w:lang w:val="en-US" w:eastAsia="zh-CN"/>
        </w:rPr>
        <w:t>严格控制公务接待次数和标准</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本部门2023年度机关运行经费支出100.54万元，决算数比上年增加2.33万元</w:t>
      </w:r>
      <w:r>
        <w:rPr>
          <w:rFonts w:hint="eastAsia" w:ascii="仿宋_GB2312" w:hAnsi="仿宋_GB2312" w:eastAsia="仿宋_GB2312" w:cs="Times New Roman"/>
          <w:sz w:val="32"/>
          <w:szCs w:val="32"/>
        </w:rPr>
        <w:t>，增长2.37%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落实过紧日子要求，压缩一般性支出</w:t>
      </w:r>
      <w:r>
        <w:rPr>
          <w:rFonts w:hint="eastAsia" w:ascii="仿宋_GB2312" w:hAnsi="仿宋_GB2312" w:eastAsia="仿宋_GB2312"/>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8"/>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本部门2023年度政府采购支出总额91.34万元，其中：政府采购货物支出0.00万元、政府采购工程支出0.00万元、政府采购服务支出91.34万元。授予中小企业合同金额</w:t>
      </w:r>
      <w:r>
        <w:rPr>
          <w:rFonts w:hint="eastAsia" w:ascii="仿宋_GB2312" w:hAnsi="仿宋_GB2312" w:eastAsia="仿宋_GB2312"/>
          <w:kern w:val="2"/>
          <w:sz w:val="32"/>
          <w:szCs w:val="32"/>
          <w:lang w:val="en-US" w:eastAsia="zh-CN"/>
        </w:rPr>
        <w:t>76.52</w:t>
      </w:r>
      <w:r>
        <w:rPr>
          <w:rFonts w:hint="eastAsia" w:ascii="仿宋_GB2312" w:hAnsi="仿宋_GB2312" w:eastAsia="仿宋_GB2312"/>
          <w:kern w:val="2"/>
          <w:sz w:val="32"/>
          <w:szCs w:val="32"/>
        </w:rPr>
        <w:t>万元，占政府采购支出总额的</w:t>
      </w:r>
      <w:r>
        <w:rPr>
          <w:rFonts w:hint="eastAsia" w:ascii="仿宋_GB2312" w:hAnsi="仿宋_GB2312" w:eastAsia="仿宋_GB2312"/>
          <w:kern w:val="2"/>
          <w:sz w:val="32"/>
          <w:szCs w:val="32"/>
          <w:lang w:val="en-US" w:eastAsia="zh-CN"/>
        </w:rPr>
        <w:t>83.77</w:t>
      </w:r>
      <w:r>
        <w:rPr>
          <w:rFonts w:hint="eastAsia" w:ascii="仿宋_GB2312" w:hAnsi="仿宋_GB2312" w:eastAsia="仿宋_GB2312"/>
          <w:kern w:val="2"/>
          <w:sz w:val="32"/>
          <w:szCs w:val="32"/>
        </w:rPr>
        <w:t>%，其中：授予小微企业合同金额</w:t>
      </w:r>
      <w:r>
        <w:rPr>
          <w:rFonts w:hint="eastAsia" w:ascii="仿宋_GB2312" w:hAnsi="仿宋_GB2312" w:eastAsia="仿宋_GB2312"/>
          <w:kern w:val="2"/>
          <w:sz w:val="32"/>
          <w:szCs w:val="32"/>
          <w:lang w:val="en-US" w:eastAsia="zh-CN"/>
        </w:rPr>
        <w:t>51.23</w:t>
      </w:r>
      <w:r>
        <w:rPr>
          <w:rFonts w:hint="eastAsia" w:ascii="仿宋_GB2312" w:hAnsi="仿宋_GB2312" w:eastAsia="仿宋_GB2312"/>
          <w:kern w:val="2"/>
          <w:sz w:val="32"/>
          <w:szCs w:val="32"/>
        </w:rPr>
        <w:t>万元，占授予中小企业合同金额的</w:t>
      </w:r>
      <w:r>
        <w:rPr>
          <w:rFonts w:hint="eastAsia" w:ascii="仿宋_GB2312" w:hAnsi="仿宋_GB2312" w:eastAsia="仿宋_GB2312"/>
          <w:kern w:val="2"/>
          <w:sz w:val="32"/>
          <w:szCs w:val="32"/>
          <w:lang w:val="en-US" w:eastAsia="zh-CN"/>
        </w:rPr>
        <w:t>66.95</w:t>
      </w:r>
      <w:r>
        <w:rPr>
          <w:rFonts w:hint="eastAsia" w:ascii="仿宋_GB2312" w:hAnsi="仿宋_GB2312" w:eastAsia="仿宋_GB2312"/>
          <w:kern w:val="2"/>
          <w:sz w:val="32"/>
          <w:szCs w:val="32"/>
        </w:rPr>
        <w:t>%。</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83.77</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spacing w:line="600" w:lineRule="exact"/>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根据预算绩效管理要求，我部门组织对</w:t>
      </w:r>
      <w:r>
        <w:rPr>
          <w:rFonts w:hint="eastAsia" w:ascii="仿宋_GB2312" w:hAnsi="仿宋_GB2312" w:eastAsia="仿宋_GB2312" w:cs="Times New Roman"/>
          <w:kern w:val="0"/>
          <w:sz w:val="32"/>
          <w:szCs w:val="32"/>
          <w:lang w:val="en-US" w:eastAsia="zh-CN"/>
        </w:rPr>
        <w:t>纳入</w:t>
      </w:r>
      <w:r>
        <w:rPr>
          <w:rFonts w:hint="eastAsia" w:ascii="仿宋_GB2312" w:hAnsi="仿宋_GB2312" w:eastAsia="仿宋_GB2312" w:cs="Times New Roman"/>
          <w:kern w:val="0"/>
          <w:sz w:val="32"/>
          <w:szCs w:val="32"/>
        </w:rPr>
        <w:t>202</w:t>
      </w:r>
      <w:r>
        <w:rPr>
          <w:rFonts w:hint="eastAsia" w:ascii="仿宋_GB2312" w:hAnsi="仿宋_GB2312" w:eastAsia="仿宋_GB2312" w:cs="Times New Roman"/>
          <w:kern w:val="0"/>
          <w:sz w:val="32"/>
          <w:szCs w:val="32"/>
          <w:lang w:val="en-US" w:eastAsia="zh-CN"/>
        </w:rPr>
        <w:t>3</w:t>
      </w:r>
      <w:r>
        <w:rPr>
          <w:rFonts w:hint="eastAsia" w:ascii="仿宋_GB2312" w:hAnsi="仿宋_GB2312" w:eastAsia="仿宋_GB2312" w:cs="Times New Roman"/>
          <w:kern w:val="0"/>
          <w:sz w:val="32"/>
          <w:szCs w:val="32"/>
        </w:rPr>
        <w:t>年度</w:t>
      </w:r>
      <w:r>
        <w:rPr>
          <w:rFonts w:hint="eastAsia" w:ascii="仿宋_GB2312" w:hAnsi="仿宋_GB2312" w:eastAsia="仿宋_GB2312" w:cs="Times New Roman"/>
          <w:kern w:val="0"/>
          <w:sz w:val="32"/>
          <w:szCs w:val="32"/>
          <w:lang w:val="en-US" w:eastAsia="zh-CN"/>
        </w:rPr>
        <w:t>部门预算范围的二级项目20个</w:t>
      </w:r>
      <w:r>
        <w:rPr>
          <w:rFonts w:hint="eastAsia" w:ascii="仿宋_GB2312" w:hAnsi="仿宋_GB2312" w:eastAsia="仿宋_GB2312" w:cs="Times New Roman"/>
          <w:kern w:val="0"/>
          <w:sz w:val="32"/>
          <w:szCs w:val="32"/>
        </w:rPr>
        <w:t>全面开展绩效自评，共涉及资金</w:t>
      </w:r>
      <w:r>
        <w:rPr>
          <w:rFonts w:hint="eastAsia" w:ascii="仿宋_GB2312" w:hAnsi="仿宋_GB2312" w:eastAsia="仿宋_GB2312" w:cs="Times New Roman"/>
          <w:kern w:val="0"/>
          <w:sz w:val="32"/>
          <w:szCs w:val="32"/>
          <w:lang w:val="en-US" w:eastAsia="zh-CN"/>
        </w:rPr>
        <w:t xml:space="preserve"> 3395.30</w:t>
      </w:r>
      <w:r>
        <w:rPr>
          <w:rFonts w:hint="eastAsia" w:ascii="仿宋_GB2312" w:hAnsi="仿宋_GB2312" w:eastAsia="仿宋_GB2312" w:cs="Times New Roman"/>
          <w:kern w:val="0"/>
          <w:sz w:val="32"/>
          <w:szCs w:val="32"/>
        </w:rPr>
        <w:t>万元，占项目支出总额的</w:t>
      </w:r>
      <w:r>
        <w:rPr>
          <w:rFonts w:hint="eastAsia" w:ascii="仿宋_GB2312" w:hAnsi="仿宋_GB2312" w:eastAsia="仿宋_GB2312" w:cs="Times New Roman"/>
          <w:kern w:val="0"/>
          <w:sz w:val="32"/>
          <w:szCs w:val="32"/>
          <w:lang w:val="en-US" w:eastAsia="zh-CN"/>
        </w:rPr>
        <w:t>100</w:t>
      </w:r>
      <w:r>
        <w:rPr>
          <w:rFonts w:hint="eastAsia" w:ascii="仿宋_GB2312" w:hAnsi="仿宋_GB2312" w:eastAsia="仿宋_GB2312" w:cs="Times New Roman"/>
          <w:kern w:val="0"/>
          <w:sz w:val="32"/>
          <w:szCs w:val="32"/>
        </w:rPr>
        <w:t xml:space="preserve">%。    </w:t>
      </w:r>
    </w:p>
    <w:p>
      <w:pPr>
        <w:pStyle w:val="2"/>
        <w:spacing w:before="222" w:line="346" w:lineRule="auto"/>
        <w:ind w:left="12" w:right="1" w:firstLine="633"/>
        <w:rPr>
          <w:rFonts w:hint="default" w:ascii="仿宋" w:hAnsi="仿宋" w:eastAsia="仿宋" w:cs="仿宋"/>
          <w:kern w:val="2"/>
          <w:sz w:val="32"/>
          <w:szCs w:val="32"/>
          <w:lang w:val="en-US" w:eastAsia="en-US" w:bidi="ar-SA"/>
        </w:rPr>
      </w:pPr>
      <w:r>
        <w:rPr>
          <w:rFonts w:hint="eastAsia" w:ascii="仿宋_GB2312" w:hAnsi="仿宋_GB2312" w:eastAsia="仿宋_GB2312" w:cs="Times New Roman"/>
          <w:kern w:val="0"/>
          <w:sz w:val="32"/>
          <w:szCs w:val="32"/>
        </w:rPr>
        <w:t>组织对“</w:t>
      </w:r>
      <w:r>
        <w:rPr>
          <w:rFonts w:hint="eastAsia" w:ascii="仿宋_GB2312" w:hAnsi="仿宋_GB2312" w:eastAsia="仿宋_GB2312" w:cs="Times New Roman"/>
          <w:kern w:val="0"/>
          <w:sz w:val="32"/>
          <w:szCs w:val="32"/>
          <w:lang w:val="en-US" w:eastAsia="zh-CN"/>
        </w:rPr>
        <w:t>政府投资评审购买服务</w:t>
      </w:r>
      <w:r>
        <w:rPr>
          <w:rFonts w:hint="eastAsia" w:ascii="仿宋_GB2312" w:hAnsi="仿宋_GB2312" w:eastAsia="仿宋_GB2312" w:cs="Times New Roman"/>
          <w:kern w:val="0"/>
          <w:sz w:val="32"/>
          <w:szCs w:val="32"/>
        </w:rPr>
        <w:t>”、“</w:t>
      </w:r>
      <w:r>
        <w:rPr>
          <w:rFonts w:hint="eastAsia" w:ascii="仿宋_GB2312" w:hAnsi="仿宋_GB2312" w:eastAsia="仿宋_GB2312" w:cs="Times New Roman"/>
          <w:kern w:val="0"/>
          <w:sz w:val="32"/>
          <w:szCs w:val="32"/>
          <w:lang w:val="en-US" w:eastAsia="zh-CN"/>
        </w:rPr>
        <w:t>预算绩效管理政府购买服务</w:t>
      </w:r>
      <w:r>
        <w:rPr>
          <w:rFonts w:hint="eastAsia" w:ascii="仿宋_GB2312" w:hAnsi="仿宋_GB2312" w:eastAsia="仿宋_GB2312" w:cs="Times New Roman"/>
          <w:kern w:val="0"/>
          <w:sz w:val="32"/>
          <w:szCs w:val="32"/>
        </w:rPr>
        <w:t>”等</w:t>
      </w:r>
      <w:r>
        <w:rPr>
          <w:rFonts w:hint="eastAsia" w:ascii="仿宋_GB2312" w:hAnsi="仿宋_GB2312" w:eastAsia="仿宋_GB2312" w:cs="Times New Roman"/>
          <w:kern w:val="0"/>
          <w:sz w:val="32"/>
          <w:szCs w:val="32"/>
          <w:lang w:val="en-US" w:eastAsia="zh-CN"/>
        </w:rPr>
        <w:t xml:space="preserve"> 2 </w:t>
      </w:r>
      <w:r>
        <w:rPr>
          <w:rFonts w:hint="eastAsia" w:ascii="仿宋_GB2312" w:hAnsi="仿宋_GB2312" w:eastAsia="仿宋_GB2312" w:cs="Times New Roman"/>
          <w:kern w:val="0"/>
          <w:sz w:val="32"/>
          <w:szCs w:val="32"/>
        </w:rPr>
        <w:t>个项目开展了部门评价，涉及一般公共预算支出</w:t>
      </w:r>
      <w:r>
        <w:rPr>
          <w:rFonts w:hint="eastAsia" w:ascii="仿宋_GB2312" w:hAnsi="仿宋_GB2312" w:eastAsia="仿宋_GB2312" w:cs="Times New Roman"/>
          <w:kern w:val="0"/>
          <w:sz w:val="32"/>
          <w:szCs w:val="32"/>
          <w:lang w:val="en-US" w:eastAsia="zh-CN"/>
        </w:rPr>
        <w:t>1015</w:t>
      </w:r>
      <w:r>
        <w:rPr>
          <w:rFonts w:hint="eastAsia" w:ascii="仿宋_GB2312" w:hAnsi="仿宋_GB2312" w:eastAsia="仿宋_GB2312" w:cs="Times New Roman"/>
          <w:kern w:val="0"/>
          <w:sz w:val="32"/>
          <w:szCs w:val="32"/>
        </w:rPr>
        <w:t>万元</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lang w:val="en-US" w:eastAsia="zh-CN"/>
        </w:rPr>
        <w:t>政府性基金预算支出 0 万元，国有资本预算支出 0 万元</w:t>
      </w:r>
      <w:r>
        <w:rPr>
          <w:rFonts w:hint="eastAsia" w:ascii="仿宋_GB2312" w:hAnsi="仿宋_GB2312" w:eastAsia="仿宋_GB2312" w:cs="Times New Roman"/>
          <w:kern w:val="0"/>
          <w:sz w:val="32"/>
          <w:szCs w:val="32"/>
        </w:rPr>
        <w:t>。从评价情况来看，</w:t>
      </w:r>
      <w:r>
        <w:rPr>
          <w:rFonts w:hint="eastAsia" w:ascii="仿宋_GB2312" w:hAnsi="仿宋_GB2312" w:eastAsia="仿宋_GB2312" w:cs="Times New Roman"/>
          <w:kern w:val="0"/>
          <w:sz w:val="32"/>
          <w:szCs w:val="32"/>
          <w:lang w:val="en-US" w:eastAsia="zh-CN"/>
        </w:rPr>
        <w:t>政府投资评审购买服务购买服务项目全年完成预算审核项目200个以上，核准工程项目资金1.2亿元以上，项目审核准确率大于96%、完成时效性大于95%；全年政府投资评审支出小于620万元，预算绩效管理政府购买服务项目全年绩效目标管理覆盖率92%</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lang w:val="en-US" w:eastAsia="zh-CN"/>
        </w:rPr>
        <w:t>选取6个重点项目实施重点评价，选取3个重点项目实施重点监控，选取3家单位实施重点评价，重点评价报告质量，评价报告时效性均有较大提升。从评价情况来，</w:t>
      </w:r>
      <w:r>
        <w:t>项目支出绩效管理的重视程</w:t>
      </w:r>
      <w:r>
        <w:rPr>
          <w:rFonts w:ascii="仿宋" w:hAnsi="仿宋" w:eastAsia="仿宋" w:cs="仿宋"/>
          <w:kern w:val="2"/>
          <w:sz w:val="32"/>
          <w:szCs w:val="32"/>
          <w:lang w:val="en-US" w:eastAsia="en-US" w:bidi="ar-SA"/>
        </w:rPr>
        <w:t>度进一步提升，执行和完成情况较好，资金使用比较规范。</w:t>
      </w:r>
    </w:p>
    <w:p>
      <w:pPr>
        <w:spacing w:line="600" w:lineRule="exact"/>
        <w:ind w:firstLine="640" w:firstLineChars="200"/>
        <w:rPr>
          <w:rFonts w:hint="eastAsia" w:ascii="楷体_GB2312" w:hAnsi="楷体_GB2312" w:eastAsia="楷体_GB2312" w:cs="楷体_GB2312"/>
          <w:kern w:val="0"/>
          <w:sz w:val="32"/>
          <w:szCs w:val="32"/>
        </w:rPr>
      </w:pPr>
      <w:r>
        <w:rPr>
          <w:rFonts w:hint="eastAsia" w:ascii="仿宋_GB2312" w:hAnsi="仿宋_GB2312" w:eastAsia="仿宋_GB2312" w:cs="Times New Roman"/>
          <w:kern w:val="0"/>
          <w:sz w:val="32"/>
          <w:szCs w:val="32"/>
        </w:rPr>
        <w:t>组织开展</w:t>
      </w:r>
      <w:r>
        <w:rPr>
          <w:rFonts w:hint="eastAsia" w:ascii="仿宋_GB2312" w:hAnsi="仿宋_GB2312" w:eastAsia="仿宋_GB2312" w:cs="Times New Roman"/>
          <w:kern w:val="0"/>
          <w:sz w:val="32"/>
          <w:szCs w:val="32"/>
          <w:lang w:val="en-US" w:eastAsia="zh-CN"/>
        </w:rPr>
        <w:t>部门整体支出绩效评价</w:t>
      </w:r>
      <w:r>
        <w:rPr>
          <w:rFonts w:hint="eastAsia" w:ascii="仿宋_GB2312" w:hAnsi="仿宋_GB2312" w:eastAsia="仿宋_GB2312" w:cs="Times New Roman"/>
          <w:kern w:val="0"/>
          <w:sz w:val="32"/>
          <w:szCs w:val="32"/>
        </w:rPr>
        <w:t>，涉及一般公共预算支出</w:t>
      </w:r>
      <w:r>
        <w:rPr>
          <w:rFonts w:hint="eastAsia" w:ascii="仿宋_GB2312" w:hAnsi="仿宋_GB2312" w:eastAsia="仿宋_GB2312" w:cs="Times New Roman"/>
          <w:kern w:val="0"/>
          <w:sz w:val="32"/>
          <w:szCs w:val="32"/>
          <w:lang w:val="en-US" w:eastAsia="zh-CN"/>
        </w:rPr>
        <w:t>3395.30</w:t>
      </w:r>
      <w:r>
        <w:rPr>
          <w:rFonts w:hint="eastAsia" w:ascii="仿宋_GB2312" w:hAnsi="仿宋_GB2312" w:eastAsia="仿宋_GB2312" w:cs="Times New Roman"/>
          <w:kern w:val="0"/>
          <w:sz w:val="32"/>
          <w:szCs w:val="32"/>
        </w:rPr>
        <w:t>万元</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lang w:val="en-US" w:eastAsia="zh-CN"/>
        </w:rPr>
        <w:t>政府性基金预算支出 0 万元</w:t>
      </w:r>
      <w:r>
        <w:rPr>
          <w:rFonts w:hint="eastAsia" w:ascii="仿宋_GB2312" w:hAnsi="仿宋_GB2312" w:eastAsia="仿宋_GB2312" w:cs="Times New Roman"/>
          <w:kern w:val="0"/>
          <w:sz w:val="32"/>
          <w:szCs w:val="32"/>
        </w:rPr>
        <w:t>。从评价情况来看，</w:t>
      </w:r>
      <w:r>
        <w:rPr>
          <w:rFonts w:hint="eastAsia" w:ascii="仿宋_GB2312" w:hAnsi="仿宋_GB2312" w:eastAsia="仿宋_GB2312" w:cs="Times New Roman"/>
          <w:kern w:val="0"/>
          <w:sz w:val="32"/>
          <w:szCs w:val="32"/>
          <w:lang w:val="en-US" w:eastAsia="zh-CN"/>
        </w:rPr>
        <w:t>财政收入实现了新跨越，民生支出得到新改善，促进经济取得新成效，财政监督提升新水平，整体支出绩效基本完成年初目标，完成相关绩效指标。</w:t>
      </w:r>
    </w:p>
    <w:p>
      <w:pPr>
        <w:numPr>
          <w:ilvl w:val="0"/>
          <w:numId w:val="1"/>
        </w:numPr>
        <w:autoSpaceDE w:val="0"/>
        <w:autoSpaceDN w:val="0"/>
        <w:adjustRightInd w:val="0"/>
        <w:spacing w:line="600" w:lineRule="exact"/>
        <w:ind w:firstLine="640"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部门决算中项目绩效自评结果。</w:t>
      </w:r>
    </w:p>
    <w:p>
      <w:pPr>
        <w:numPr>
          <w:ilvl w:val="0"/>
          <w:numId w:val="0"/>
        </w:numPr>
        <w:autoSpaceDE w:val="0"/>
        <w:autoSpaceDN w:val="0"/>
        <w:adjustRightInd w:val="0"/>
        <w:spacing w:line="600" w:lineRule="exact"/>
        <w:rPr>
          <w:rFonts w:hint="eastAsia" w:ascii="楷体_GB2312" w:hAnsi="楷体_GB2312" w:eastAsia="楷体_GB2312" w:cs="楷体_GB2312"/>
          <w:kern w:val="0"/>
          <w:sz w:val="32"/>
          <w:szCs w:val="32"/>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pPr>
      <w:r>
        <w:drawing>
          <wp:inline distT="0" distB="0" distL="114300" distR="114300">
            <wp:extent cx="5593715" cy="7388225"/>
            <wp:effectExtent l="0" t="0" r="6985" b="3175"/>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pic:cNvPicPr>
                  </pic:nvPicPr>
                  <pic:blipFill>
                    <a:blip r:embed="rId6"/>
                    <a:stretch>
                      <a:fillRect/>
                    </a:stretch>
                  </pic:blipFill>
                  <pic:spPr>
                    <a:xfrm>
                      <a:off x="0" y="0"/>
                      <a:ext cx="5593715" cy="738822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rPr>
          <w:rFonts w:hint="eastAsia"/>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pPr>
      <w:r>
        <w:drawing>
          <wp:inline distT="0" distB="0" distL="114300" distR="114300">
            <wp:extent cx="5596890" cy="7808595"/>
            <wp:effectExtent l="0" t="0" r="3810" b="1905"/>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pic:cNvPicPr>
                  </pic:nvPicPr>
                  <pic:blipFill>
                    <a:blip r:embed="rId7"/>
                    <a:stretch>
                      <a:fillRect/>
                    </a:stretch>
                  </pic:blipFill>
                  <pic:spPr>
                    <a:xfrm>
                      <a:off x="0" y="0"/>
                      <a:ext cx="5596890" cy="780859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textAlignment w:val="auto"/>
        <w:rPr>
          <w:rFonts w:hint="eastAsia"/>
        </w:rPr>
      </w:pPr>
    </w:p>
    <w:p>
      <w:pPr>
        <w:spacing w:before="143" w:line="598" w:lineRule="exact"/>
        <w:ind w:left="1763"/>
        <w:rPr>
          <w:rFonts w:ascii="宋体" w:hAnsi="宋体" w:eastAsia="宋体" w:cs="宋体"/>
          <w:sz w:val="44"/>
          <w:szCs w:val="44"/>
        </w:rPr>
      </w:pPr>
      <w:r>
        <w:rPr>
          <w:rFonts w:hint="eastAsia" w:ascii="宋体" w:hAnsi="宋体" w:eastAsia="宋体" w:cs="宋体"/>
          <w:spacing w:val="-2"/>
          <w:position w:val="10"/>
          <w:sz w:val="44"/>
          <w:szCs w:val="44"/>
          <w:lang w:val="en-US" w:eastAsia="zh-CN"/>
        </w:rPr>
        <w:t>兴国县财政局</w:t>
      </w:r>
      <w:r>
        <w:rPr>
          <w:rFonts w:ascii="宋体" w:hAnsi="宋体" w:eastAsia="宋体" w:cs="宋体"/>
          <w:spacing w:val="-97"/>
          <w:position w:val="10"/>
          <w:sz w:val="44"/>
          <w:szCs w:val="44"/>
        </w:rPr>
        <w:t xml:space="preserve"> </w:t>
      </w:r>
      <w:r>
        <w:rPr>
          <w:rFonts w:ascii="宋体" w:hAnsi="宋体" w:eastAsia="宋体" w:cs="宋体"/>
          <w:spacing w:val="-2"/>
          <w:position w:val="10"/>
          <w:sz w:val="44"/>
          <w:szCs w:val="44"/>
        </w:rPr>
        <w:t>202</w:t>
      </w:r>
      <w:r>
        <w:rPr>
          <w:rFonts w:hint="eastAsia" w:ascii="宋体" w:hAnsi="宋体" w:cs="宋体"/>
          <w:spacing w:val="-2"/>
          <w:position w:val="10"/>
          <w:sz w:val="44"/>
          <w:szCs w:val="44"/>
          <w:lang w:val="en-US" w:eastAsia="zh-CN"/>
        </w:rPr>
        <w:t>3</w:t>
      </w:r>
      <w:r>
        <w:rPr>
          <w:rFonts w:ascii="宋体" w:hAnsi="宋体" w:eastAsia="宋体" w:cs="宋体"/>
          <w:spacing w:val="-99"/>
          <w:position w:val="10"/>
          <w:sz w:val="44"/>
          <w:szCs w:val="44"/>
        </w:rPr>
        <w:t xml:space="preserve"> </w:t>
      </w:r>
      <w:r>
        <w:rPr>
          <w:rFonts w:ascii="宋体" w:hAnsi="宋体" w:eastAsia="宋体" w:cs="宋体"/>
          <w:spacing w:val="-2"/>
          <w:position w:val="10"/>
          <w:sz w:val="44"/>
          <w:szCs w:val="44"/>
        </w:rPr>
        <w:t>年度部门</w:t>
      </w:r>
    </w:p>
    <w:p>
      <w:pPr>
        <w:spacing w:line="216" w:lineRule="auto"/>
        <w:ind w:left="2653"/>
        <w:rPr>
          <w:rFonts w:ascii="宋体" w:hAnsi="宋体" w:eastAsia="宋体" w:cs="宋体"/>
          <w:sz w:val="44"/>
          <w:szCs w:val="44"/>
        </w:rPr>
      </w:pPr>
      <w:r>
        <w:rPr>
          <w:rFonts w:ascii="宋体" w:hAnsi="宋体" w:eastAsia="宋体" w:cs="宋体"/>
          <w:spacing w:val="-2"/>
          <w:sz w:val="44"/>
          <w:szCs w:val="44"/>
        </w:rPr>
        <w:t>绩效自评总报告</w:t>
      </w:r>
    </w:p>
    <w:p>
      <w:pPr>
        <w:spacing w:line="340" w:lineRule="auto"/>
        <w:rPr>
          <w:rFonts w:ascii="Arial"/>
          <w:sz w:val="21"/>
        </w:rPr>
      </w:pPr>
    </w:p>
    <w:p>
      <w:pPr>
        <w:spacing w:before="104" w:line="221" w:lineRule="auto"/>
        <w:ind w:left="697"/>
        <w:rPr>
          <w:rFonts w:ascii="黑体" w:hAnsi="黑体" w:eastAsia="黑体" w:cs="黑体"/>
          <w:sz w:val="32"/>
          <w:szCs w:val="32"/>
        </w:rPr>
      </w:pPr>
      <w:r>
        <w:rPr>
          <w:rFonts w:ascii="黑体" w:hAnsi="黑体" w:eastAsia="黑体" w:cs="黑体"/>
          <w:spacing w:val="-2"/>
          <w:sz w:val="32"/>
          <w:szCs w:val="32"/>
        </w:rPr>
        <w:t>一、部门项目绩效目标情况</w:t>
      </w:r>
    </w:p>
    <w:p>
      <w:pPr>
        <w:pStyle w:val="2"/>
        <w:spacing w:before="217" w:line="347" w:lineRule="auto"/>
        <w:ind w:right="87" w:firstLine="666"/>
        <w:jc w:val="both"/>
        <w:rPr>
          <w:spacing w:val="2"/>
        </w:rPr>
      </w:pPr>
      <w:r>
        <w:rPr>
          <w:spacing w:val="2"/>
        </w:rPr>
        <w:t>为深入贯彻落实</w:t>
      </w:r>
      <w:r>
        <w:rPr>
          <w:rFonts w:hint="eastAsia"/>
          <w:spacing w:val="2"/>
          <w:lang w:eastAsia="zh-CN"/>
        </w:rPr>
        <w:t>《</w:t>
      </w:r>
      <w:r>
        <w:rPr>
          <w:rFonts w:hint="eastAsia"/>
          <w:spacing w:val="2"/>
          <w:lang w:val="en-US" w:eastAsia="zh-CN"/>
        </w:rPr>
        <w:t>中共兴国县委 兴国县人民政府关于全面实施预算绩效管理的实施意见》（兴发【2020】13号）</w:t>
      </w:r>
      <w:r>
        <w:rPr>
          <w:spacing w:val="2"/>
        </w:rPr>
        <w:t>文件精神，按照</w:t>
      </w:r>
      <w:r>
        <w:rPr>
          <w:rFonts w:hint="eastAsia"/>
          <w:spacing w:val="2"/>
          <w:lang w:val="en-US" w:eastAsia="zh-CN"/>
        </w:rPr>
        <w:t>省厅“</w:t>
      </w:r>
      <w:r>
        <w:rPr>
          <w:spacing w:val="2"/>
        </w:rPr>
        <w:t>以提升财政资金绩效为主线， 以绩效目标实现为导向，以财政支出绩效评价为手段，以评价结果应用为保障”的方针，我</w:t>
      </w:r>
      <w:r>
        <w:rPr>
          <w:rFonts w:hint="eastAsia"/>
          <w:spacing w:val="2"/>
          <w:lang w:val="en-US" w:eastAsia="zh-CN"/>
        </w:rPr>
        <w:t>局</w:t>
      </w:r>
      <w:r>
        <w:rPr>
          <w:spacing w:val="2"/>
        </w:rPr>
        <w:t>高度重视 202</w:t>
      </w:r>
      <w:r>
        <w:rPr>
          <w:rFonts w:hint="eastAsia"/>
          <w:spacing w:val="2"/>
          <w:lang w:val="en-US" w:eastAsia="zh-CN"/>
        </w:rPr>
        <w:t>3</w:t>
      </w:r>
      <w:r>
        <w:rPr>
          <w:spacing w:val="2"/>
        </w:rPr>
        <w:t xml:space="preserve"> 年项目绩效目标管理工作，全面推动预算绩效管理工作制度化、规范化、科学化，要求各</w:t>
      </w:r>
      <w:r>
        <w:rPr>
          <w:rFonts w:hint="eastAsia"/>
          <w:spacing w:val="2"/>
          <w:lang w:val="en-US" w:eastAsia="zh-CN"/>
        </w:rPr>
        <w:t>部门</w:t>
      </w:r>
      <w:r>
        <w:rPr>
          <w:spacing w:val="2"/>
        </w:rPr>
        <w:t>严格按照绩效目标管理要求，认真开展 202</w:t>
      </w:r>
      <w:r>
        <w:rPr>
          <w:rFonts w:hint="eastAsia"/>
          <w:spacing w:val="2"/>
          <w:lang w:val="en-US" w:eastAsia="zh-CN"/>
        </w:rPr>
        <w:t>3</w:t>
      </w:r>
      <w:r>
        <w:rPr>
          <w:spacing w:val="2"/>
        </w:rPr>
        <w:t xml:space="preserve"> 年度财政项目支出绩效自评工作。</w:t>
      </w:r>
      <w:r>
        <w:rPr>
          <w:rFonts w:hint="eastAsia"/>
          <w:spacing w:val="2"/>
        </w:rPr>
        <w:t>202</w:t>
      </w:r>
      <w:r>
        <w:rPr>
          <w:rFonts w:hint="eastAsia"/>
          <w:spacing w:val="2"/>
          <w:lang w:val="en-US" w:eastAsia="zh-CN"/>
        </w:rPr>
        <w:t>3</w:t>
      </w:r>
      <w:r>
        <w:rPr>
          <w:rFonts w:hint="eastAsia"/>
          <w:spacing w:val="2"/>
        </w:rPr>
        <w:t>年度纳入部门绩效自评的项目具</w:t>
      </w:r>
      <w:r>
        <w:rPr>
          <w:rFonts w:hint="eastAsia"/>
          <w:spacing w:val="2"/>
          <w:lang w:val="en-US" w:eastAsia="zh-CN"/>
        </w:rPr>
        <w:t>体包括业务费、征管经费、一事一议工作经费、临聘征管人员经费、国资监管工作业务费、基建项目预算审核政府购买服务费、金财工程运维费、全省视频系统维保经费、办公楼及食堂修缮改造、全市国有资产经营监管平台建设经费、票据电子化管理运维费、信息安全专项经费、预算绩效管理购买服务费、政府采购网上商城维护费、政府投资评审购买服务、政府采购云备案监管系统、预算管理一体化平台运维费、财政公共服务系统维护费、财政公共服务系统设备购置费、财政公共服务机房及档案室升级改造等二级项目20个。</w:t>
      </w:r>
    </w:p>
    <w:p>
      <w:pPr>
        <w:spacing w:before="104" w:line="222" w:lineRule="auto"/>
        <w:ind w:left="647"/>
        <w:rPr>
          <w:rFonts w:ascii="Arial"/>
          <w:sz w:val="21"/>
        </w:rPr>
      </w:pPr>
      <w:r>
        <w:rPr>
          <w:rFonts w:ascii="黑体" w:hAnsi="黑体" w:eastAsia="黑体" w:cs="黑体"/>
          <w:spacing w:val="-2"/>
          <w:sz w:val="32"/>
          <w:szCs w:val="32"/>
        </w:rPr>
        <w:t>二、单位自评工作开展情况</w:t>
      </w:r>
    </w:p>
    <w:p>
      <w:pPr>
        <w:pStyle w:val="2"/>
        <w:spacing w:before="217" w:line="347" w:lineRule="auto"/>
        <w:ind w:right="87" w:firstLine="666"/>
        <w:jc w:val="both"/>
        <w:rPr>
          <w:spacing w:val="2"/>
        </w:rPr>
      </w:pPr>
      <w:r>
        <w:rPr>
          <w:spacing w:val="2"/>
        </w:rPr>
        <w:t>根据</w:t>
      </w:r>
      <w:r>
        <w:rPr>
          <w:rFonts w:hint="eastAsia"/>
          <w:spacing w:val="2"/>
          <w:lang w:eastAsia="zh-CN"/>
        </w:rPr>
        <w:t>《</w:t>
      </w:r>
      <w:r>
        <w:rPr>
          <w:rFonts w:hint="eastAsia"/>
          <w:spacing w:val="2"/>
          <w:lang w:val="en-US" w:eastAsia="zh-CN"/>
        </w:rPr>
        <w:t>中共兴国县委 兴国县人民政府关于全面实施预算绩效管理的实施意见》（兴发【2020】13号）</w:t>
      </w:r>
      <w:r>
        <w:rPr>
          <w:spacing w:val="2"/>
        </w:rPr>
        <w:t>，</w:t>
      </w:r>
      <w:r>
        <w:rPr>
          <w:rFonts w:hint="eastAsia"/>
          <w:spacing w:val="2"/>
          <w:lang w:val="en-US" w:eastAsia="zh-CN"/>
        </w:rPr>
        <w:t>兴国县财政局</w:t>
      </w:r>
      <w:r>
        <w:rPr>
          <w:spacing w:val="2"/>
        </w:rPr>
        <w:t>以财政支出项目绩效评价为重点，采取单位自行评价和主管部门评价相结合的方式，通过审核会计资料、预决算报表，询问</w:t>
      </w:r>
      <w:r>
        <w:rPr>
          <w:rFonts w:hint="eastAsia"/>
          <w:spacing w:val="2"/>
          <w:lang w:eastAsia="zh-CN"/>
        </w:rPr>
        <w:t>、</w:t>
      </w:r>
      <w:r>
        <w:rPr>
          <w:spacing w:val="2"/>
        </w:rPr>
        <w:t>观察和问卷调查、绩效监测等方法对 202</w:t>
      </w:r>
      <w:r>
        <w:rPr>
          <w:rFonts w:hint="eastAsia"/>
          <w:spacing w:val="2"/>
          <w:lang w:val="en-US" w:eastAsia="zh-CN"/>
        </w:rPr>
        <w:t>3</w:t>
      </w:r>
      <w:r>
        <w:rPr>
          <w:spacing w:val="2"/>
        </w:rPr>
        <w:t xml:space="preserve"> 年预算项目进行全面绩效评价。 通过项目自评，202</w:t>
      </w:r>
      <w:r>
        <w:rPr>
          <w:rFonts w:hint="eastAsia"/>
          <w:spacing w:val="2"/>
          <w:lang w:val="en-US" w:eastAsia="zh-CN"/>
        </w:rPr>
        <w:t>3</w:t>
      </w:r>
      <w:r>
        <w:rPr>
          <w:spacing w:val="2"/>
        </w:rPr>
        <w:t>年纳入绩效自评范围项目绩效目标编制合理，资金明细测算相对准确，单位绩效监测成效明显，项目总体执行情况较好， 基本实现既定绩效目标，全面实施了预算项目绩效目标管理。</w:t>
      </w:r>
    </w:p>
    <w:p>
      <w:pPr>
        <w:spacing w:before="104" w:line="222" w:lineRule="auto"/>
        <w:ind w:left="808"/>
        <w:rPr>
          <w:rFonts w:ascii="Arial"/>
          <w:sz w:val="21"/>
        </w:rPr>
      </w:pPr>
      <w:r>
        <w:rPr>
          <w:rFonts w:ascii="黑体" w:hAnsi="黑体" w:eastAsia="黑体" w:cs="黑体"/>
          <w:spacing w:val="-3"/>
          <w:sz w:val="32"/>
          <w:szCs w:val="32"/>
        </w:rPr>
        <w:t>三、综合评价结论</w:t>
      </w:r>
    </w:p>
    <w:p>
      <w:pPr>
        <w:pStyle w:val="2"/>
        <w:spacing w:before="217" w:line="347" w:lineRule="auto"/>
        <w:ind w:right="87" w:firstLine="666"/>
        <w:jc w:val="both"/>
        <w:rPr>
          <w:rFonts w:hint="eastAsia"/>
          <w:spacing w:val="2"/>
          <w:lang w:eastAsia="zh-CN"/>
        </w:rPr>
      </w:pPr>
      <w:r>
        <w:rPr>
          <w:spacing w:val="2"/>
        </w:rPr>
        <w:t>我部门组织对 202</w:t>
      </w:r>
      <w:r>
        <w:rPr>
          <w:rFonts w:hint="eastAsia"/>
          <w:spacing w:val="2"/>
          <w:lang w:val="en-US" w:eastAsia="zh-CN"/>
        </w:rPr>
        <w:t>3</w:t>
      </w:r>
      <w:r>
        <w:rPr>
          <w:spacing w:val="2"/>
        </w:rPr>
        <w:t>年纳入绩效自评范围项目进行自查自 评，在数据准确、资料齐全、佐证充分基础上，认为参与部门 绩效自评项目依据充分、目标明确、程序合理，项目资金基本拨付到位及时，项目实施按计划进行，项目综合自评平均分为：</w:t>
      </w:r>
      <w:r>
        <w:rPr>
          <w:rFonts w:hint="eastAsia"/>
          <w:spacing w:val="2"/>
          <w:lang w:val="en-US" w:eastAsia="zh-CN"/>
        </w:rPr>
        <w:t>90</w:t>
      </w:r>
      <w:r>
        <w:rPr>
          <w:spacing w:val="2"/>
        </w:rPr>
        <w:t>分，评价等级为“ 良”</w:t>
      </w:r>
      <w:r>
        <w:rPr>
          <w:rFonts w:hint="eastAsia"/>
          <w:spacing w:val="2"/>
          <w:lang w:eastAsia="zh-CN"/>
        </w:rPr>
        <w:t>。</w:t>
      </w:r>
    </w:p>
    <w:p>
      <w:pPr>
        <w:spacing w:before="104" w:line="221" w:lineRule="auto"/>
        <w:ind w:firstLine="628" w:firstLineChars="200"/>
        <w:rPr>
          <w:rFonts w:ascii="Arial"/>
          <w:sz w:val="21"/>
        </w:rPr>
      </w:pPr>
      <w:r>
        <w:rPr>
          <w:rFonts w:ascii="黑体" w:hAnsi="黑体" w:eastAsia="黑体" w:cs="黑体"/>
          <w:spacing w:val="-3"/>
          <w:sz w:val="32"/>
          <w:szCs w:val="32"/>
        </w:rPr>
        <w:t>四、绩效目标完成情况总体分析</w:t>
      </w:r>
    </w:p>
    <w:p>
      <w:pPr>
        <w:pStyle w:val="2"/>
        <w:spacing w:before="217" w:line="347" w:lineRule="auto"/>
        <w:ind w:right="87" w:firstLine="666"/>
        <w:jc w:val="both"/>
        <w:rPr>
          <w:spacing w:val="2"/>
        </w:rPr>
      </w:pPr>
      <w:r>
        <w:rPr>
          <w:spacing w:val="2"/>
        </w:rPr>
        <w:t>从本次项目绩效评价情况来看， 202</w:t>
      </w:r>
      <w:r>
        <w:rPr>
          <w:rFonts w:hint="eastAsia"/>
          <w:spacing w:val="2"/>
          <w:lang w:val="en-US" w:eastAsia="zh-CN"/>
        </w:rPr>
        <w:t>3</w:t>
      </w:r>
      <w:r>
        <w:rPr>
          <w:spacing w:val="2"/>
        </w:rPr>
        <w:t xml:space="preserve">年度大部分项目资金能够及时拨付到位，少数项目为年中追加和年末下达项目，执行率较低，其中 </w:t>
      </w:r>
      <w:r>
        <w:rPr>
          <w:rFonts w:hint="eastAsia"/>
          <w:spacing w:val="2"/>
          <w:lang w:val="en-US" w:eastAsia="zh-CN"/>
        </w:rPr>
        <w:t>8</w:t>
      </w:r>
      <w:r>
        <w:rPr>
          <w:spacing w:val="2"/>
        </w:rPr>
        <w:t xml:space="preserve"> 个项目自评得分在 90（含） -100（含）分， 绩效评价结果为</w:t>
      </w:r>
      <w:r>
        <w:rPr>
          <w:rFonts w:hint="eastAsia"/>
          <w:spacing w:val="2"/>
          <w:lang w:eastAsia="zh-CN"/>
        </w:rPr>
        <w:t>“</w:t>
      </w:r>
      <w:r>
        <w:rPr>
          <w:spacing w:val="2"/>
        </w:rPr>
        <w:t>优</w:t>
      </w:r>
      <w:r>
        <w:rPr>
          <w:rFonts w:hint="eastAsia"/>
          <w:spacing w:val="2"/>
          <w:lang w:eastAsia="zh-CN"/>
        </w:rPr>
        <w:t>”</w:t>
      </w:r>
      <w:r>
        <w:rPr>
          <w:spacing w:val="2"/>
        </w:rPr>
        <w:t>；其中 10 个项目自评得分在 80（含）-90 分， 绩效评价结果为</w:t>
      </w:r>
      <w:r>
        <w:rPr>
          <w:rFonts w:hint="eastAsia"/>
          <w:spacing w:val="2"/>
          <w:lang w:eastAsia="zh-CN"/>
        </w:rPr>
        <w:t>“</w:t>
      </w:r>
      <w:r>
        <w:rPr>
          <w:spacing w:val="2"/>
        </w:rPr>
        <w:t>良</w:t>
      </w:r>
      <w:r>
        <w:rPr>
          <w:rFonts w:hint="eastAsia"/>
          <w:spacing w:val="2"/>
          <w:lang w:eastAsia="zh-CN"/>
        </w:rPr>
        <w:t>”</w:t>
      </w:r>
      <w:r>
        <w:rPr>
          <w:spacing w:val="2"/>
        </w:rPr>
        <w:t xml:space="preserve">；其中 </w:t>
      </w:r>
      <w:r>
        <w:rPr>
          <w:rFonts w:hint="eastAsia"/>
          <w:spacing w:val="2"/>
          <w:lang w:val="en-US" w:eastAsia="zh-CN"/>
        </w:rPr>
        <w:t>2</w:t>
      </w:r>
      <w:r>
        <w:rPr>
          <w:spacing w:val="2"/>
        </w:rPr>
        <w:t>个项目自评得分在 60（含）-80 分， 绩效评价结果为</w:t>
      </w:r>
      <w:r>
        <w:rPr>
          <w:rFonts w:hint="eastAsia"/>
          <w:spacing w:val="2"/>
          <w:lang w:eastAsia="zh-CN"/>
        </w:rPr>
        <w:t>“</w:t>
      </w:r>
      <w:r>
        <w:rPr>
          <w:spacing w:val="2"/>
        </w:rPr>
        <w:t>中</w:t>
      </w:r>
      <w:r>
        <w:rPr>
          <w:rFonts w:hint="eastAsia"/>
          <w:spacing w:val="2"/>
          <w:lang w:eastAsia="zh-CN"/>
        </w:rPr>
        <w:t>”</w:t>
      </w:r>
      <w:r>
        <w:rPr>
          <w:spacing w:val="2"/>
        </w:rPr>
        <w:t>。</w:t>
      </w:r>
    </w:p>
    <w:p>
      <w:pPr>
        <w:spacing w:before="104" w:line="221" w:lineRule="auto"/>
        <w:ind w:left="655"/>
        <w:rPr>
          <w:rFonts w:ascii="Arial"/>
          <w:sz w:val="21"/>
        </w:rPr>
      </w:pPr>
      <w:r>
        <w:rPr>
          <w:rFonts w:ascii="黑体" w:hAnsi="黑体" w:eastAsia="黑体" w:cs="黑体"/>
          <w:spacing w:val="-8"/>
          <w:sz w:val="32"/>
          <w:szCs w:val="32"/>
        </w:rPr>
        <w:t>五、</w:t>
      </w:r>
      <w:r>
        <w:rPr>
          <w:rFonts w:ascii="黑体" w:hAnsi="黑体" w:eastAsia="黑体" w:cs="黑体"/>
          <w:spacing w:val="-54"/>
          <w:sz w:val="32"/>
          <w:szCs w:val="32"/>
        </w:rPr>
        <w:t xml:space="preserve"> </w:t>
      </w:r>
      <w:r>
        <w:rPr>
          <w:rFonts w:ascii="黑体" w:hAnsi="黑体" w:eastAsia="黑体" w:cs="黑体"/>
          <w:spacing w:val="-8"/>
          <w:sz w:val="32"/>
          <w:szCs w:val="32"/>
        </w:rPr>
        <w:t>偏离绩效目标的原因和改进措施</w:t>
      </w:r>
    </w:p>
    <w:p>
      <w:pPr>
        <w:spacing w:before="104" w:line="227" w:lineRule="auto"/>
        <w:ind w:left="658"/>
        <w:rPr>
          <w:rFonts w:ascii="楷体" w:hAnsi="楷体" w:eastAsia="楷体" w:cs="楷体"/>
          <w:sz w:val="32"/>
          <w:szCs w:val="32"/>
        </w:rPr>
      </w:pPr>
      <w:r>
        <w:rPr>
          <w:rFonts w:ascii="楷体" w:hAnsi="楷体" w:eastAsia="楷体" w:cs="楷体"/>
          <w:spacing w:val="-6"/>
          <w:sz w:val="32"/>
          <w:szCs w:val="32"/>
        </w:rPr>
        <w:t>（一）偏离绩效目标的原因</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一是预算编制测算还不够精确，编制依据和测算深度缺乏 一定的科学性，实际执行与项目预算绩效存在偏差；</w:t>
      </w:r>
      <w:r>
        <w:rPr>
          <w:rFonts w:hint="eastAsia" w:ascii="仿宋_GB2312" w:hAnsi="仿宋_GB2312" w:eastAsia="仿宋_GB2312"/>
          <w:color w:val="auto"/>
          <w:sz w:val="32"/>
          <w:szCs w:val="32"/>
          <w:lang w:val="en-US" w:eastAsia="zh-CN"/>
        </w:rPr>
        <w:t>二</w:t>
      </w:r>
      <w:r>
        <w:rPr>
          <w:rFonts w:hint="eastAsia" w:ascii="仿宋_GB2312" w:hAnsi="仿宋_GB2312" w:eastAsia="仿宋_GB2312"/>
          <w:color w:val="auto"/>
          <w:sz w:val="32"/>
          <w:szCs w:val="32"/>
        </w:rPr>
        <w:t>是部分项目资金下达时间较晚，项目资金结算时效不佳，存在年底较集中支付或延期至下一年结算现象，有些经常性项目连续两年都出现年末结余结转资金额较大。</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（二）改进措施</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1.进一步科学编制项目资金预算。结合项目目标， 确定资金支出方向和支出重点，科学合理编制项目资金预算， 提</w:t>
      </w:r>
      <w:r>
        <w:rPr>
          <w:rFonts w:hint="eastAsia" w:ascii="仿宋_GB2312" w:hAnsi="仿宋_GB2312" w:eastAsia="仿宋_GB2312"/>
          <w:color w:val="auto"/>
          <w:sz w:val="32"/>
          <w:szCs w:val="32"/>
          <w:lang w:val="en-US" w:eastAsia="zh-CN"/>
        </w:rPr>
        <w:t>高项目</w:t>
      </w:r>
      <w:r>
        <w:rPr>
          <w:rFonts w:hint="eastAsia" w:ascii="仿宋_GB2312" w:hAnsi="仿宋_GB2312" w:eastAsia="仿宋_GB2312"/>
          <w:color w:val="auto"/>
          <w:sz w:val="32"/>
          <w:szCs w:val="32"/>
        </w:rPr>
        <w:t>预算编制的准确性、完整性</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发挥财政资金引领作用。</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2.进一步严格执行预算绩效管理。定期做好绩效监测及财务分析，对预算执行率较低的情况进行预警。加强对绩效管理工作跟踪督查，做到绩效管理规范化、常态化，确保项目绩效目标完成。</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3.进一步提高项目资金执行效率。对于计划进度与实际进度存在较大差异，当年执行进度较慢，预计年底可能形成较多结余结转资金的项目， 及时依程序提出预算调整申请，已经实施尚未完成的跨年项目加大执行推进力度， 压减年末结余资金规模，提高项目资金预算执行率。</w:t>
      </w:r>
    </w:p>
    <w:p>
      <w:pPr>
        <w:spacing w:before="105" w:line="221" w:lineRule="auto"/>
        <w:ind w:left="651"/>
        <w:rPr>
          <w:rFonts w:ascii="Arial"/>
          <w:sz w:val="21"/>
        </w:rPr>
      </w:pPr>
      <w:r>
        <w:rPr>
          <w:rFonts w:ascii="黑体" w:hAnsi="黑体" w:eastAsia="黑体" w:cs="黑体"/>
          <w:spacing w:val="-2"/>
          <w:sz w:val="32"/>
          <w:szCs w:val="32"/>
        </w:rPr>
        <w:t>六、绩效自评结果应用情况</w:t>
      </w:r>
    </w:p>
    <w:p>
      <w:pPr>
        <w:pStyle w:val="2"/>
        <w:spacing w:before="217" w:line="347" w:lineRule="auto"/>
        <w:ind w:right="87" w:firstLine="666"/>
        <w:jc w:val="both"/>
        <w:rPr>
          <w:spacing w:val="2"/>
        </w:rPr>
      </w:pPr>
      <w:r>
        <w:rPr>
          <w:spacing w:val="2"/>
        </w:rPr>
        <w:t>我</w:t>
      </w:r>
      <w:r>
        <w:rPr>
          <w:rFonts w:hint="eastAsia"/>
          <w:spacing w:val="2"/>
          <w:lang w:val="en-US" w:eastAsia="zh-CN"/>
        </w:rPr>
        <w:t>局</w:t>
      </w:r>
      <w:r>
        <w:rPr>
          <w:spacing w:val="2"/>
        </w:rPr>
        <w:t>高度重视项目支出绩效自评结果应用，发挥绩效自评 应有作用。围绕事前绩效评估、绩效目标编审、绩效监控、绩效评价等环节，深入推进全过程绩效结果应用，增强预算绩效 管理约束力。重点突出绩效评价结果应用，实现预算安排和绩 效管理有机衔接，加强财政资金监控，提高项目支出管理水平，完善资金预算分配、使用等环节的管理控制措施，改进预算管理与决策。</w:t>
      </w: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8"/>
        <w:spacing w:line="600" w:lineRule="atLeast"/>
        <w:ind w:firstLine="600"/>
        <w:rPr>
          <w:rFonts w:hint="eastAsia" w:ascii="仿宋_GB2312" w:hAnsi="仿宋_GB2312" w:eastAsia="仿宋_GB2312"/>
          <w:sz w:val="30"/>
          <w:szCs w:val="30"/>
        </w:rPr>
      </w:pPr>
    </w:p>
    <w:p>
      <w:pPr>
        <w:numPr>
          <w:ilvl w:val="0"/>
          <w:numId w:val="2"/>
        </w:num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收入科目</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（一）财政拨款：指</w:t>
      </w:r>
      <w:r>
        <w:rPr>
          <w:rFonts w:hint="eastAsia" w:ascii="仿宋_GB2312" w:hAnsi="仿宋_GB2312" w:eastAsia="仿宋_GB2312" w:cs="仿宋_GB2312"/>
          <w:b w:val="0"/>
          <w:bCs w:val="0"/>
          <w:kern w:val="0"/>
          <w:sz w:val="32"/>
          <w:szCs w:val="32"/>
          <w:lang w:val="en-US" w:eastAsia="zh-CN"/>
        </w:rPr>
        <w:t>本</w:t>
      </w:r>
      <w:r>
        <w:rPr>
          <w:rFonts w:hint="eastAsia" w:ascii="仿宋_GB2312" w:hAnsi="仿宋_GB2312" w:eastAsia="仿宋_GB2312" w:cs="仿宋_GB2312"/>
          <w:b w:val="0"/>
          <w:bCs w:val="0"/>
          <w:kern w:val="0"/>
          <w:sz w:val="32"/>
          <w:szCs w:val="32"/>
        </w:rPr>
        <w:t>级财政当年拨付的资金。</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（二）事业收入：指事业单位开展专业业务活动及辅助活动取得的收入。</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（三）事业单位经营收入： 指事业单位在专业业务活动及辅助活动之外开展非独立核算经营活动取得的收入。</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（四）其他收入：指除财政拨款、事业收入、事业单位经营收入等以外的各项收入。</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（五）附属单位上缴收入： 反映事业单位附属的独立核算 单位按规定标准或比例缴纳的各项收入。包括附属的事业单位上缴的收入和附属的企业上缴的利润等。</w:t>
      </w:r>
    </w:p>
    <w:p>
      <w:pPr>
        <w:ind w:firstLine="600"/>
        <w:rPr>
          <w:rFonts w:hint="eastAsia" w:ascii="黑体" w:hAnsi="黑体" w:eastAsia="黑体" w:cs="Times New Roman"/>
          <w:sz w:val="32"/>
          <w:szCs w:val="32"/>
        </w:rPr>
      </w:pPr>
      <w:r>
        <w:rPr>
          <w:rFonts w:hint="eastAsia" w:ascii="仿宋_GB2312" w:hAnsi="仿宋_GB2312" w:eastAsia="仿宋_GB2312" w:cs="仿宋_GB2312"/>
          <w:b w:val="0"/>
          <w:bCs w:val="0"/>
          <w:kern w:val="0"/>
          <w:sz w:val="32"/>
          <w:szCs w:val="32"/>
        </w:rPr>
        <w:t>（六）上级补助收入： 反映事业单位从主管部门和上级单位取得的非财政补助收入。</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（一）行政运行：反映行政单位（包括参公单位）的基本支出。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（二）一般行政管理事务：反映行政单位（包括参公单位）未单独设置项级科目的其他项目支出。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（三）机关服务：反映为行政单位（包括参公单位） 提供后勤服务的各类后勤服务中心的支出。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（四）预算改革业务： 反映财政部门用于预算改革方面的支出。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（五）信息化建设：反映财政部门用于 “金财工程”等信息化建设方面的支出。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（六）事业运行：反映事业单位的基本支出。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（七）其他财政事务支出： 反映除上述项目以外的其他财政事务方面的支出。</w:t>
      </w:r>
    </w:p>
    <w:p>
      <w:pPr>
        <w:ind w:firstLine="600"/>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八</w:t>
      </w:r>
      <w:r>
        <w:rPr>
          <w:rFonts w:hint="eastAsia" w:ascii="仿宋_GB2312" w:hAnsi="仿宋_GB2312" w:eastAsia="仿宋_GB2312" w:cs="仿宋_GB2312"/>
          <w:b w:val="0"/>
          <w:bCs w:val="0"/>
          <w:kern w:val="0"/>
          <w:sz w:val="32"/>
          <w:szCs w:val="32"/>
        </w:rPr>
        <w:t>）培训支出：反映各部门安排的用于培训的支出。</w:t>
      </w:r>
    </w:p>
    <w:p>
      <w:pPr>
        <w:ind w:firstLine="600"/>
        <w:rPr>
          <w:rFonts w:hint="eastAsia" w:ascii="仿宋_GB2312" w:hAnsi="仿宋_GB2312" w:eastAsia="仿宋_GB2312"/>
          <w:color w:val="FF000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九</w:t>
      </w:r>
      <w:r>
        <w:rPr>
          <w:rFonts w:hint="eastAsia" w:ascii="仿宋_GB2312" w:hAnsi="仿宋_GB2312" w:eastAsia="仿宋_GB2312" w:cs="仿宋_GB2312"/>
          <w:b w:val="0"/>
          <w:bCs w:val="0"/>
          <w:kern w:val="0"/>
          <w:sz w:val="32"/>
          <w:szCs w:val="32"/>
        </w:rPr>
        <w:t>）机关事业单位基本养老保险缴费支出： 反映机关事 业单位实施养老保险制度由单位缴纳的基本养老保险费的支出。</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宋体" w:hAnsi="宋体" w:cs="宋体"/>
          <w:b/>
          <w:bCs/>
          <w:sz w:val="44"/>
          <w:szCs w:val="44"/>
        </w:rPr>
      </w:pPr>
    </w:p>
    <w:p>
      <w:pPr>
        <w:numPr>
          <w:ilvl w:val="0"/>
          <w:numId w:val="3"/>
        </w:num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附    件</w:t>
      </w:r>
    </w:p>
    <w:p>
      <w:pPr>
        <w:numPr>
          <w:ilvl w:val="0"/>
          <w:numId w:val="0"/>
        </w:numPr>
        <w:spacing w:line="600" w:lineRule="exact"/>
        <w:jc w:val="both"/>
        <w:rPr>
          <w:rFonts w:hint="eastAsia" w:ascii="方正小标宋简体" w:hAnsi="方正小标宋简体" w:eastAsia="方正小标宋简体" w:cs="方正小标宋简体"/>
          <w:sz w:val="44"/>
          <w:szCs w:val="44"/>
        </w:rPr>
      </w:pPr>
    </w:p>
    <w:p>
      <w:pPr>
        <w:keepNext w:val="0"/>
        <w:keepLines w:val="0"/>
        <w:widowControl/>
        <w:suppressLineNumbers w:val="0"/>
        <w:spacing w:line="240" w:lineRule="auto"/>
        <w:ind w:left="0" w:firstLine="0"/>
        <w:jc w:val="center"/>
        <w:rPr>
          <w:rFonts w:hint="eastAsia" w:ascii="黑体" w:hAnsi="黑体" w:eastAsia="黑体" w:cs="黑体"/>
          <w:b/>
          <w:bCs/>
          <w:i w:val="0"/>
          <w:iCs w:val="0"/>
          <w:caps w:val="0"/>
          <w:color w:val="auto"/>
          <w:spacing w:val="0"/>
          <w:sz w:val="28"/>
          <w:szCs w:val="28"/>
        </w:rPr>
      </w:pPr>
      <w:r>
        <w:rPr>
          <w:rFonts w:hint="eastAsia" w:ascii="黑体" w:hAnsi="黑体" w:eastAsia="黑体" w:cs="黑体"/>
          <w:b/>
          <w:bCs/>
          <w:i w:val="0"/>
          <w:iCs w:val="0"/>
          <w:caps w:val="0"/>
          <w:color w:val="auto"/>
          <w:spacing w:val="0"/>
          <w:kern w:val="0"/>
          <w:sz w:val="44"/>
          <w:szCs w:val="44"/>
          <w:lang w:val="en-US" w:eastAsia="zh-CN" w:bidi="ar"/>
        </w:rPr>
        <w:t>兴国县财政局政府投资评审购买服务项目资金绩效评价报告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eastAsia" w:ascii="黑体" w:hAnsi="黑体" w:eastAsia="黑体" w:cs="黑体"/>
          <w:b/>
          <w:bCs w:val="0"/>
          <w:color w:val="auto"/>
          <w:sz w:val="21"/>
          <w:szCs w:val="21"/>
        </w:rPr>
      </w:pPr>
      <w:r>
        <w:rPr>
          <w:rStyle w:val="7"/>
          <w:rFonts w:hint="eastAsia" w:ascii="黑体" w:hAnsi="黑体" w:eastAsia="黑体" w:cs="黑体"/>
          <w:b/>
          <w:bCs w:val="0"/>
          <w:i w:val="0"/>
          <w:iCs w:val="0"/>
          <w:caps w:val="0"/>
          <w:color w:val="auto"/>
          <w:spacing w:val="0"/>
          <w:sz w:val="32"/>
          <w:szCs w:val="32"/>
        </w:rPr>
        <w:t>一、项目概况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shd w:val="clear" w:color="auto" w:fill="FFFFFF"/>
          <w:lang w:val="en-US" w:eastAsia="zh-CN"/>
        </w:rPr>
        <w:t>政府</w:t>
      </w:r>
      <w:r>
        <w:rPr>
          <w:rFonts w:hint="eastAsia" w:ascii="仿宋" w:hAnsi="仿宋" w:eastAsia="仿宋" w:cs="仿宋"/>
          <w:b w:val="0"/>
          <w:bCs w:val="0"/>
          <w:i w:val="0"/>
          <w:iCs w:val="0"/>
          <w:caps w:val="0"/>
          <w:color w:val="auto"/>
          <w:spacing w:val="0"/>
          <w:sz w:val="32"/>
          <w:szCs w:val="32"/>
          <w:shd w:val="clear" w:color="auto" w:fill="FFFFFF"/>
        </w:rPr>
        <w:t>投资评审，是指对</w:t>
      </w:r>
      <w:r>
        <w:rPr>
          <w:rFonts w:hint="eastAsia" w:ascii="仿宋" w:hAnsi="仿宋" w:eastAsia="仿宋" w:cs="仿宋"/>
          <w:b w:val="0"/>
          <w:bCs w:val="0"/>
          <w:i w:val="0"/>
          <w:iCs w:val="0"/>
          <w:caps w:val="0"/>
          <w:color w:val="auto"/>
          <w:spacing w:val="0"/>
          <w:sz w:val="32"/>
          <w:szCs w:val="32"/>
          <w:shd w:val="clear" w:color="auto" w:fill="FFFFFF"/>
          <w:lang w:val="en-US" w:eastAsia="zh-CN"/>
        </w:rPr>
        <w:t>政府</w:t>
      </w:r>
      <w:r>
        <w:rPr>
          <w:rFonts w:hint="eastAsia" w:ascii="仿宋" w:hAnsi="仿宋" w:eastAsia="仿宋" w:cs="仿宋"/>
          <w:b w:val="0"/>
          <w:bCs w:val="0"/>
          <w:i w:val="0"/>
          <w:iCs w:val="0"/>
          <w:caps w:val="0"/>
          <w:color w:val="auto"/>
          <w:spacing w:val="0"/>
          <w:sz w:val="32"/>
          <w:szCs w:val="32"/>
          <w:shd w:val="clear" w:color="auto" w:fill="FFFFFF"/>
        </w:rPr>
        <w:t>财政性投融资建设项目的概算、预算、招标标底、工程价款的结算和竣工决算及绩效进行评价审查的行为。财政投资评审所需工作经费由同级财政纳入预算，不向项目建设单位收取任何费用。财政部门确认下达的财政投资评审报告作为项目建设单位进行招标采购、签订工程合同的控制标准，是财政部门办理拨款、批复竣工决算、实施建设资金管理和监督的重要依据。财政投资项目由财政部门组织评审。财政部门可根据实际情况依法委托具有资质的社会中介咨询机构参与协作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shd w:val="clear" w:color="auto" w:fill="FFFFFF"/>
        </w:rPr>
        <w:t>项目绩效目标：通过开展工程项目评审，促进项目建设单位加强项目预算管理，提高资金使用效率，节约政府建设资金。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val="0"/>
          <w:color w:val="auto"/>
          <w:sz w:val="21"/>
          <w:szCs w:val="21"/>
        </w:rPr>
      </w:pPr>
      <w:r>
        <w:rPr>
          <w:rStyle w:val="7"/>
          <w:rFonts w:hint="eastAsia" w:ascii="仿宋" w:hAnsi="仿宋" w:eastAsia="仿宋" w:cs="仿宋"/>
          <w:b/>
          <w:bCs w:val="0"/>
          <w:i w:val="0"/>
          <w:iCs w:val="0"/>
          <w:caps w:val="0"/>
          <w:color w:val="auto"/>
          <w:spacing w:val="0"/>
          <w:sz w:val="32"/>
          <w:szCs w:val="32"/>
        </w:rPr>
        <w:t>二、项目资金使用及管理情况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7"/>
          <w:rFonts w:hint="eastAsia" w:ascii="仿宋" w:hAnsi="仿宋" w:eastAsia="仿宋" w:cs="仿宋"/>
          <w:i w:val="0"/>
          <w:iCs w:val="0"/>
          <w:caps w:val="0"/>
          <w:color w:val="auto"/>
          <w:spacing w:val="0"/>
          <w:sz w:val="32"/>
          <w:szCs w:val="32"/>
        </w:rPr>
        <w:t>（一）资金投入与落实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20</w:t>
      </w:r>
      <w:r>
        <w:rPr>
          <w:rFonts w:hint="eastAsia" w:ascii="仿宋" w:hAnsi="仿宋" w:eastAsia="仿宋" w:cs="仿宋"/>
          <w:b w:val="0"/>
          <w:bCs w:val="0"/>
          <w:i w:val="0"/>
          <w:iCs w:val="0"/>
          <w:caps w:val="0"/>
          <w:color w:val="auto"/>
          <w:spacing w:val="0"/>
          <w:sz w:val="32"/>
          <w:szCs w:val="32"/>
          <w:lang w:val="en-US" w:eastAsia="zh-CN"/>
        </w:rPr>
        <w:t>23</w:t>
      </w:r>
      <w:r>
        <w:rPr>
          <w:rFonts w:hint="eastAsia" w:ascii="仿宋" w:hAnsi="仿宋" w:eastAsia="仿宋" w:cs="仿宋"/>
          <w:b w:val="0"/>
          <w:bCs w:val="0"/>
          <w:i w:val="0"/>
          <w:iCs w:val="0"/>
          <w:caps w:val="0"/>
          <w:color w:val="auto"/>
          <w:spacing w:val="0"/>
          <w:sz w:val="32"/>
          <w:szCs w:val="32"/>
        </w:rPr>
        <w:t>年财政预算安排</w:t>
      </w:r>
      <w:r>
        <w:rPr>
          <w:rFonts w:hint="eastAsia" w:ascii="仿宋" w:hAnsi="仿宋" w:eastAsia="仿宋" w:cs="仿宋"/>
          <w:b w:val="0"/>
          <w:bCs w:val="0"/>
          <w:i w:val="0"/>
          <w:iCs w:val="0"/>
          <w:caps w:val="0"/>
          <w:color w:val="auto"/>
          <w:spacing w:val="-4"/>
          <w:sz w:val="32"/>
          <w:szCs w:val="32"/>
        </w:rPr>
        <w:t>政府投资项目评</w:t>
      </w:r>
      <w:r>
        <w:rPr>
          <w:rFonts w:hint="eastAsia" w:ascii="仿宋" w:hAnsi="仿宋" w:eastAsia="仿宋" w:cs="仿宋"/>
          <w:b w:val="0"/>
          <w:bCs w:val="0"/>
          <w:i w:val="0"/>
          <w:iCs w:val="0"/>
          <w:caps w:val="0"/>
          <w:color w:val="auto"/>
          <w:spacing w:val="-4"/>
          <w:sz w:val="32"/>
          <w:szCs w:val="32"/>
          <w:lang w:val="en-US" w:eastAsia="zh-CN"/>
        </w:rPr>
        <w:t>审购买服务</w:t>
      </w:r>
      <w:r>
        <w:rPr>
          <w:rFonts w:hint="eastAsia" w:ascii="仿宋" w:hAnsi="仿宋" w:eastAsia="仿宋" w:cs="仿宋"/>
          <w:b w:val="0"/>
          <w:bCs w:val="0"/>
          <w:i w:val="0"/>
          <w:iCs w:val="0"/>
          <w:caps w:val="0"/>
          <w:color w:val="auto"/>
          <w:spacing w:val="-4"/>
          <w:sz w:val="32"/>
          <w:szCs w:val="32"/>
        </w:rPr>
        <w:t>经费</w:t>
      </w:r>
      <w:r>
        <w:rPr>
          <w:rFonts w:hint="eastAsia" w:ascii="仿宋" w:hAnsi="仿宋" w:eastAsia="仿宋" w:cs="仿宋"/>
          <w:b w:val="0"/>
          <w:bCs w:val="0"/>
          <w:i w:val="0"/>
          <w:iCs w:val="0"/>
          <w:caps w:val="0"/>
          <w:color w:val="auto"/>
          <w:spacing w:val="-4"/>
          <w:sz w:val="32"/>
          <w:szCs w:val="32"/>
          <w:lang w:val="en-US" w:eastAsia="zh-CN"/>
        </w:rPr>
        <w:t>620</w:t>
      </w:r>
      <w:r>
        <w:rPr>
          <w:rFonts w:hint="eastAsia" w:ascii="仿宋" w:hAnsi="仿宋" w:eastAsia="仿宋" w:cs="仿宋"/>
          <w:b w:val="0"/>
          <w:bCs w:val="0"/>
          <w:i w:val="0"/>
          <w:iCs w:val="0"/>
          <w:caps w:val="0"/>
          <w:color w:val="auto"/>
          <w:spacing w:val="0"/>
          <w:sz w:val="32"/>
          <w:szCs w:val="32"/>
        </w:rPr>
        <w:t>万元，20</w:t>
      </w:r>
      <w:r>
        <w:rPr>
          <w:rFonts w:hint="eastAsia" w:ascii="仿宋" w:hAnsi="仿宋" w:eastAsia="仿宋" w:cs="仿宋"/>
          <w:b w:val="0"/>
          <w:bCs w:val="0"/>
          <w:i w:val="0"/>
          <w:iCs w:val="0"/>
          <w:caps w:val="0"/>
          <w:color w:val="auto"/>
          <w:spacing w:val="0"/>
          <w:sz w:val="32"/>
          <w:szCs w:val="32"/>
          <w:lang w:val="en-US" w:eastAsia="zh-CN"/>
        </w:rPr>
        <w:t>23</w:t>
      </w:r>
      <w:r>
        <w:rPr>
          <w:rFonts w:hint="eastAsia" w:ascii="仿宋" w:hAnsi="仿宋" w:eastAsia="仿宋" w:cs="仿宋"/>
          <w:b w:val="0"/>
          <w:bCs w:val="0"/>
          <w:i w:val="0"/>
          <w:iCs w:val="0"/>
          <w:caps w:val="0"/>
          <w:color w:val="auto"/>
          <w:spacing w:val="0"/>
          <w:sz w:val="32"/>
          <w:szCs w:val="32"/>
        </w:rPr>
        <w:t>年开支</w:t>
      </w:r>
      <w:r>
        <w:rPr>
          <w:rFonts w:hint="eastAsia" w:ascii="仿宋" w:hAnsi="仿宋" w:eastAsia="仿宋" w:cs="仿宋"/>
          <w:b w:val="0"/>
          <w:bCs w:val="0"/>
          <w:i w:val="0"/>
          <w:iCs w:val="0"/>
          <w:caps w:val="0"/>
          <w:color w:val="auto"/>
          <w:spacing w:val="0"/>
          <w:sz w:val="32"/>
          <w:szCs w:val="32"/>
          <w:lang w:val="en-US" w:eastAsia="zh-CN"/>
        </w:rPr>
        <w:t>620</w:t>
      </w:r>
      <w:r>
        <w:rPr>
          <w:rFonts w:hint="eastAsia" w:ascii="仿宋" w:hAnsi="仿宋" w:eastAsia="仿宋" w:cs="仿宋"/>
          <w:b w:val="0"/>
          <w:bCs w:val="0"/>
          <w:i w:val="0"/>
          <w:iCs w:val="0"/>
          <w:caps w:val="0"/>
          <w:color w:val="auto"/>
          <w:spacing w:val="0"/>
          <w:sz w:val="32"/>
          <w:szCs w:val="32"/>
        </w:rPr>
        <w:t>万元</w:t>
      </w:r>
      <w:r>
        <w:rPr>
          <w:rFonts w:hint="eastAsia" w:ascii="仿宋" w:hAnsi="仿宋" w:eastAsia="仿宋" w:cs="仿宋"/>
          <w:b w:val="0"/>
          <w:bCs w:val="0"/>
          <w:i w:val="0"/>
          <w:iCs w:val="0"/>
          <w:caps w:val="0"/>
          <w:color w:val="auto"/>
          <w:spacing w:val="0"/>
          <w:sz w:val="25"/>
          <w:szCs w:val="25"/>
        </w:rPr>
        <w:t>，</w:t>
      </w:r>
      <w:r>
        <w:rPr>
          <w:rFonts w:hint="eastAsia" w:ascii="仿宋" w:hAnsi="仿宋" w:eastAsia="仿宋" w:cs="仿宋"/>
          <w:b w:val="0"/>
          <w:bCs w:val="0"/>
          <w:i w:val="0"/>
          <w:iCs w:val="0"/>
          <w:caps w:val="0"/>
          <w:color w:val="auto"/>
          <w:spacing w:val="0"/>
          <w:sz w:val="32"/>
          <w:szCs w:val="32"/>
        </w:rPr>
        <w:t>其中工程预算评审费</w:t>
      </w:r>
      <w:r>
        <w:rPr>
          <w:rFonts w:hint="eastAsia" w:ascii="仿宋" w:hAnsi="仿宋" w:eastAsia="仿宋" w:cs="仿宋"/>
          <w:b w:val="0"/>
          <w:bCs w:val="0"/>
          <w:i w:val="0"/>
          <w:iCs w:val="0"/>
          <w:caps w:val="0"/>
          <w:color w:val="auto"/>
          <w:spacing w:val="0"/>
          <w:sz w:val="32"/>
          <w:szCs w:val="32"/>
          <w:lang w:val="en-US" w:eastAsia="zh-CN"/>
        </w:rPr>
        <w:t>372</w:t>
      </w:r>
      <w:r>
        <w:rPr>
          <w:rFonts w:hint="eastAsia" w:ascii="仿宋" w:hAnsi="仿宋" w:eastAsia="仿宋" w:cs="仿宋"/>
          <w:b w:val="0"/>
          <w:bCs w:val="0"/>
          <w:i w:val="0"/>
          <w:iCs w:val="0"/>
          <w:caps w:val="0"/>
          <w:color w:val="auto"/>
          <w:spacing w:val="0"/>
          <w:sz w:val="32"/>
          <w:szCs w:val="32"/>
        </w:rPr>
        <w:t>万元，工程结算评审费</w:t>
      </w:r>
      <w:r>
        <w:rPr>
          <w:rFonts w:hint="eastAsia" w:ascii="仿宋" w:hAnsi="仿宋" w:eastAsia="仿宋" w:cs="仿宋"/>
          <w:b w:val="0"/>
          <w:bCs w:val="0"/>
          <w:i w:val="0"/>
          <w:iCs w:val="0"/>
          <w:caps w:val="0"/>
          <w:color w:val="auto"/>
          <w:spacing w:val="0"/>
          <w:sz w:val="32"/>
          <w:szCs w:val="32"/>
          <w:lang w:val="en-US" w:eastAsia="zh-CN"/>
        </w:rPr>
        <w:t>248</w:t>
      </w:r>
      <w:r>
        <w:rPr>
          <w:rFonts w:hint="eastAsia" w:ascii="仿宋" w:hAnsi="仿宋" w:eastAsia="仿宋" w:cs="仿宋"/>
          <w:b w:val="0"/>
          <w:bCs w:val="0"/>
          <w:i w:val="0"/>
          <w:iCs w:val="0"/>
          <w:caps w:val="0"/>
          <w:color w:val="auto"/>
          <w:spacing w:val="0"/>
          <w:sz w:val="32"/>
          <w:szCs w:val="32"/>
        </w:rPr>
        <w:t>万元，全部用于支付协作评审机构项目评审费。支付方式是每年两次由</w:t>
      </w:r>
      <w:r>
        <w:rPr>
          <w:rFonts w:hint="eastAsia" w:ascii="仿宋" w:hAnsi="仿宋" w:eastAsia="仿宋" w:cs="仿宋"/>
          <w:b w:val="0"/>
          <w:bCs w:val="0"/>
          <w:i w:val="0"/>
          <w:iCs w:val="0"/>
          <w:caps w:val="0"/>
          <w:color w:val="auto"/>
          <w:spacing w:val="0"/>
          <w:sz w:val="32"/>
          <w:szCs w:val="32"/>
          <w:lang w:val="en-US" w:eastAsia="zh-CN"/>
        </w:rPr>
        <w:t>县财政局基建股（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依据付费办法计算应付评审费后报局领导批准，由财政</w:t>
      </w:r>
      <w:r>
        <w:rPr>
          <w:rFonts w:hint="eastAsia" w:ascii="仿宋" w:hAnsi="仿宋" w:eastAsia="仿宋" w:cs="仿宋"/>
          <w:b w:val="0"/>
          <w:bCs w:val="0"/>
          <w:i w:val="0"/>
          <w:iCs w:val="0"/>
          <w:caps w:val="0"/>
          <w:color w:val="auto"/>
          <w:spacing w:val="0"/>
          <w:sz w:val="32"/>
          <w:szCs w:val="32"/>
          <w:lang w:val="en-US" w:eastAsia="zh-CN"/>
        </w:rPr>
        <w:t>机关</w:t>
      </w:r>
      <w:r>
        <w:rPr>
          <w:rFonts w:hint="eastAsia" w:ascii="仿宋" w:hAnsi="仿宋" w:eastAsia="仿宋" w:cs="仿宋"/>
          <w:b w:val="0"/>
          <w:bCs w:val="0"/>
          <w:i w:val="0"/>
          <w:iCs w:val="0"/>
          <w:caps w:val="0"/>
          <w:color w:val="auto"/>
          <w:spacing w:val="0"/>
          <w:sz w:val="32"/>
          <w:szCs w:val="32"/>
        </w:rPr>
        <w:t>直接支付给各协作评审机构。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default" w:ascii="Times New Roman" w:hAnsi="Times New Roman" w:eastAsia="微软雅黑" w:cs="Times New Roman"/>
          <w:b w:val="0"/>
          <w:bCs w:val="0"/>
          <w:i w:val="0"/>
          <w:iCs w:val="0"/>
          <w:caps w:val="0"/>
          <w:color w:val="auto"/>
          <w:spacing w:val="0"/>
          <w:sz w:val="21"/>
          <w:szCs w:val="21"/>
        </w:rPr>
        <w:t> </w:t>
      </w:r>
      <w:r>
        <w:rPr>
          <w:rStyle w:val="7"/>
          <w:rFonts w:hint="eastAsia" w:ascii="仿宋" w:hAnsi="仿宋" w:eastAsia="仿宋" w:cs="仿宋"/>
          <w:i w:val="0"/>
          <w:iCs w:val="0"/>
          <w:caps w:val="0"/>
          <w:color w:val="auto"/>
          <w:spacing w:val="0"/>
          <w:sz w:val="32"/>
          <w:szCs w:val="32"/>
        </w:rPr>
        <w:t>三、项目组织实施情况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7"/>
          <w:rFonts w:hint="eastAsia" w:ascii="仿宋" w:hAnsi="仿宋" w:eastAsia="仿宋" w:cs="仿宋"/>
          <w:i w:val="0"/>
          <w:iCs w:val="0"/>
          <w:caps w:val="0"/>
          <w:color w:val="auto"/>
          <w:spacing w:val="0"/>
          <w:sz w:val="32"/>
          <w:szCs w:val="32"/>
        </w:rPr>
        <w:t>（一）项目实施情况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eastAsia="仿宋" w:cs="Times New Roman"/>
          <w:color w:val="auto"/>
          <w:sz w:val="21"/>
          <w:szCs w:val="21"/>
          <w:lang w:val="en-US" w:eastAsia="zh-CN"/>
        </w:rPr>
      </w:pPr>
      <w:r>
        <w:rPr>
          <w:rFonts w:hint="eastAsia" w:ascii="仿宋" w:hAnsi="仿宋" w:eastAsia="仿宋" w:cs="仿宋"/>
          <w:b w:val="0"/>
          <w:bCs w:val="0"/>
          <w:i w:val="0"/>
          <w:iCs w:val="0"/>
          <w:caps w:val="0"/>
          <w:color w:val="auto"/>
          <w:spacing w:val="0"/>
          <w:sz w:val="32"/>
          <w:szCs w:val="32"/>
        </w:rPr>
        <w:t>20</w:t>
      </w:r>
      <w:r>
        <w:rPr>
          <w:rFonts w:hint="eastAsia" w:ascii="仿宋" w:hAnsi="仿宋" w:eastAsia="仿宋" w:cs="仿宋"/>
          <w:b w:val="0"/>
          <w:bCs w:val="0"/>
          <w:i w:val="0"/>
          <w:iCs w:val="0"/>
          <w:caps w:val="0"/>
          <w:color w:val="auto"/>
          <w:spacing w:val="0"/>
          <w:sz w:val="32"/>
          <w:szCs w:val="32"/>
          <w:lang w:val="en-US" w:eastAsia="zh-CN"/>
        </w:rPr>
        <w:t>23</w:t>
      </w:r>
      <w:r>
        <w:rPr>
          <w:rFonts w:hint="eastAsia" w:ascii="仿宋" w:hAnsi="仿宋" w:eastAsia="仿宋" w:cs="仿宋"/>
          <w:b w:val="0"/>
          <w:bCs w:val="0"/>
          <w:i w:val="0"/>
          <w:iCs w:val="0"/>
          <w:caps w:val="0"/>
          <w:color w:val="auto"/>
          <w:spacing w:val="0"/>
          <w:sz w:val="32"/>
          <w:szCs w:val="32"/>
        </w:rPr>
        <w:t>年，</w:t>
      </w:r>
      <w:r>
        <w:rPr>
          <w:rFonts w:hint="eastAsia" w:ascii="仿宋" w:hAnsi="仿宋" w:eastAsia="仿宋" w:cs="仿宋"/>
          <w:b w:val="0"/>
          <w:bCs w:val="0"/>
          <w:i w:val="0"/>
          <w:iCs w:val="0"/>
          <w:caps w:val="0"/>
          <w:color w:val="auto"/>
          <w:spacing w:val="0"/>
          <w:sz w:val="32"/>
          <w:szCs w:val="32"/>
          <w:lang w:val="en-US" w:eastAsia="zh-CN"/>
        </w:rPr>
        <w:t>兴国县</w:t>
      </w:r>
      <w:r>
        <w:rPr>
          <w:rFonts w:hint="eastAsia" w:ascii="仿宋" w:hAnsi="仿宋" w:eastAsia="仿宋" w:cs="仿宋"/>
          <w:b w:val="0"/>
          <w:bCs w:val="0"/>
          <w:i w:val="0"/>
          <w:iCs w:val="0"/>
          <w:caps w:val="0"/>
          <w:color w:val="auto"/>
          <w:spacing w:val="0"/>
          <w:sz w:val="32"/>
          <w:szCs w:val="32"/>
        </w:rPr>
        <w:t>财政</w:t>
      </w:r>
      <w:r>
        <w:rPr>
          <w:rFonts w:hint="eastAsia" w:ascii="仿宋" w:hAnsi="仿宋" w:eastAsia="仿宋" w:cs="仿宋"/>
          <w:b w:val="0"/>
          <w:bCs w:val="0"/>
          <w:i w:val="0"/>
          <w:iCs w:val="0"/>
          <w:caps w:val="0"/>
          <w:color w:val="auto"/>
          <w:spacing w:val="0"/>
          <w:sz w:val="32"/>
          <w:szCs w:val="32"/>
          <w:lang w:val="en-US" w:eastAsia="zh-CN"/>
        </w:rPr>
        <w:t>局财政基建股（评审中心）</w:t>
      </w:r>
      <w:r>
        <w:rPr>
          <w:rFonts w:hint="eastAsia" w:ascii="仿宋" w:hAnsi="仿宋" w:eastAsia="仿宋" w:cs="仿宋"/>
          <w:b w:val="0"/>
          <w:bCs w:val="0"/>
          <w:i w:val="0"/>
          <w:iCs w:val="0"/>
          <w:caps w:val="0"/>
          <w:color w:val="auto"/>
          <w:spacing w:val="0"/>
          <w:sz w:val="32"/>
          <w:szCs w:val="32"/>
        </w:rPr>
        <w:t>在局领导班子的带领下，以积极进取的工作态度、求真务实的工作作风，围绕服务财政管理、加强财政监督的工作目标，勤勤恳恳、踏实工作，取得了不错的工作成绩。20</w:t>
      </w:r>
      <w:r>
        <w:rPr>
          <w:rFonts w:hint="eastAsia" w:ascii="仿宋" w:hAnsi="仿宋" w:eastAsia="仿宋" w:cs="仿宋"/>
          <w:b w:val="0"/>
          <w:bCs w:val="0"/>
          <w:i w:val="0"/>
          <w:iCs w:val="0"/>
          <w:caps w:val="0"/>
          <w:color w:val="auto"/>
          <w:spacing w:val="0"/>
          <w:sz w:val="32"/>
          <w:szCs w:val="32"/>
          <w:lang w:val="en-US" w:eastAsia="zh-CN"/>
        </w:rPr>
        <w:t>23</w:t>
      </w:r>
      <w:r>
        <w:rPr>
          <w:rFonts w:hint="eastAsia" w:ascii="仿宋" w:hAnsi="仿宋" w:eastAsia="仿宋" w:cs="仿宋"/>
          <w:b w:val="0"/>
          <w:bCs w:val="0"/>
          <w:i w:val="0"/>
          <w:iCs w:val="0"/>
          <w:caps w:val="0"/>
          <w:color w:val="auto"/>
          <w:spacing w:val="0"/>
          <w:sz w:val="32"/>
          <w:szCs w:val="32"/>
        </w:rPr>
        <w:t>年共预算</w:t>
      </w:r>
      <w:r>
        <w:rPr>
          <w:rFonts w:hint="eastAsia" w:ascii="仿宋" w:hAnsi="仿宋" w:eastAsia="仿宋" w:cs="仿宋"/>
          <w:b w:val="0"/>
          <w:bCs w:val="0"/>
          <w:i w:val="0"/>
          <w:iCs w:val="0"/>
          <w:caps w:val="0"/>
          <w:color w:val="auto"/>
          <w:spacing w:val="0"/>
          <w:sz w:val="32"/>
          <w:szCs w:val="32"/>
          <w:lang w:val="en-US" w:eastAsia="zh-CN"/>
        </w:rPr>
        <w:t>评审</w:t>
      </w:r>
      <w:r>
        <w:rPr>
          <w:rFonts w:hint="eastAsia" w:ascii="仿宋" w:hAnsi="仿宋" w:eastAsia="仿宋" w:cs="仿宋"/>
          <w:b w:val="0"/>
          <w:bCs w:val="0"/>
          <w:i w:val="0"/>
          <w:iCs w:val="0"/>
          <w:caps w:val="0"/>
          <w:color w:val="auto"/>
          <w:spacing w:val="0"/>
          <w:sz w:val="32"/>
          <w:szCs w:val="32"/>
        </w:rPr>
        <w:t>项目</w:t>
      </w:r>
      <w:r>
        <w:rPr>
          <w:rFonts w:hint="eastAsia" w:ascii="仿宋" w:hAnsi="仿宋" w:eastAsia="仿宋" w:cs="仿宋"/>
          <w:b w:val="0"/>
          <w:bCs w:val="0"/>
          <w:i w:val="0"/>
          <w:iCs w:val="0"/>
          <w:caps w:val="0"/>
          <w:color w:val="auto"/>
          <w:spacing w:val="0"/>
          <w:sz w:val="32"/>
          <w:szCs w:val="32"/>
          <w:lang w:val="en-US" w:eastAsia="zh-CN"/>
        </w:rPr>
        <w:t>624</w:t>
      </w:r>
      <w:r>
        <w:rPr>
          <w:rFonts w:hint="eastAsia" w:ascii="仿宋" w:hAnsi="仿宋" w:eastAsia="仿宋" w:cs="仿宋"/>
          <w:b w:val="0"/>
          <w:bCs w:val="0"/>
          <w:i w:val="0"/>
          <w:iCs w:val="0"/>
          <w:caps w:val="0"/>
          <w:color w:val="auto"/>
          <w:spacing w:val="0"/>
          <w:sz w:val="32"/>
          <w:szCs w:val="32"/>
        </w:rPr>
        <w:t>个，送审金额</w:t>
      </w:r>
      <w:r>
        <w:rPr>
          <w:rFonts w:hint="eastAsia" w:ascii="仿宋" w:hAnsi="仿宋" w:eastAsia="仿宋" w:cs="仿宋"/>
          <w:b w:val="0"/>
          <w:bCs w:val="0"/>
          <w:i w:val="0"/>
          <w:iCs w:val="0"/>
          <w:caps w:val="0"/>
          <w:color w:val="auto"/>
          <w:spacing w:val="0"/>
          <w:sz w:val="32"/>
          <w:szCs w:val="32"/>
          <w:lang w:val="en-US" w:eastAsia="zh-CN"/>
        </w:rPr>
        <w:t>44.97</w:t>
      </w:r>
      <w:r>
        <w:rPr>
          <w:rFonts w:hint="eastAsia" w:ascii="仿宋" w:hAnsi="仿宋" w:eastAsia="仿宋" w:cs="仿宋"/>
          <w:b w:val="0"/>
          <w:bCs w:val="0"/>
          <w:i w:val="0"/>
          <w:iCs w:val="0"/>
          <w:caps w:val="0"/>
          <w:color w:val="auto"/>
          <w:spacing w:val="0"/>
          <w:sz w:val="32"/>
          <w:szCs w:val="32"/>
        </w:rPr>
        <w:t>亿元，审减</w:t>
      </w:r>
      <w:r>
        <w:rPr>
          <w:rFonts w:hint="eastAsia" w:ascii="仿宋" w:hAnsi="仿宋" w:eastAsia="仿宋" w:cs="仿宋"/>
          <w:b w:val="0"/>
          <w:bCs w:val="0"/>
          <w:i w:val="0"/>
          <w:iCs w:val="0"/>
          <w:caps w:val="0"/>
          <w:color w:val="auto"/>
          <w:spacing w:val="0"/>
          <w:sz w:val="32"/>
          <w:szCs w:val="32"/>
          <w:lang w:val="en-US" w:eastAsia="zh-CN"/>
        </w:rPr>
        <w:t>6.22</w:t>
      </w:r>
      <w:r>
        <w:rPr>
          <w:rFonts w:hint="eastAsia" w:ascii="仿宋" w:hAnsi="仿宋" w:eastAsia="仿宋" w:cs="仿宋"/>
          <w:b w:val="0"/>
          <w:bCs w:val="0"/>
          <w:i w:val="0"/>
          <w:iCs w:val="0"/>
          <w:caps w:val="0"/>
          <w:color w:val="auto"/>
          <w:spacing w:val="0"/>
          <w:sz w:val="32"/>
          <w:szCs w:val="32"/>
        </w:rPr>
        <w:t>亿元，审减率为</w:t>
      </w:r>
      <w:r>
        <w:rPr>
          <w:rFonts w:hint="eastAsia" w:ascii="仿宋" w:hAnsi="仿宋" w:eastAsia="仿宋" w:cs="仿宋"/>
          <w:b w:val="0"/>
          <w:bCs w:val="0"/>
          <w:i w:val="0"/>
          <w:iCs w:val="0"/>
          <w:caps w:val="0"/>
          <w:color w:val="auto"/>
          <w:spacing w:val="0"/>
          <w:sz w:val="32"/>
          <w:szCs w:val="32"/>
          <w:lang w:val="en-US" w:eastAsia="zh-CN"/>
        </w:rPr>
        <w:t>13.80</w:t>
      </w:r>
      <w:r>
        <w:rPr>
          <w:rFonts w:hint="eastAsia" w:ascii="仿宋" w:hAnsi="仿宋" w:eastAsia="仿宋" w:cs="仿宋"/>
          <w:b w:val="0"/>
          <w:bCs w:val="0"/>
          <w:i w:val="0"/>
          <w:iCs w:val="0"/>
          <w:caps w:val="0"/>
          <w:color w:val="auto"/>
          <w:spacing w:val="0"/>
          <w:sz w:val="32"/>
          <w:szCs w:val="32"/>
        </w:rPr>
        <w:t>%；工程</w:t>
      </w:r>
      <w:r>
        <w:rPr>
          <w:rFonts w:hint="eastAsia" w:ascii="仿宋" w:hAnsi="仿宋" w:eastAsia="仿宋" w:cs="仿宋"/>
          <w:b w:val="0"/>
          <w:bCs w:val="0"/>
          <w:i w:val="0"/>
          <w:iCs w:val="0"/>
          <w:caps w:val="0"/>
          <w:color w:val="auto"/>
          <w:spacing w:val="0"/>
          <w:sz w:val="32"/>
          <w:szCs w:val="32"/>
          <w:lang w:val="en-US" w:eastAsia="zh-CN"/>
        </w:rPr>
        <w:t>款项拨付审核评审</w:t>
      </w:r>
      <w:r>
        <w:rPr>
          <w:rFonts w:hint="eastAsia" w:ascii="仿宋" w:hAnsi="仿宋" w:eastAsia="仿宋" w:cs="仿宋"/>
          <w:b w:val="0"/>
          <w:bCs w:val="0"/>
          <w:i w:val="0"/>
          <w:iCs w:val="0"/>
          <w:caps w:val="0"/>
          <w:color w:val="auto"/>
          <w:spacing w:val="0"/>
          <w:sz w:val="32"/>
          <w:szCs w:val="32"/>
        </w:rPr>
        <w:t>项目</w:t>
      </w:r>
      <w:r>
        <w:rPr>
          <w:rFonts w:hint="eastAsia" w:ascii="仿宋" w:hAnsi="仿宋" w:eastAsia="仿宋" w:cs="仿宋"/>
          <w:b w:val="0"/>
          <w:bCs w:val="0"/>
          <w:i w:val="0"/>
          <w:iCs w:val="0"/>
          <w:caps w:val="0"/>
          <w:color w:val="auto"/>
          <w:spacing w:val="0"/>
          <w:sz w:val="32"/>
          <w:szCs w:val="32"/>
          <w:lang w:val="en-US" w:eastAsia="zh-CN"/>
        </w:rPr>
        <w:t>53</w:t>
      </w:r>
      <w:r>
        <w:rPr>
          <w:rFonts w:hint="eastAsia" w:ascii="仿宋" w:hAnsi="仿宋" w:eastAsia="仿宋" w:cs="仿宋"/>
          <w:b w:val="0"/>
          <w:bCs w:val="0"/>
          <w:i w:val="0"/>
          <w:iCs w:val="0"/>
          <w:caps w:val="0"/>
          <w:color w:val="auto"/>
          <w:spacing w:val="0"/>
          <w:sz w:val="32"/>
          <w:szCs w:val="32"/>
        </w:rPr>
        <w:t>个，送审金额</w:t>
      </w:r>
      <w:r>
        <w:rPr>
          <w:rFonts w:hint="eastAsia" w:ascii="仿宋" w:hAnsi="仿宋" w:eastAsia="仿宋" w:cs="仿宋"/>
          <w:b w:val="0"/>
          <w:bCs w:val="0"/>
          <w:i w:val="0"/>
          <w:iCs w:val="0"/>
          <w:caps w:val="0"/>
          <w:color w:val="auto"/>
          <w:spacing w:val="0"/>
          <w:sz w:val="32"/>
          <w:szCs w:val="32"/>
          <w:lang w:val="en-US" w:eastAsia="zh-CN"/>
        </w:rPr>
        <w:t>1.98亿</w:t>
      </w:r>
      <w:r>
        <w:rPr>
          <w:rFonts w:hint="eastAsia" w:ascii="仿宋" w:hAnsi="仿宋" w:eastAsia="仿宋" w:cs="仿宋"/>
          <w:b w:val="0"/>
          <w:bCs w:val="0"/>
          <w:i w:val="0"/>
          <w:iCs w:val="0"/>
          <w:caps w:val="0"/>
          <w:color w:val="auto"/>
          <w:spacing w:val="0"/>
          <w:sz w:val="32"/>
          <w:szCs w:val="32"/>
        </w:rPr>
        <w:t>元，审减</w:t>
      </w:r>
      <w:r>
        <w:rPr>
          <w:rFonts w:hint="eastAsia" w:ascii="仿宋" w:hAnsi="仿宋" w:eastAsia="仿宋" w:cs="仿宋"/>
          <w:b w:val="0"/>
          <w:bCs w:val="0"/>
          <w:i w:val="0"/>
          <w:iCs w:val="0"/>
          <w:caps w:val="0"/>
          <w:color w:val="auto"/>
          <w:spacing w:val="0"/>
          <w:sz w:val="32"/>
          <w:szCs w:val="32"/>
          <w:lang w:val="en-US" w:eastAsia="zh-CN"/>
        </w:rPr>
        <w:t>0.44亿</w:t>
      </w:r>
      <w:r>
        <w:rPr>
          <w:rFonts w:hint="eastAsia" w:ascii="仿宋" w:hAnsi="仿宋" w:eastAsia="仿宋" w:cs="仿宋"/>
          <w:b w:val="0"/>
          <w:bCs w:val="0"/>
          <w:i w:val="0"/>
          <w:iCs w:val="0"/>
          <w:caps w:val="0"/>
          <w:color w:val="auto"/>
          <w:spacing w:val="0"/>
          <w:sz w:val="32"/>
          <w:szCs w:val="32"/>
        </w:rPr>
        <w:t>元，审减率为</w:t>
      </w:r>
      <w:r>
        <w:rPr>
          <w:rFonts w:hint="eastAsia" w:ascii="仿宋" w:hAnsi="仿宋" w:eastAsia="仿宋" w:cs="仿宋"/>
          <w:b w:val="0"/>
          <w:bCs w:val="0"/>
          <w:i w:val="0"/>
          <w:iCs w:val="0"/>
          <w:caps w:val="0"/>
          <w:color w:val="auto"/>
          <w:spacing w:val="0"/>
          <w:sz w:val="32"/>
          <w:szCs w:val="32"/>
          <w:lang w:val="en-US" w:eastAsia="zh-CN"/>
        </w:rPr>
        <w:t>22.20</w:t>
      </w:r>
      <w:r>
        <w:rPr>
          <w:rFonts w:hint="eastAsia" w:ascii="仿宋" w:hAnsi="仿宋" w:eastAsia="仿宋" w:cs="仿宋"/>
          <w:b w:val="0"/>
          <w:bCs w:val="0"/>
          <w:i w:val="0"/>
          <w:iCs w:val="0"/>
          <w:caps w:val="0"/>
          <w:color w:val="auto"/>
          <w:spacing w:val="0"/>
          <w:sz w:val="32"/>
          <w:szCs w:val="32"/>
        </w:rPr>
        <w:t>%</w:t>
      </w:r>
      <w:r>
        <w:rPr>
          <w:rFonts w:hint="eastAsia" w:ascii="仿宋" w:hAnsi="仿宋" w:eastAsia="仿宋" w:cs="仿宋"/>
          <w:b w:val="0"/>
          <w:bCs w:val="0"/>
          <w:i w:val="0"/>
          <w:iCs w:val="0"/>
          <w:caps w:val="0"/>
          <w:color w:val="auto"/>
          <w:spacing w:val="0"/>
          <w:sz w:val="32"/>
          <w:szCs w:val="32"/>
          <w:lang w:val="en-US" w:eastAsia="zh-CN"/>
        </w:rPr>
        <w:t>；完成项目结算评审送审项目358个，结算总价22.54亿元，核减3.50亿元，平均核减率15.50%</w:t>
      </w:r>
      <w:r>
        <w:rPr>
          <w:rFonts w:hint="eastAsia" w:ascii="仿宋" w:hAnsi="仿宋" w:eastAsia="仿宋" w:cs="仿宋"/>
          <w:b w:val="0"/>
          <w:bCs w:val="0"/>
          <w:i w:val="0"/>
          <w:iCs w:val="0"/>
          <w:caps w:val="0"/>
          <w:color w:val="auto"/>
          <w:spacing w:val="0"/>
          <w:sz w:val="32"/>
          <w:szCs w:val="32"/>
        </w:rPr>
        <w:t>。</w:t>
      </w:r>
      <w:r>
        <w:rPr>
          <w:rFonts w:hint="eastAsia" w:ascii="仿宋" w:hAnsi="仿宋" w:eastAsia="仿宋" w:cs="仿宋"/>
          <w:b w:val="0"/>
          <w:bCs w:val="0"/>
          <w:i w:val="0"/>
          <w:iCs w:val="0"/>
          <w:caps w:val="0"/>
          <w:color w:val="auto"/>
          <w:spacing w:val="0"/>
          <w:sz w:val="32"/>
          <w:szCs w:val="32"/>
          <w:lang w:val="en-US" w:eastAsia="zh-CN"/>
        </w:rPr>
        <w:t>全年节约财政资金10.16亿元。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7"/>
          <w:rFonts w:hint="eastAsia" w:ascii="仿宋" w:hAnsi="仿宋" w:eastAsia="仿宋" w:cs="仿宋"/>
          <w:i w:val="0"/>
          <w:iCs w:val="0"/>
          <w:caps w:val="0"/>
          <w:color w:val="auto"/>
          <w:spacing w:val="0"/>
          <w:sz w:val="32"/>
          <w:szCs w:val="32"/>
        </w:rPr>
        <w:t>（二）项目管理情况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1、防范评审风险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严格按照</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lang w:val="en-US" w:eastAsia="zh-CN"/>
        </w:rPr>
        <w:t>中共兴国县委 兴国县人民政府关于全面实施预算绩效管理的实施意见》（兴发【2020】13号）、</w:t>
      </w:r>
      <w:r>
        <w:rPr>
          <w:rFonts w:hint="eastAsia" w:ascii="仿宋" w:hAnsi="仿宋" w:eastAsia="仿宋" w:cs="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兴国县财政局关于进一步规范政府投资工程结算评审管理的通知</w:t>
      </w:r>
      <w:r>
        <w:rPr>
          <w:rFonts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兴财字</w:t>
      </w:r>
      <w:r>
        <w:rPr>
          <w:rFonts w:hint="default" w:ascii="华文仿宋" w:hAnsi="华文仿宋" w:eastAsia="华文仿宋" w:cs="华文仿宋"/>
          <w:b w:val="0"/>
          <w:bCs w:val="0"/>
          <w:i w:val="0"/>
          <w:iCs w:val="0"/>
          <w:caps w:val="0"/>
          <w:color w:val="auto"/>
          <w:spacing w:val="0"/>
          <w:sz w:val="32"/>
          <w:szCs w:val="32"/>
        </w:rPr>
        <w:t>[20</w:t>
      </w:r>
      <w:r>
        <w:rPr>
          <w:rFonts w:hint="eastAsia" w:ascii="华文仿宋" w:hAnsi="华文仿宋" w:eastAsia="华文仿宋" w:cs="华文仿宋"/>
          <w:b w:val="0"/>
          <w:bCs w:val="0"/>
          <w:i w:val="0"/>
          <w:iCs w:val="0"/>
          <w:caps w:val="0"/>
          <w:color w:val="auto"/>
          <w:spacing w:val="0"/>
          <w:sz w:val="32"/>
          <w:szCs w:val="32"/>
          <w:lang w:val="en-US" w:eastAsia="zh-CN"/>
        </w:rPr>
        <w:t>21</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8</w:t>
      </w:r>
      <w:r>
        <w:rPr>
          <w:rFonts w:hint="default" w:ascii="华文仿宋" w:hAnsi="华文仿宋" w:eastAsia="华文仿宋" w:cs="华文仿宋"/>
          <w:b w:val="0"/>
          <w:bCs w:val="0"/>
          <w:i w:val="0"/>
          <w:iCs w:val="0"/>
          <w:caps w:val="0"/>
          <w:color w:val="auto"/>
          <w:spacing w:val="0"/>
          <w:sz w:val="32"/>
          <w:szCs w:val="32"/>
        </w:rPr>
        <w:t>号）、《</w:t>
      </w:r>
      <w:r>
        <w:rPr>
          <w:rFonts w:hint="eastAsia" w:ascii="华文仿宋" w:hAnsi="华文仿宋" w:eastAsia="华文仿宋" w:cs="华文仿宋"/>
          <w:b w:val="0"/>
          <w:bCs w:val="0"/>
          <w:i w:val="0"/>
          <w:iCs w:val="0"/>
          <w:caps w:val="0"/>
          <w:color w:val="auto"/>
          <w:spacing w:val="0"/>
          <w:sz w:val="32"/>
          <w:szCs w:val="32"/>
          <w:lang w:val="en-US" w:eastAsia="zh-CN"/>
        </w:rPr>
        <w:t>兴国县财政局关于进一步规范政府性投资工程项目预算评审管理的函</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兴财字</w:t>
      </w:r>
      <w:r>
        <w:rPr>
          <w:rFonts w:hint="default" w:ascii="华文仿宋" w:hAnsi="华文仿宋" w:eastAsia="华文仿宋" w:cs="华文仿宋"/>
          <w:b w:val="0"/>
          <w:bCs w:val="0"/>
          <w:i w:val="0"/>
          <w:iCs w:val="0"/>
          <w:caps w:val="0"/>
          <w:color w:val="auto"/>
          <w:spacing w:val="0"/>
          <w:sz w:val="32"/>
          <w:szCs w:val="32"/>
        </w:rPr>
        <w:t>﹝20</w:t>
      </w:r>
      <w:r>
        <w:rPr>
          <w:rFonts w:hint="eastAsia" w:ascii="华文仿宋" w:hAnsi="华文仿宋" w:eastAsia="华文仿宋" w:cs="华文仿宋"/>
          <w:b w:val="0"/>
          <w:bCs w:val="0"/>
          <w:i w:val="0"/>
          <w:iCs w:val="0"/>
          <w:caps w:val="0"/>
          <w:color w:val="auto"/>
          <w:spacing w:val="0"/>
          <w:sz w:val="32"/>
          <w:szCs w:val="32"/>
          <w:lang w:val="en-US" w:eastAsia="zh-CN"/>
        </w:rPr>
        <w:t>21</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37</w:t>
      </w:r>
      <w:r>
        <w:rPr>
          <w:rFonts w:hint="default" w:ascii="华文仿宋" w:hAnsi="华文仿宋" w:eastAsia="华文仿宋" w:cs="华文仿宋"/>
          <w:b w:val="0"/>
          <w:bCs w:val="0"/>
          <w:i w:val="0"/>
          <w:iCs w:val="0"/>
          <w:caps w:val="0"/>
          <w:color w:val="auto"/>
          <w:spacing w:val="0"/>
          <w:sz w:val="32"/>
          <w:szCs w:val="32"/>
        </w:rPr>
        <w:t>号）、《</w:t>
      </w:r>
      <w:r>
        <w:rPr>
          <w:rFonts w:hint="eastAsia" w:ascii="华文仿宋" w:hAnsi="华文仿宋" w:eastAsia="华文仿宋" w:cs="华文仿宋"/>
          <w:b w:val="0"/>
          <w:bCs w:val="0"/>
          <w:i w:val="0"/>
          <w:iCs w:val="0"/>
          <w:caps w:val="0"/>
          <w:color w:val="auto"/>
          <w:spacing w:val="0"/>
          <w:sz w:val="32"/>
          <w:szCs w:val="32"/>
          <w:lang w:val="en-US" w:eastAsia="zh-CN"/>
        </w:rPr>
        <w:t>关于印发关于进一步规范我县政府性投资项目工程增量管理的通知的通知</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兴府办字【2022】13</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关于进一步加强统筹整合财政涉农资金项目管理的通知</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val="en-US" w:eastAsia="zh-CN"/>
        </w:rPr>
        <w:t>兴府办字【2022】33号</w:t>
      </w:r>
      <w:r>
        <w:rPr>
          <w:rFonts w:hint="default" w:ascii="华文仿宋" w:hAnsi="华文仿宋" w:eastAsia="华文仿宋" w:cs="华文仿宋"/>
          <w:b w:val="0"/>
          <w:bCs w:val="0"/>
          <w:i w:val="0"/>
          <w:iCs w:val="0"/>
          <w:caps w:val="0"/>
          <w:color w:val="auto"/>
          <w:spacing w:val="0"/>
          <w:sz w:val="32"/>
          <w:szCs w:val="32"/>
        </w:rPr>
        <w:t>）</w:t>
      </w:r>
      <w:r>
        <w:rPr>
          <w:rFonts w:hint="eastAsia" w:ascii="华文仿宋" w:hAnsi="华文仿宋" w:eastAsia="华文仿宋" w:cs="华文仿宋"/>
          <w:b w:val="0"/>
          <w:bCs w:val="0"/>
          <w:i w:val="0"/>
          <w:iCs w:val="0"/>
          <w:caps w:val="0"/>
          <w:color w:val="auto"/>
          <w:spacing w:val="0"/>
          <w:sz w:val="32"/>
          <w:szCs w:val="32"/>
          <w:lang w:eastAsia="zh-CN"/>
        </w:rPr>
        <w:t>、《</w:t>
      </w:r>
      <w:r>
        <w:rPr>
          <w:rFonts w:hint="eastAsia" w:ascii="华文仿宋" w:hAnsi="华文仿宋" w:eastAsia="华文仿宋" w:cs="华文仿宋"/>
          <w:b w:val="0"/>
          <w:bCs w:val="0"/>
          <w:i w:val="0"/>
          <w:iCs w:val="0"/>
          <w:caps w:val="0"/>
          <w:color w:val="auto"/>
          <w:spacing w:val="0"/>
          <w:sz w:val="32"/>
          <w:szCs w:val="32"/>
          <w:lang w:val="en-US" w:eastAsia="zh-CN"/>
        </w:rPr>
        <w:t>关于印发兴国县政府性投资项目预结算评审管理办法（试行）的通知》</w:t>
      </w:r>
      <w:r>
        <w:rPr>
          <w:rFonts w:hint="eastAsia" w:ascii="仿宋" w:hAnsi="仿宋" w:eastAsia="仿宋" w:cs="仿宋"/>
          <w:b w:val="0"/>
          <w:bCs w:val="0"/>
          <w:i w:val="0"/>
          <w:iCs w:val="0"/>
          <w:caps w:val="0"/>
          <w:color w:val="auto"/>
          <w:spacing w:val="0"/>
          <w:sz w:val="32"/>
          <w:szCs w:val="32"/>
        </w:rPr>
        <w:t>开展评审工作，投资评审工作职能清晰、范围明确、规范有序。从20</w:t>
      </w:r>
      <w:r>
        <w:rPr>
          <w:rFonts w:hint="eastAsia" w:ascii="仿宋" w:hAnsi="仿宋" w:eastAsia="仿宋" w:cs="仿宋"/>
          <w:b w:val="0"/>
          <w:bCs w:val="0"/>
          <w:i w:val="0"/>
          <w:iCs w:val="0"/>
          <w:caps w:val="0"/>
          <w:color w:val="auto"/>
          <w:spacing w:val="0"/>
          <w:sz w:val="32"/>
          <w:szCs w:val="32"/>
          <w:lang w:val="en-US" w:eastAsia="zh-CN"/>
        </w:rPr>
        <w:t>20</w:t>
      </w:r>
      <w:r>
        <w:rPr>
          <w:rFonts w:hint="eastAsia" w:ascii="仿宋" w:hAnsi="仿宋" w:eastAsia="仿宋" w:cs="仿宋"/>
          <w:b w:val="0"/>
          <w:bCs w:val="0"/>
          <w:i w:val="0"/>
          <w:iCs w:val="0"/>
          <w:caps w:val="0"/>
          <w:color w:val="auto"/>
          <w:spacing w:val="0"/>
          <w:sz w:val="32"/>
          <w:szCs w:val="32"/>
        </w:rPr>
        <w:t>年始实施了《</w:t>
      </w:r>
      <w:r>
        <w:rPr>
          <w:rFonts w:hint="eastAsia" w:ascii="仿宋" w:hAnsi="仿宋" w:eastAsia="仿宋" w:cs="仿宋"/>
          <w:b w:val="0"/>
          <w:bCs w:val="0"/>
          <w:i w:val="0"/>
          <w:iCs w:val="0"/>
          <w:caps w:val="0"/>
          <w:color w:val="auto"/>
          <w:spacing w:val="0"/>
          <w:sz w:val="32"/>
          <w:szCs w:val="32"/>
          <w:lang w:val="en-US" w:eastAsia="zh-CN"/>
        </w:rPr>
        <w:t>兴国县</w:t>
      </w:r>
      <w:r>
        <w:rPr>
          <w:rFonts w:hint="eastAsia" w:ascii="仿宋" w:hAnsi="仿宋" w:eastAsia="仿宋" w:cs="仿宋"/>
          <w:b w:val="0"/>
          <w:bCs w:val="0"/>
          <w:i w:val="0"/>
          <w:iCs w:val="0"/>
          <w:caps w:val="0"/>
          <w:color w:val="auto"/>
          <w:spacing w:val="0"/>
          <w:sz w:val="32"/>
          <w:szCs w:val="32"/>
        </w:rPr>
        <w:t>财政</w:t>
      </w:r>
      <w:r>
        <w:rPr>
          <w:rFonts w:hint="eastAsia" w:ascii="仿宋" w:hAnsi="仿宋" w:eastAsia="仿宋" w:cs="仿宋"/>
          <w:b w:val="0"/>
          <w:bCs w:val="0"/>
          <w:i w:val="0"/>
          <w:iCs w:val="0"/>
          <w:caps w:val="0"/>
          <w:color w:val="auto"/>
          <w:spacing w:val="0"/>
          <w:sz w:val="32"/>
          <w:szCs w:val="32"/>
          <w:lang w:val="en-US" w:eastAsia="zh-CN"/>
        </w:rPr>
        <w:t>局</w:t>
      </w:r>
      <w:r>
        <w:rPr>
          <w:rFonts w:hint="eastAsia" w:ascii="仿宋" w:hAnsi="仿宋" w:eastAsia="仿宋" w:cs="仿宋"/>
          <w:b w:val="0"/>
          <w:bCs w:val="0"/>
          <w:i w:val="0"/>
          <w:iCs w:val="0"/>
          <w:caps w:val="0"/>
          <w:color w:val="auto"/>
          <w:spacing w:val="0"/>
          <w:sz w:val="32"/>
          <w:szCs w:val="32"/>
        </w:rPr>
        <w:t>投资评审风险防控办法》针对财政投资评审风险加强内部控制，从源头上做好风险防控。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2.</w:t>
      </w:r>
      <w:r>
        <w:rPr>
          <w:rFonts w:hint="eastAsia" w:ascii="仿宋" w:hAnsi="仿宋" w:eastAsia="仿宋" w:cs="仿宋"/>
          <w:b/>
          <w:bCs/>
          <w:i w:val="0"/>
          <w:iCs w:val="0"/>
          <w:caps w:val="0"/>
          <w:color w:val="auto"/>
          <w:spacing w:val="0"/>
          <w:sz w:val="28"/>
          <w:szCs w:val="28"/>
        </w:rPr>
        <w:t> </w:t>
      </w:r>
      <w:r>
        <w:rPr>
          <w:rFonts w:hint="eastAsia" w:ascii="仿宋" w:hAnsi="仿宋" w:eastAsia="仿宋" w:cs="仿宋"/>
          <w:b/>
          <w:bCs/>
          <w:i w:val="0"/>
          <w:iCs w:val="0"/>
          <w:caps w:val="0"/>
          <w:color w:val="auto"/>
          <w:spacing w:val="0"/>
          <w:sz w:val="32"/>
          <w:szCs w:val="32"/>
        </w:rPr>
        <w:t>提高评审质量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质量是评审中心的“生命线”。为了确保评审质量，我们按照全面质量控制的原则制定了</w:t>
      </w:r>
      <w:r>
        <w:rPr>
          <w:rFonts w:hint="eastAsia" w:ascii="华文仿宋" w:hAnsi="华文仿宋" w:eastAsia="华文仿宋" w:cs="华文仿宋"/>
          <w:b w:val="0"/>
          <w:bCs w:val="0"/>
          <w:i w:val="0"/>
          <w:iCs w:val="0"/>
          <w:caps w:val="0"/>
          <w:color w:val="auto"/>
          <w:spacing w:val="0"/>
          <w:sz w:val="32"/>
          <w:szCs w:val="32"/>
          <w:lang w:val="en-US" w:eastAsia="zh-CN"/>
        </w:rPr>
        <w:t>《关于印发兴国县政府性投资项目预结算评审中介机构管理办法》（兴财字【2022】29号）、《关于印发兴国县政府性投资项目预结算评审中介机构管理办法补充规定的通知》（兴财字【2023】4号）</w:t>
      </w:r>
      <w:r>
        <w:rPr>
          <w:rFonts w:hint="eastAsia" w:ascii="仿宋" w:hAnsi="仿宋" w:eastAsia="仿宋" w:cs="仿宋"/>
          <w:b w:val="0"/>
          <w:bCs w:val="0"/>
          <w:i w:val="0"/>
          <w:iCs w:val="0"/>
          <w:caps w:val="0"/>
          <w:color w:val="auto"/>
          <w:spacing w:val="0"/>
          <w:sz w:val="32"/>
          <w:szCs w:val="32"/>
        </w:rPr>
        <w:t>并下发到了</w:t>
      </w:r>
      <w:r>
        <w:rPr>
          <w:rFonts w:hint="eastAsia" w:ascii="仿宋" w:hAnsi="仿宋" w:eastAsia="仿宋" w:cs="仿宋"/>
          <w:b w:val="0"/>
          <w:bCs w:val="0"/>
          <w:i w:val="0"/>
          <w:iCs w:val="0"/>
          <w:caps w:val="0"/>
          <w:color w:val="auto"/>
          <w:spacing w:val="0"/>
          <w:sz w:val="32"/>
          <w:szCs w:val="32"/>
          <w:lang w:val="en-US" w:eastAsia="zh-CN"/>
        </w:rPr>
        <w:t>40余</w:t>
      </w:r>
      <w:r>
        <w:rPr>
          <w:rFonts w:hint="eastAsia" w:ascii="仿宋" w:hAnsi="仿宋" w:eastAsia="仿宋" w:cs="仿宋"/>
          <w:b w:val="0"/>
          <w:bCs w:val="0"/>
          <w:i w:val="0"/>
          <w:iCs w:val="0"/>
          <w:caps w:val="0"/>
          <w:color w:val="auto"/>
          <w:spacing w:val="0"/>
          <w:sz w:val="32"/>
          <w:szCs w:val="32"/>
        </w:rPr>
        <w:t>家参与协作评审的社会中介机构。</w:t>
      </w:r>
      <w:r>
        <w:rPr>
          <w:rFonts w:hint="eastAsia" w:ascii="仿宋" w:hAnsi="仿宋" w:eastAsia="仿宋" w:cs="仿宋"/>
          <w:b w:val="0"/>
          <w:bCs w:val="0"/>
          <w:i w:val="0"/>
          <w:iCs w:val="0"/>
          <w:caps w:val="0"/>
          <w:color w:val="auto"/>
          <w:spacing w:val="0"/>
          <w:sz w:val="32"/>
          <w:szCs w:val="32"/>
          <w:lang w:val="en-US" w:eastAsia="zh-CN"/>
        </w:rPr>
        <w:t>有</w:t>
      </w:r>
      <w:r>
        <w:rPr>
          <w:rFonts w:hint="eastAsia" w:ascii="仿宋" w:hAnsi="仿宋" w:eastAsia="仿宋" w:cs="仿宋"/>
          <w:b w:val="0"/>
          <w:bCs w:val="0"/>
          <w:i w:val="0"/>
          <w:iCs w:val="0"/>
          <w:caps w:val="0"/>
          <w:color w:val="auto"/>
          <w:spacing w:val="0"/>
          <w:sz w:val="32"/>
          <w:szCs w:val="32"/>
        </w:rPr>
        <w:t>专职复核人员在中介机构</w:t>
      </w:r>
      <w:r>
        <w:rPr>
          <w:rFonts w:hint="eastAsia" w:ascii="仿宋" w:hAnsi="仿宋" w:eastAsia="仿宋" w:cs="仿宋"/>
          <w:b w:val="0"/>
          <w:bCs w:val="0"/>
          <w:i w:val="0"/>
          <w:iCs w:val="0"/>
          <w:caps w:val="0"/>
          <w:color w:val="auto"/>
          <w:spacing w:val="0"/>
          <w:sz w:val="32"/>
          <w:szCs w:val="32"/>
          <w:lang w:val="en-US" w:eastAsia="zh-CN"/>
        </w:rPr>
        <w:t>二</w:t>
      </w:r>
      <w:r>
        <w:rPr>
          <w:rFonts w:hint="eastAsia" w:ascii="仿宋" w:hAnsi="仿宋" w:eastAsia="仿宋" w:cs="仿宋"/>
          <w:b w:val="0"/>
          <w:bCs w:val="0"/>
          <w:i w:val="0"/>
          <w:iCs w:val="0"/>
          <w:caps w:val="0"/>
          <w:color w:val="auto"/>
          <w:spacing w:val="0"/>
          <w:sz w:val="32"/>
          <w:szCs w:val="32"/>
        </w:rPr>
        <w:t>级复审的基础上对中介机构的评审结果进行复核，</w:t>
      </w:r>
      <w:r>
        <w:rPr>
          <w:rFonts w:hint="eastAsia" w:ascii="仿宋" w:hAnsi="仿宋" w:eastAsia="仿宋" w:cs="仿宋"/>
          <w:b w:val="0"/>
          <w:bCs w:val="0"/>
          <w:i w:val="0"/>
          <w:iCs w:val="0"/>
          <w:caps w:val="0"/>
          <w:color w:val="auto"/>
          <w:spacing w:val="0"/>
          <w:sz w:val="32"/>
          <w:szCs w:val="32"/>
          <w:lang w:val="en-US" w:eastAsia="zh-CN"/>
        </w:rPr>
        <w:t>基建股负责人</w:t>
      </w:r>
      <w:r>
        <w:rPr>
          <w:rFonts w:hint="eastAsia" w:ascii="仿宋" w:hAnsi="仿宋" w:eastAsia="仿宋" w:cs="仿宋"/>
          <w:b w:val="0"/>
          <w:bCs w:val="0"/>
          <w:i w:val="0"/>
          <w:iCs w:val="0"/>
          <w:caps w:val="0"/>
          <w:color w:val="auto"/>
          <w:spacing w:val="0"/>
          <w:sz w:val="32"/>
          <w:szCs w:val="32"/>
        </w:rPr>
        <w:t>定审后再通知项目单位交换意见</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对于特别重要或者风险特别大的项目，由</w:t>
      </w: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lang w:val="en-US" w:eastAsia="zh-CN"/>
        </w:rPr>
        <w:t>集体商议</w:t>
      </w:r>
      <w:r>
        <w:rPr>
          <w:rFonts w:hint="eastAsia" w:ascii="仿宋" w:hAnsi="仿宋" w:eastAsia="仿宋" w:cs="仿宋"/>
          <w:b w:val="0"/>
          <w:bCs w:val="0"/>
          <w:i w:val="0"/>
          <w:iCs w:val="0"/>
          <w:caps w:val="0"/>
          <w:color w:val="auto"/>
          <w:spacing w:val="0"/>
          <w:sz w:val="32"/>
          <w:szCs w:val="32"/>
        </w:rPr>
        <w:t>报局领导</w:t>
      </w:r>
      <w:r>
        <w:rPr>
          <w:rFonts w:hint="eastAsia" w:ascii="仿宋" w:hAnsi="仿宋" w:eastAsia="仿宋" w:cs="仿宋"/>
          <w:b w:val="0"/>
          <w:bCs w:val="0"/>
          <w:i w:val="0"/>
          <w:iCs w:val="0"/>
          <w:caps w:val="0"/>
          <w:color w:val="auto"/>
          <w:spacing w:val="0"/>
          <w:sz w:val="32"/>
          <w:szCs w:val="32"/>
          <w:lang w:val="en-US" w:eastAsia="zh-CN"/>
        </w:rPr>
        <w:t>后</w:t>
      </w:r>
      <w:r>
        <w:rPr>
          <w:rFonts w:hint="eastAsia" w:ascii="仿宋" w:hAnsi="仿宋" w:eastAsia="仿宋" w:cs="仿宋"/>
          <w:b w:val="0"/>
          <w:bCs w:val="0"/>
          <w:i w:val="0"/>
          <w:iCs w:val="0"/>
          <w:caps w:val="0"/>
          <w:color w:val="auto"/>
          <w:spacing w:val="0"/>
          <w:sz w:val="32"/>
          <w:szCs w:val="32"/>
        </w:rPr>
        <w:t>决定。多级审查加强了评审质量的管控，保证了评审结论的准确性，多年来没有一起评审质量问题引起的工作纠纷。严格按</w:t>
      </w:r>
      <w:r>
        <w:rPr>
          <w:rFonts w:hint="eastAsia" w:ascii="仿宋" w:hAnsi="仿宋" w:eastAsia="仿宋" w:cs="仿宋"/>
          <w:b w:val="0"/>
          <w:bCs w:val="0"/>
          <w:i w:val="0"/>
          <w:iCs w:val="0"/>
          <w:caps w:val="0"/>
          <w:color w:val="auto"/>
          <w:spacing w:val="0"/>
          <w:sz w:val="32"/>
          <w:szCs w:val="32"/>
          <w:lang w:val="en-US" w:eastAsia="zh-CN"/>
        </w:rPr>
        <w:t>兴国县</w:t>
      </w:r>
      <w:r>
        <w:rPr>
          <w:rFonts w:hint="eastAsia" w:ascii="仿宋" w:hAnsi="仿宋" w:eastAsia="仿宋" w:cs="仿宋"/>
          <w:b w:val="0"/>
          <w:bCs w:val="0"/>
          <w:i w:val="0"/>
          <w:iCs w:val="0"/>
          <w:caps w:val="0"/>
          <w:color w:val="auto"/>
          <w:spacing w:val="0"/>
          <w:sz w:val="32"/>
          <w:szCs w:val="32"/>
        </w:rPr>
        <w:t>财政投资项目评审操作规程规定时限限时完成，及时对接，没有出现一起因评审时效问题影响评审工作声誉的事件。</w:t>
      </w:r>
      <w:r>
        <w:rPr>
          <w:rFonts w:hint="default" w:ascii="华文仿宋" w:hAnsi="华文仿宋" w:eastAsia="华文仿宋" w:cs="华文仿宋"/>
          <w:b w:val="0"/>
          <w:bCs w:val="0"/>
          <w:i w:val="0"/>
          <w:iCs w:val="0"/>
          <w:caps w:val="0"/>
          <w:color w:val="auto"/>
          <w:spacing w:val="0"/>
          <w:sz w:val="32"/>
          <w:szCs w:val="32"/>
        </w:rPr>
        <w:t>高度重视信息化管理，日常评审工作中也非常重视相关信息的收集，与各行各业专家的信息交流，电子档案项目</w:t>
      </w:r>
      <w:r>
        <w:rPr>
          <w:rFonts w:hint="eastAsia" w:ascii="华文仿宋" w:hAnsi="华文仿宋" w:eastAsia="华文仿宋" w:cs="华文仿宋"/>
          <w:b w:val="0"/>
          <w:bCs w:val="0"/>
          <w:i w:val="0"/>
          <w:iCs w:val="0"/>
          <w:caps w:val="0"/>
          <w:color w:val="auto"/>
          <w:spacing w:val="0"/>
          <w:sz w:val="32"/>
          <w:szCs w:val="32"/>
          <w:lang w:val="en-US" w:eastAsia="zh-CN"/>
        </w:rPr>
        <w:t>随同纸质档案</w:t>
      </w:r>
      <w:r>
        <w:rPr>
          <w:rFonts w:hint="default" w:ascii="华文仿宋" w:hAnsi="华文仿宋" w:eastAsia="华文仿宋" w:cs="华文仿宋"/>
          <w:b w:val="0"/>
          <w:bCs w:val="0"/>
          <w:i w:val="0"/>
          <w:iCs w:val="0"/>
          <w:caps w:val="0"/>
          <w:color w:val="auto"/>
          <w:spacing w:val="0"/>
          <w:sz w:val="32"/>
          <w:szCs w:val="32"/>
        </w:rPr>
        <w:t>相应归档，作为同类项目的参考和比较。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3、加强评审考核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我们对照</w:t>
      </w:r>
      <w:r>
        <w:rPr>
          <w:rFonts w:hint="eastAsia" w:ascii="华文仿宋" w:hAnsi="华文仿宋" w:eastAsia="华文仿宋" w:cs="华文仿宋"/>
          <w:b w:val="0"/>
          <w:bCs w:val="0"/>
          <w:i w:val="0"/>
          <w:iCs w:val="0"/>
          <w:caps w:val="0"/>
          <w:color w:val="auto"/>
          <w:spacing w:val="0"/>
          <w:sz w:val="32"/>
          <w:szCs w:val="32"/>
          <w:lang w:val="en-US" w:eastAsia="zh-CN"/>
        </w:rPr>
        <w:t>《关于印发兴国县政府性投资项目预结算评审中介机构管理办法》（兴财字【2022】29号）</w:t>
      </w:r>
      <w:r>
        <w:rPr>
          <w:rFonts w:hint="eastAsia" w:ascii="仿宋" w:hAnsi="仿宋" w:eastAsia="仿宋" w:cs="仿宋"/>
          <w:b w:val="0"/>
          <w:bCs w:val="0"/>
          <w:i w:val="0"/>
          <w:iCs w:val="0"/>
          <w:caps w:val="0"/>
          <w:color w:val="auto"/>
          <w:spacing w:val="0"/>
          <w:sz w:val="32"/>
          <w:szCs w:val="32"/>
        </w:rPr>
        <w:t>的规定，对</w:t>
      </w:r>
      <w:r>
        <w:rPr>
          <w:rFonts w:hint="eastAsia" w:ascii="仿宋" w:hAnsi="仿宋" w:eastAsia="仿宋" w:cs="仿宋"/>
          <w:b w:val="0"/>
          <w:bCs w:val="0"/>
          <w:i w:val="0"/>
          <w:iCs w:val="0"/>
          <w:caps w:val="0"/>
          <w:color w:val="auto"/>
          <w:spacing w:val="0"/>
          <w:sz w:val="32"/>
          <w:szCs w:val="32"/>
          <w:lang w:val="en-US" w:eastAsia="zh-CN"/>
        </w:rPr>
        <w:t>15</w:t>
      </w:r>
      <w:r>
        <w:rPr>
          <w:rFonts w:hint="eastAsia" w:ascii="仿宋" w:hAnsi="仿宋" w:eastAsia="仿宋" w:cs="仿宋"/>
          <w:b w:val="0"/>
          <w:bCs w:val="0"/>
          <w:i w:val="0"/>
          <w:iCs w:val="0"/>
          <w:caps w:val="0"/>
          <w:color w:val="auto"/>
          <w:spacing w:val="0"/>
          <w:sz w:val="32"/>
          <w:szCs w:val="32"/>
        </w:rPr>
        <w:t>个金额在500万元以上的预算项目和</w:t>
      </w:r>
      <w:r>
        <w:rPr>
          <w:rFonts w:hint="eastAsia" w:ascii="仿宋" w:hAnsi="仿宋" w:eastAsia="仿宋" w:cs="仿宋"/>
          <w:b w:val="0"/>
          <w:bCs w:val="0"/>
          <w:i w:val="0"/>
          <w:iCs w:val="0"/>
          <w:caps w:val="0"/>
          <w:color w:val="auto"/>
          <w:spacing w:val="0"/>
          <w:sz w:val="32"/>
          <w:szCs w:val="32"/>
          <w:lang w:val="en-US" w:eastAsia="zh-CN"/>
        </w:rPr>
        <w:t>53</w:t>
      </w:r>
      <w:r>
        <w:rPr>
          <w:rFonts w:hint="eastAsia" w:ascii="仿宋" w:hAnsi="仿宋" w:eastAsia="仿宋" w:cs="仿宋"/>
          <w:b w:val="0"/>
          <w:bCs w:val="0"/>
          <w:i w:val="0"/>
          <w:iCs w:val="0"/>
          <w:caps w:val="0"/>
          <w:color w:val="auto"/>
          <w:spacing w:val="0"/>
          <w:sz w:val="32"/>
          <w:szCs w:val="32"/>
        </w:rPr>
        <w:t>个金额在100万元以上的结算项目分评审效率、评审质量、评审纪律等几个方面进行了项目考核。</w:t>
      </w:r>
      <w:r>
        <w:rPr>
          <w:rFonts w:hint="eastAsia" w:ascii="仿宋" w:hAnsi="仿宋" w:eastAsia="仿宋"/>
          <w:sz w:val="32"/>
          <w:szCs w:val="32"/>
        </w:rPr>
        <w:t>我局参照市财政局对外审入库机构的考核管理办法，对我县入库的</w:t>
      </w:r>
      <w:r>
        <w:rPr>
          <w:rFonts w:hint="eastAsia" w:ascii="仿宋" w:hAnsi="仿宋" w:eastAsia="仿宋" w:cs="仿宋"/>
          <w:b w:val="0"/>
          <w:bCs w:val="0"/>
          <w:i w:val="0"/>
          <w:iCs w:val="0"/>
          <w:caps w:val="0"/>
          <w:color w:val="auto"/>
          <w:spacing w:val="0"/>
          <w:sz w:val="32"/>
          <w:szCs w:val="32"/>
          <w:lang w:val="en-US" w:eastAsia="zh-CN"/>
        </w:rPr>
        <w:t>25</w:t>
      </w:r>
      <w:r>
        <w:rPr>
          <w:rFonts w:hint="eastAsia" w:ascii="仿宋" w:hAnsi="仿宋" w:eastAsia="仿宋" w:cs="仿宋"/>
          <w:b w:val="0"/>
          <w:bCs w:val="0"/>
          <w:i w:val="0"/>
          <w:iCs w:val="0"/>
          <w:caps w:val="0"/>
          <w:color w:val="auto"/>
          <w:spacing w:val="0"/>
          <w:sz w:val="32"/>
          <w:szCs w:val="32"/>
        </w:rPr>
        <w:t>个协作评审中介机构在项目考核的基础上分基础管理、综合实力、优化与创新能力等几个方面进行综合考核。</w:t>
      </w:r>
      <w:r>
        <w:rPr>
          <w:rFonts w:hint="eastAsia" w:ascii="仿宋" w:hAnsi="仿宋" w:eastAsia="仿宋" w:cs="仿宋"/>
          <w:b w:val="0"/>
          <w:bCs w:val="0"/>
          <w:i w:val="0"/>
          <w:iCs w:val="0"/>
          <w:caps w:val="0"/>
          <w:color w:val="auto"/>
          <w:spacing w:val="0"/>
          <w:sz w:val="32"/>
          <w:szCs w:val="32"/>
          <w:lang w:val="en-US" w:eastAsia="zh-CN"/>
        </w:rPr>
        <w:t>10</w:t>
      </w:r>
      <w:r>
        <w:rPr>
          <w:rFonts w:hint="eastAsia" w:ascii="仿宋" w:hAnsi="仿宋" w:eastAsia="仿宋" w:cs="仿宋"/>
          <w:b w:val="0"/>
          <w:bCs w:val="0"/>
          <w:i w:val="0"/>
          <w:iCs w:val="0"/>
          <w:caps w:val="0"/>
          <w:color w:val="auto"/>
          <w:spacing w:val="0"/>
          <w:sz w:val="32"/>
          <w:szCs w:val="32"/>
        </w:rPr>
        <w:t>家考核结果为优秀，</w:t>
      </w:r>
      <w:r>
        <w:rPr>
          <w:rFonts w:hint="eastAsia" w:ascii="仿宋" w:hAnsi="仿宋" w:eastAsia="仿宋" w:cs="仿宋"/>
          <w:b w:val="0"/>
          <w:bCs w:val="0"/>
          <w:i w:val="0"/>
          <w:iCs w:val="0"/>
          <w:caps w:val="0"/>
          <w:color w:val="auto"/>
          <w:spacing w:val="0"/>
          <w:sz w:val="32"/>
          <w:szCs w:val="32"/>
          <w:lang w:val="en-US" w:eastAsia="zh-CN"/>
        </w:rPr>
        <w:t>14</w:t>
      </w:r>
      <w:r>
        <w:rPr>
          <w:rFonts w:hint="eastAsia" w:ascii="仿宋" w:hAnsi="仿宋" w:eastAsia="仿宋" w:cs="仿宋"/>
          <w:b w:val="0"/>
          <w:bCs w:val="0"/>
          <w:i w:val="0"/>
          <w:iCs w:val="0"/>
          <w:caps w:val="0"/>
          <w:color w:val="auto"/>
          <w:spacing w:val="0"/>
          <w:sz w:val="32"/>
          <w:szCs w:val="32"/>
        </w:rPr>
        <w:t>家良好，</w:t>
      </w:r>
      <w:r>
        <w:rPr>
          <w:rFonts w:hint="eastAsia" w:ascii="仿宋" w:hAnsi="仿宋" w:eastAsia="仿宋" w:cs="仿宋"/>
          <w:b w:val="0"/>
          <w:bCs w:val="0"/>
          <w:i w:val="0"/>
          <w:iCs w:val="0"/>
          <w:caps w:val="0"/>
          <w:color w:val="auto"/>
          <w:spacing w:val="0"/>
          <w:sz w:val="32"/>
          <w:szCs w:val="32"/>
          <w:lang w:val="en-US" w:eastAsia="zh-CN"/>
        </w:rPr>
        <w:t>1</w:t>
      </w:r>
      <w:r>
        <w:rPr>
          <w:rFonts w:hint="eastAsia" w:ascii="仿宋" w:hAnsi="仿宋" w:eastAsia="仿宋" w:cs="仿宋"/>
          <w:b w:val="0"/>
          <w:bCs w:val="0"/>
          <w:i w:val="0"/>
          <w:iCs w:val="0"/>
          <w:caps w:val="0"/>
          <w:color w:val="auto"/>
          <w:spacing w:val="0"/>
          <w:sz w:val="32"/>
          <w:szCs w:val="32"/>
        </w:rPr>
        <w:t>家合格，有效的促进了协作评审中介机构创先评优的积极性，从而进一步提高了评审工作质量。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b/>
          <w:bCs/>
          <w:color w:val="auto"/>
          <w:sz w:val="21"/>
          <w:szCs w:val="21"/>
        </w:rPr>
      </w:pPr>
      <w:r>
        <w:rPr>
          <w:rFonts w:hint="eastAsia" w:ascii="仿宋" w:hAnsi="仿宋" w:eastAsia="仿宋" w:cs="仿宋"/>
          <w:b/>
          <w:bCs/>
          <w:i w:val="0"/>
          <w:iCs w:val="0"/>
          <w:caps w:val="0"/>
          <w:color w:val="auto"/>
          <w:spacing w:val="0"/>
          <w:sz w:val="32"/>
          <w:szCs w:val="32"/>
        </w:rPr>
        <w:t>4、加强评审建设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lang w:val="en-US" w:eastAsia="zh-CN"/>
        </w:rPr>
        <w:t>将</w:t>
      </w:r>
      <w:r>
        <w:rPr>
          <w:rFonts w:hint="eastAsia" w:ascii="仿宋" w:hAnsi="仿宋" w:eastAsia="仿宋" w:cs="仿宋"/>
          <w:b w:val="0"/>
          <w:bCs w:val="0"/>
          <w:i w:val="0"/>
          <w:iCs w:val="0"/>
          <w:caps w:val="0"/>
          <w:color w:val="auto"/>
          <w:spacing w:val="0"/>
          <w:sz w:val="32"/>
          <w:szCs w:val="32"/>
        </w:rPr>
        <w:t>《</w:t>
      </w:r>
      <w:r>
        <w:rPr>
          <w:rFonts w:hint="eastAsia" w:ascii="仿宋" w:hAnsi="仿宋" w:eastAsia="仿宋" w:cs="仿宋"/>
          <w:b w:val="0"/>
          <w:bCs w:val="0"/>
          <w:i w:val="0"/>
          <w:iCs w:val="0"/>
          <w:caps w:val="0"/>
          <w:color w:val="auto"/>
          <w:spacing w:val="0"/>
          <w:sz w:val="32"/>
          <w:szCs w:val="32"/>
          <w:lang w:val="en-US" w:eastAsia="zh-CN"/>
        </w:rPr>
        <w:t>兴国县财政局“十五项”工作承诺</w:t>
      </w:r>
      <w:r>
        <w:rPr>
          <w:rFonts w:hint="eastAsia" w:ascii="仿宋" w:hAnsi="仿宋" w:eastAsia="仿宋" w:cs="仿宋"/>
          <w:b w:val="0"/>
          <w:bCs w:val="0"/>
          <w:i w:val="0"/>
          <w:iCs w:val="0"/>
          <w:caps w:val="0"/>
          <w:color w:val="auto"/>
          <w:spacing w:val="0"/>
          <w:sz w:val="32"/>
          <w:szCs w:val="32"/>
        </w:rPr>
        <w:t>》下发到</w:t>
      </w:r>
      <w:r>
        <w:rPr>
          <w:rFonts w:hint="eastAsia" w:ascii="仿宋" w:hAnsi="仿宋" w:eastAsia="仿宋" w:cs="仿宋"/>
          <w:b w:val="0"/>
          <w:bCs w:val="0"/>
          <w:i w:val="0"/>
          <w:iCs w:val="0"/>
          <w:caps w:val="0"/>
          <w:color w:val="auto"/>
          <w:spacing w:val="0"/>
          <w:sz w:val="32"/>
          <w:szCs w:val="32"/>
          <w:lang w:val="en-US" w:eastAsia="zh-CN"/>
        </w:rPr>
        <w:t>所有</w:t>
      </w:r>
      <w:r>
        <w:rPr>
          <w:rFonts w:hint="eastAsia" w:ascii="仿宋" w:hAnsi="仿宋" w:eastAsia="仿宋" w:cs="仿宋"/>
          <w:b w:val="0"/>
          <w:bCs w:val="0"/>
          <w:i w:val="0"/>
          <w:iCs w:val="0"/>
          <w:caps w:val="0"/>
          <w:color w:val="auto"/>
          <w:spacing w:val="0"/>
          <w:sz w:val="32"/>
          <w:szCs w:val="32"/>
        </w:rPr>
        <w:t>协作评审中介机构，</w:t>
      </w: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全体人员带头严格遵守。通过设定岗位分离控制制度，综合岗位、复核岗位、审核岗位和监督岗位各司其职、各负其责、相互制衡。坚持用合理的职能定位降风险；用科学的管理制度控风险；用现代信息化手段防风险；用和谐的团队文化抵御风险。我们还和</w:t>
      </w:r>
      <w:r>
        <w:rPr>
          <w:rFonts w:hint="eastAsia" w:ascii="仿宋" w:hAnsi="仿宋" w:eastAsia="仿宋" w:cs="仿宋"/>
          <w:b w:val="0"/>
          <w:bCs w:val="0"/>
          <w:i w:val="0"/>
          <w:iCs w:val="0"/>
          <w:caps w:val="0"/>
          <w:color w:val="auto"/>
          <w:spacing w:val="0"/>
          <w:sz w:val="32"/>
          <w:szCs w:val="32"/>
          <w:lang w:val="en-US" w:eastAsia="zh-CN"/>
        </w:rPr>
        <w:t>兄弟</w:t>
      </w:r>
      <w:r>
        <w:rPr>
          <w:rFonts w:hint="eastAsia" w:ascii="仿宋" w:hAnsi="仿宋" w:eastAsia="仿宋" w:cs="仿宋"/>
          <w:b w:val="0"/>
          <w:bCs w:val="0"/>
          <w:i w:val="0"/>
          <w:iCs w:val="0"/>
          <w:caps w:val="0"/>
          <w:color w:val="auto"/>
          <w:spacing w:val="0"/>
          <w:sz w:val="32"/>
          <w:szCs w:val="32"/>
        </w:rPr>
        <w:t>区县财评和协作评审机构一起加强调研、交流和学习，积极推进财政评审文化</w:t>
      </w:r>
      <w:r>
        <w:rPr>
          <w:rFonts w:hint="eastAsia" w:ascii="仿宋" w:hAnsi="仿宋" w:eastAsia="仿宋" w:cs="仿宋"/>
          <w:b w:val="0"/>
          <w:bCs w:val="0"/>
          <w:i w:val="0"/>
          <w:iCs w:val="0"/>
          <w:caps w:val="0"/>
          <w:color w:val="auto"/>
          <w:spacing w:val="0"/>
          <w:sz w:val="32"/>
          <w:szCs w:val="32"/>
          <w:lang w:val="en-US" w:eastAsia="zh-CN"/>
        </w:rPr>
        <w:t>和廉政</w:t>
      </w:r>
      <w:r>
        <w:rPr>
          <w:rFonts w:hint="eastAsia" w:ascii="仿宋" w:hAnsi="仿宋" w:eastAsia="仿宋" w:cs="仿宋"/>
          <w:b w:val="0"/>
          <w:bCs w:val="0"/>
          <w:i w:val="0"/>
          <w:iCs w:val="0"/>
          <w:caps w:val="0"/>
          <w:color w:val="auto"/>
          <w:spacing w:val="0"/>
          <w:sz w:val="32"/>
          <w:szCs w:val="32"/>
        </w:rPr>
        <w:t>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Style w:val="7"/>
          <w:rFonts w:hint="eastAsia" w:ascii="仿宋" w:hAnsi="仿宋" w:eastAsia="仿宋" w:cs="仿宋"/>
          <w:i w:val="0"/>
          <w:iCs w:val="0"/>
          <w:caps w:val="0"/>
          <w:color w:val="auto"/>
          <w:spacing w:val="0"/>
          <w:sz w:val="32"/>
          <w:szCs w:val="32"/>
        </w:rPr>
        <w:t>四、项目绩效情况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rPr>
        <w:t>20</w:t>
      </w:r>
      <w:r>
        <w:rPr>
          <w:rFonts w:hint="eastAsia" w:ascii="仿宋" w:hAnsi="仿宋" w:eastAsia="仿宋" w:cs="仿宋"/>
          <w:b w:val="0"/>
          <w:bCs w:val="0"/>
          <w:i w:val="0"/>
          <w:iCs w:val="0"/>
          <w:caps w:val="0"/>
          <w:color w:val="auto"/>
          <w:spacing w:val="0"/>
          <w:sz w:val="32"/>
          <w:szCs w:val="32"/>
          <w:lang w:val="en-US" w:eastAsia="zh-CN"/>
        </w:rPr>
        <w:t>23</w:t>
      </w:r>
      <w:r>
        <w:rPr>
          <w:rFonts w:hint="eastAsia" w:ascii="仿宋" w:hAnsi="仿宋" w:eastAsia="仿宋" w:cs="仿宋"/>
          <w:b w:val="0"/>
          <w:bCs w:val="0"/>
          <w:i w:val="0"/>
          <w:iCs w:val="0"/>
          <w:caps w:val="0"/>
          <w:color w:val="auto"/>
          <w:spacing w:val="0"/>
          <w:sz w:val="32"/>
          <w:szCs w:val="32"/>
        </w:rPr>
        <w:t>年，在</w:t>
      </w:r>
      <w:r>
        <w:rPr>
          <w:rFonts w:hint="eastAsia" w:ascii="仿宋" w:hAnsi="仿宋" w:eastAsia="仿宋" w:cs="仿宋"/>
          <w:b w:val="0"/>
          <w:bCs w:val="0"/>
          <w:i w:val="0"/>
          <w:iCs w:val="0"/>
          <w:caps w:val="0"/>
          <w:color w:val="auto"/>
          <w:spacing w:val="0"/>
          <w:sz w:val="32"/>
          <w:szCs w:val="32"/>
          <w:lang w:val="en-US" w:eastAsia="zh-CN"/>
        </w:rPr>
        <w:t>局班子的正确领导下</w:t>
      </w:r>
      <w:r>
        <w:rPr>
          <w:rFonts w:hint="eastAsia" w:ascii="仿宋" w:hAnsi="仿宋" w:eastAsia="仿宋" w:cs="仿宋"/>
          <w:b w:val="0"/>
          <w:bCs w:val="0"/>
          <w:i w:val="0"/>
          <w:iCs w:val="0"/>
          <w:caps w:val="0"/>
          <w:color w:val="auto"/>
          <w:spacing w:val="0"/>
          <w:sz w:val="32"/>
          <w:szCs w:val="32"/>
        </w:rPr>
        <w:t>，</w:t>
      </w: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通过加强评审质量的管控，保证评审结论的准确性，通过完善岗位责任机制、中心内控机制等制度规范评审程序，用制度约束评审行为，用制度保障评审质量。拓宽评审领域，强化“不唯减、不唯增、只唯实”的评审理念，对</w:t>
      </w:r>
      <w:r>
        <w:rPr>
          <w:rFonts w:hint="eastAsia" w:ascii="仿宋" w:hAnsi="仿宋" w:eastAsia="仿宋" w:cs="仿宋"/>
          <w:b w:val="0"/>
          <w:bCs w:val="0"/>
          <w:i w:val="0"/>
          <w:iCs w:val="0"/>
          <w:caps w:val="0"/>
          <w:color w:val="auto"/>
          <w:spacing w:val="0"/>
          <w:sz w:val="32"/>
          <w:szCs w:val="32"/>
          <w:lang w:val="en-US" w:eastAsia="zh-CN"/>
        </w:rPr>
        <w:t>县</w:t>
      </w:r>
      <w:r>
        <w:rPr>
          <w:rFonts w:hint="eastAsia" w:ascii="仿宋" w:hAnsi="仿宋" w:eastAsia="仿宋" w:cs="仿宋"/>
          <w:b w:val="0"/>
          <w:bCs w:val="0"/>
          <w:i w:val="0"/>
          <w:iCs w:val="0"/>
          <w:caps w:val="0"/>
          <w:color w:val="auto"/>
          <w:spacing w:val="0"/>
          <w:sz w:val="32"/>
          <w:szCs w:val="32"/>
        </w:rPr>
        <w:t>级重点项目建设评审实行先审、快审和重点审，为经济建设提供优质服务。全年共审查工程预算项目</w:t>
      </w:r>
      <w:r>
        <w:rPr>
          <w:rFonts w:hint="eastAsia" w:ascii="仿宋" w:hAnsi="仿宋" w:eastAsia="仿宋" w:cs="仿宋"/>
          <w:b w:val="0"/>
          <w:bCs w:val="0"/>
          <w:i w:val="0"/>
          <w:iCs w:val="0"/>
          <w:caps w:val="0"/>
          <w:color w:val="auto"/>
          <w:spacing w:val="0"/>
          <w:sz w:val="32"/>
          <w:szCs w:val="32"/>
          <w:lang w:val="en-US" w:eastAsia="zh-CN"/>
        </w:rPr>
        <w:t>1035</w:t>
      </w:r>
      <w:r>
        <w:rPr>
          <w:rFonts w:hint="eastAsia" w:ascii="仿宋" w:hAnsi="仿宋" w:eastAsia="仿宋" w:cs="仿宋"/>
          <w:b w:val="0"/>
          <w:bCs w:val="0"/>
          <w:i w:val="0"/>
          <w:iCs w:val="0"/>
          <w:caps w:val="0"/>
          <w:color w:val="auto"/>
          <w:spacing w:val="0"/>
          <w:sz w:val="32"/>
          <w:szCs w:val="32"/>
        </w:rPr>
        <w:t>个，</w:t>
      </w:r>
      <w:r>
        <w:rPr>
          <w:rFonts w:hint="eastAsia" w:ascii="仿宋" w:hAnsi="仿宋" w:eastAsia="仿宋" w:cs="仿宋"/>
          <w:b w:val="0"/>
          <w:bCs w:val="0"/>
          <w:i w:val="0"/>
          <w:iCs w:val="0"/>
          <w:caps w:val="0"/>
          <w:color w:val="auto"/>
          <w:spacing w:val="0"/>
          <w:sz w:val="32"/>
          <w:szCs w:val="32"/>
          <w:lang w:val="en-US" w:eastAsia="zh-CN"/>
        </w:rPr>
        <w:t>受审金额69.49亿元，审定金额59.33亿元，</w:t>
      </w:r>
      <w:r>
        <w:rPr>
          <w:rFonts w:hint="eastAsia" w:ascii="仿宋" w:hAnsi="仿宋" w:eastAsia="仿宋" w:cs="仿宋"/>
          <w:b w:val="0"/>
          <w:bCs w:val="0"/>
          <w:i w:val="0"/>
          <w:iCs w:val="0"/>
          <w:caps w:val="0"/>
          <w:color w:val="auto"/>
          <w:spacing w:val="0"/>
          <w:sz w:val="32"/>
          <w:szCs w:val="32"/>
        </w:rPr>
        <w:t>节约政府投资</w:t>
      </w:r>
      <w:r>
        <w:rPr>
          <w:rFonts w:hint="eastAsia" w:ascii="仿宋" w:hAnsi="仿宋" w:eastAsia="仿宋" w:cs="仿宋"/>
          <w:b w:val="0"/>
          <w:bCs w:val="0"/>
          <w:i w:val="0"/>
          <w:iCs w:val="0"/>
          <w:caps w:val="0"/>
          <w:color w:val="auto"/>
          <w:spacing w:val="0"/>
          <w:sz w:val="32"/>
          <w:szCs w:val="32"/>
          <w:lang w:val="en-US" w:eastAsia="zh-CN"/>
        </w:rPr>
        <w:t>10.16</w:t>
      </w:r>
      <w:r>
        <w:rPr>
          <w:rFonts w:hint="eastAsia" w:ascii="仿宋" w:hAnsi="仿宋" w:eastAsia="仿宋" w:cs="仿宋"/>
          <w:b w:val="0"/>
          <w:bCs w:val="0"/>
          <w:i w:val="0"/>
          <w:iCs w:val="0"/>
          <w:caps w:val="0"/>
          <w:color w:val="auto"/>
          <w:spacing w:val="0"/>
          <w:sz w:val="32"/>
          <w:szCs w:val="32"/>
        </w:rPr>
        <w:t>亿元。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rPr>
          <w:rFonts w:hint="default" w:ascii="Times New Roman" w:hAnsi="Times New Roman" w:cs="Times New Roman"/>
          <w:color w:val="auto"/>
          <w:sz w:val="21"/>
          <w:szCs w:val="21"/>
        </w:rPr>
      </w:pPr>
      <w:r>
        <w:rPr>
          <w:rFonts w:hint="eastAsia" w:ascii="仿宋" w:hAnsi="仿宋" w:eastAsia="仿宋" w:cs="仿宋"/>
          <w:b w:val="0"/>
          <w:bCs w:val="0"/>
          <w:i w:val="0"/>
          <w:iCs w:val="0"/>
          <w:caps w:val="0"/>
          <w:color w:val="auto"/>
          <w:spacing w:val="0"/>
          <w:sz w:val="32"/>
          <w:szCs w:val="32"/>
          <w:lang w:val="en-US" w:eastAsia="zh-CN"/>
        </w:rPr>
        <w:t>基建股（</w:t>
      </w:r>
      <w:r>
        <w:rPr>
          <w:rFonts w:hint="eastAsia" w:ascii="仿宋" w:hAnsi="仿宋" w:eastAsia="仿宋" w:cs="仿宋"/>
          <w:b w:val="0"/>
          <w:bCs w:val="0"/>
          <w:i w:val="0"/>
          <w:iCs w:val="0"/>
          <w:caps w:val="0"/>
          <w:color w:val="auto"/>
          <w:spacing w:val="0"/>
          <w:sz w:val="32"/>
          <w:szCs w:val="32"/>
        </w:rPr>
        <w:t>评审中心</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lang w:val="en-US" w:eastAsia="zh-CN"/>
        </w:rPr>
        <w:t>将</w:t>
      </w:r>
      <w:r>
        <w:rPr>
          <w:rFonts w:hint="eastAsia" w:ascii="仿宋" w:hAnsi="仿宋" w:eastAsia="仿宋" w:cs="仿宋"/>
          <w:b w:val="0"/>
          <w:bCs w:val="0"/>
          <w:i w:val="0"/>
          <w:iCs w:val="0"/>
          <w:caps w:val="0"/>
          <w:color w:val="auto"/>
          <w:spacing w:val="0"/>
          <w:sz w:val="32"/>
          <w:szCs w:val="32"/>
        </w:rPr>
        <w:t>牢固树立服务意识，对政府投融资项目从立项至交付使用，凡是</w:t>
      </w:r>
      <w:r>
        <w:rPr>
          <w:rFonts w:hint="eastAsia" w:ascii="仿宋" w:hAnsi="仿宋" w:eastAsia="仿宋" w:cs="仿宋"/>
          <w:b w:val="0"/>
          <w:bCs w:val="0"/>
          <w:i w:val="0"/>
          <w:iCs w:val="0"/>
          <w:caps w:val="0"/>
          <w:color w:val="auto"/>
          <w:spacing w:val="0"/>
          <w:sz w:val="32"/>
          <w:szCs w:val="32"/>
          <w:lang w:eastAsia="zh-CN"/>
        </w:rPr>
        <w:t>涉及</w:t>
      </w:r>
      <w:r>
        <w:rPr>
          <w:rFonts w:hint="eastAsia" w:ascii="仿宋" w:hAnsi="仿宋" w:eastAsia="仿宋" w:cs="仿宋"/>
          <w:b w:val="0"/>
          <w:bCs w:val="0"/>
          <w:i w:val="0"/>
          <w:iCs w:val="0"/>
          <w:caps w:val="0"/>
          <w:color w:val="auto"/>
          <w:spacing w:val="0"/>
          <w:sz w:val="32"/>
          <w:szCs w:val="32"/>
        </w:rPr>
        <w:t>财政资金使用的环节，评审工作做到事前、事中、事后全过程评审服务，从源头上把好政府投资审核关，挖掘节约政府投资、提高财政资金使用效益的潜力。评审结论作为政府采购、资金安排和拨付的重要依据，有效控制财政资金运行，提高财政投资绩效</w:t>
      </w:r>
      <w:r>
        <w:rPr>
          <w:rFonts w:hint="eastAsia" w:ascii="仿宋" w:hAnsi="仿宋" w:eastAsia="仿宋" w:cs="仿宋"/>
          <w:b w:val="0"/>
          <w:bCs w:val="0"/>
          <w:i w:val="0"/>
          <w:iCs w:val="0"/>
          <w:caps w:val="0"/>
          <w:color w:val="auto"/>
          <w:spacing w:val="0"/>
          <w:sz w:val="32"/>
          <w:szCs w:val="32"/>
          <w:lang w:eastAsia="zh-CN"/>
        </w:rPr>
        <w:t>，</w:t>
      </w:r>
      <w:r>
        <w:rPr>
          <w:rFonts w:hint="eastAsia" w:ascii="仿宋" w:hAnsi="仿宋" w:eastAsia="仿宋" w:cs="仿宋"/>
          <w:b w:val="0"/>
          <w:bCs w:val="0"/>
          <w:i w:val="0"/>
          <w:iCs w:val="0"/>
          <w:caps w:val="0"/>
          <w:color w:val="auto"/>
          <w:spacing w:val="0"/>
          <w:sz w:val="32"/>
          <w:szCs w:val="32"/>
        </w:rPr>
        <w:t>得到了社会各界的广泛好评和充分肯定。</w:t>
      </w:r>
    </w:p>
    <w:p>
      <w:pPr>
        <w:ind w:firstLine="600"/>
        <w:rPr>
          <w:rFonts w:hint="eastAsia" w:ascii="仿宋_GB2312" w:hAnsi="仿宋_GB2312" w:eastAsia="仿宋_GB2312"/>
          <w:kern w:val="0"/>
          <w:sz w:val="32"/>
          <w:szCs w:val="32"/>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decorative"/>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true">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zql5uc8AAAAFAQAADwAAAAAAAAABACAAAAA4AAAAZHJzL2Rvd25yZXYueG1s&#10;UEsBAhQAFAAAAAgAh07iQFNUP6KyAQAAUQMAAA4AAAAAAAAAAQAgAAAANAEAAGRycy9lMm9Eb2Mu&#10;eG1sUEsFBgAAAAAGAAYAWQEAAFgFAAAAAA==&#10;">
              <v:fill on="f" focussize="0,0"/>
              <v:stroke on="f"/>
              <v:imagedata o:title=""/>
              <o:lock v:ext="edit" aspectratio="f"/>
              <v:textbox inset="0mm,0mm,0mm,0mm" style="mso-fit-shape-to-text:t;">
                <w:txbxContent>
                  <w:p>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18"/>
        <w:sz w:val="18"/>
        <w:szCs w:val="18"/>
      </w:rPr>
      <w:t xml:space="preserve"> </w:t>
    </w:r>
    <w:r>
      <w:rPr>
        <w:rFonts w:ascii="Calibri" w:hAnsi="Calibri" w:eastAsia="Calibri" w:cs="Calibri"/>
        <w:spacing w:val="-7"/>
        <w:sz w:val="32"/>
        <w:szCs w:val="32"/>
      </w:rPr>
      <w:t>24</w:t>
    </w:r>
    <w:r>
      <w:rPr>
        <w:rFonts w:ascii="Calibri" w:hAnsi="Calibri" w:eastAsia="Calibri" w:cs="Calibri"/>
        <w:spacing w:val="9"/>
        <w:sz w:val="32"/>
        <w:szCs w:val="32"/>
      </w:rPr>
      <w:t xml:space="preserve">  </w:t>
    </w:r>
    <w:r>
      <w:rPr>
        <w:rFonts w:ascii="宋体" w:hAnsi="宋体" w:eastAsia="宋体" w:cs="宋体"/>
        <w:spacing w:val="-7"/>
        <w:sz w:val="18"/>
        <w:szCs w:val="1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45ADC6"/>
    <w:multiLevelType w:val="singleLevel"/>
    <w:tmpl w:val="2A45ADC6"/>
    <w:lvl w:ilvl="0" w:tentative="0">
      <w:start w:val="2"/>
      <w:numFmt w:val="chineseCounting"/>
      <w:suff w:val="nothing"/>
      <w:lvlText w:val="（%1）"/>
      <w:lvlJc w:val="left"/>
      <w:rPr>
        <w:rFonts w:hint="eastAsia"/>
      </w:rPr>
    </w:lvl>
  </w:abstractNum>
  <w:abstractNum w:abstractNumId="1">
    <w:nsid w:val="3FB2F22A"/>
    <w:multiLevelType w:val="singleLevel"/>
    <w:tmpl w:val="3FB2F22A"/>
    <w:lvl w:ilvl="0" w:tentative="0">
      <w:start w:val="1"/>
      <w:numFmt w:val="chineseCounting"/>
      <w:suff w:val="nothing"/>
      <w:lvlText w:val="%1、"/>
      <w:lvlJc w:val="left"/>
      <w:rPr>
        <w:rFonts w:hint="eastAsia"/>
      </w:rPr>
    </w:lvl>
  </w:abstractNum>
  <w:abstractNum w:abstractNumId="2">
    <w:nsid w:val="60D7529F"/>
    <w:multiLevelType w:val="singleLevel"/>
    <w:tmpl w:val="60D7529F"/>
    <w:lvl w:ilvl="0" w:tentative="0">
      <w:start w:val="5"/>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NotTrackMoves/>
  <w:documentProtection w:enforcement="0"/>
  <w:defaultTabStop w:val="420"/>
  <w:drawingGridHorizontalSpacing w:val="105"/>
  <w:drawingGridVerticalSpacing w:val="156"/>
  <w:displayHorizontalDrawingGridEvery w:val="1"/>
  <w:displayVerticalDrawingGridEvery w:val="1"/>
  <w:doNotShadeFormData w:val="true"/>
  <w:noPunctuationKerning w:val="true"/>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0YTdlNDdlMDFmYWQzZTM3ZjdmMjljYzA5OTc3M2QifQ=="/>
  </w:docVars>
  <w:rsids>
    <w:rsidRoot w:val="00000000"/>
    <w:rsid w:val="02EA2661"/>
    <w:rsid w:val="033E39E9"/>
    <w:rsid w:val="0456200F"/>
    <w:rsid w:val="048B36F9"/>
    <w:rsid w:val="04FA1C2E"/>
    <w:rsid w:val="062B45ED"/>
    <w:rsid w:val="0880114D"/>
    <w:rsid w:val="08C27971"/>
    <w:rsid w:val="098D0501"/>
    <w:rsid w:val="0B5A379F"/>
    <w:rsid w:val="0DFE2488"/>
    <w:rsid w:val="0F1B0A98"/>
    <w:rsid w:val="0FF725B4"/>
    <w:rsid w:val="100B407B"/>
    <w:rsid w:val="10A122E9"/>
    <w:rsid w:val="10DB1C9F"/>
    <w:rsid w:val="131E3B7A"/>
    <w:rsid w:val="14A1148A"/>
    <w:rsid w:val="16516F0D"/>
    <w:rsid w:val="17136AF1"/>
    <w:rsid w:val="18837E02"/>
    <w:rsid w:val="18E91D78"/>
    <w:rsid w:val="1D0F4C9C"/>
    <w:rsid w:val="2059673D"/>
    <w:rsid w:val="2169496C"/>
    <w:rsid w:val="21E51274"/>
    <w:rsid w:val="228F3426"/>
    <w:rsid w:val="2426102C"/>
    <w:rsid w:val="255A2FAC"/>
    <w:rsid w:val="2603738B"/>
    <w:rsid w:val="28CB1F63"/>
    <w:rsid w:val="29802F8C"/>
    <w:rsid w:val="2C4402A1"/>
    <w:rsid w:val="2CFB08B6"/>
    <w:rsid w:val="2D150DDF"/>
    <w:rsid w:val="2EA94D33"/>
    <w:rsid w:val="2F047067"/>
    <w:rsid w:val="307008B8"/>
    <w:rsid w:val="32087FC3"/>
    <w:rsid w:val="338C0F55"/>
    <w:rsid w:val="33BB62BA"/>
    <w:rsid w:val="33E83DC9"/>
    <w:rsid w:val="36005F68"/>
    <w:rsid w:val="360B0081"/>
    <w:rsid w:val="37D42E21"/>
    <w:rsid w:val="3A2535AD"/>
    <w:rsid w:val="3A9768F9"/>
    <w:rsid w:val="3ABF38D9"/>
    <w:rsid w:val="3B2927FD"/>
    <w:rsid w:val="3B2C3191"/>
    <w:rsid w:val="3B365BA1"/>
    <w:rsid w:val="3B91163F"/>
    <w:rsid w:val="3FBE1BF2"/>
    <w:rsid w:val="4064002A"/>
    <w:rsid w:val="41DC1EAD"/>
    <w:rsid w:val="429E1CD9"/>
    <w:rsid w:val="43B52932"/>
    <w:rsid w:val="43BB4440"/>
    <w:rsid w:val="4772541E"/>
    <w:rsid w:val="48D756B0"/>
    <w:rsid w:val="4A31510E"/>
    <w:rsid w:val="4F837E01"/>
    <w:rsid w:val="515801C7"/>
    <w:rsid w:val="519A1675"/>
    <w:rsid w:val="525B6E0A"/>
    <w:rsid w:val="52D52739"/>
    <w:rsid w:val="53F32429"/>
    <w:rsid w:val="54980864"/>
    <w:rsid w:val="568455BA"/>
    <w:rsid w:val="599F6E2F"/>
    <w:rsid w:val="5AF96C7A"/>
    <w:rsid w:val="5CDF357C"/>
    <w:rsid w:val="5DDD77AA"/>
    <w:rsid w:val="5F566882"/>
    <w:rsid w:val="62AC67A9"/>
    <w:rsid w:val="631877B6"/>
    <w:rsid w:val="63207A8C"/>
    <w:rsid w:val="6340588E"/>
    <w:rsid w:val="63E32883"/>
    <w:rsid w:val="66674FC3"/>
    <w:rsid w:val="67715070"/>
    <w:rsid w:val="68096750"/>
    <w:rsid w:val="6A893E66"/>
    <w:rsid w:val="6DAF5C29"/>
    <w:rsid w:val="6FA81D2F"/>
    <w:rsid w:val="717A67E4"/>
    <w:rsid w:val="730B47A2"/>
    <w:rsid w:val="77B701AC"/>
    <w:rsid w:val="7826607A"/>
    <w:rsid w:val="7B2F312E"/>
    <w:rsid w:val="7BF87D2D"/>
    <w:rsid w:val="7DC4133B"/>
    <w:rsid w:val="7E3A3582"/>
    <w:rsid w:val="7FAD0BF4"/>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
    <w:name w:val="Strong"/>
    <w:basedOn w:val="6"/>
    <w:qFormat/>
    <w:uiPriority w:val="0"/>
    <w:rPr>
      <w:b/>
    </w:r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37</Pages>
  <Words>2452</Words>
  <Characters>2911</Characters>
  <Lines>119</Lines>
  <Paragraphs>33</Paragraphs>
  <TotalTime>0</TotalTime>
  <ScaleCrop>false</ScaleCrop>
  <LinksUpToDate>false</LinksUpToDate>
  <CharactersWithSpaces>3029</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Administrator</dc:creator>
  <cp:lastModifiedBy>bgs</cp:lastModifiedBy>
  <cp:lastPrinted>2024-05-22T15:51:00Z</cp:lastPrinted>
  <dcterms:modified xsi:type="dcterms:W3CDTF">2025-08-14T17:00:54Z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FCFF850BF5D942809E480D3F02DD1D51_13</vt:lpwstr>
  </property>
  <property fmtid="{D5CDD505-2E9C-101B-9397-08002B2CF9AE}" pid="4" name="KSOTemplateDocerSaveRecord">
    <vt:lpwstr>eyJoZGlkIjoiMzQ4Y2I0ZGQwMTg1MjJjMDFlNjZlMTRlNzE3NjRkY2QiLCJ1c2VySWQiOiIyNDE1MzQ2NjcifQ==</vt:lpwstr>
  </property>
</Properties>
</file>