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宋体" w:hAnsi="宋体" w:eastAsia="方正小标宋简体" w:cs="宋体"/>
          <w:b/>
          <w:sz w:val="44"/>
          <w:szCs w:val="44"/>
        </w:rPr>
      </w:pPr>
      <w:r>
        <w:rPr>
          <w:rFonts w:hint="eastAsia" w:ascii="宋体" w:hAnsi="宋体" w:eastAsia="方正小标宋简体" w:cs="宋体"/>
          <w:b/>
          <w:sz w:val="44"/>
          <w:szCs w:val="44"/>
        </w:rPr>
        <w:t>中国共产党兴国县委员会组织部</w:t>
      </w:r>
    </w:p>
    <w:p>
      <w:pPr>
        <w:spacing w:line="560" w:lineRule="exact"/>
        <w:ind w:right="449" w:rightChars="214"/>
        <w:jc w:val="center"/>
        <w:rPr>
          <w:rFonts w:ascii="宋体" w:hAnsi="宋体" w:eastAsia="方正小标宋简体" w:cs="宋体"/>
          <w:b/>
          <w:sz w:val="44"/>
          <w:szCs w:val="44"/>
        </w:rPr>
      </w:pPr>
      <w:r>
        <w:rPr>
          <w:rFonts w:hint="eastAsia" w:ascii="方正小标宋简体" w:hAnsi="方正小标宋简体" w:eastAsia="方正小标宋简体" w:cs="方正小标宋简体"/>
          <w:bCs/>
          <w:sz w:val="44"/>
          <w:szCs w:val="44"/>
        </w:rPr>
        <w:t>2023年单位预算编制说明</w:t>
      </w:r>
    </w:p>
    <w:p>
      <w:pPr>
        <w:spacing w:line="560" w:lineRule="exact"/>
        <w:ind w:right="449" w:rightChars="214"/>
        <w:jc w:val="center"/>
        <w:rPr>
          <w:rFonts w:ascii="宋体" w:hAnsi="宋体" w:eastAsia="方正小标宋简体" w:cs="宋体"/>
          <w:b/>
          <w:sz w:val="44"/>
          <w:szCs w:val="44"/>
        </w:rPr>
      </w:pPr>
    </w:p>
    <w:p>
      <w:pPr>
        <w:spacing w:line="560" w:lineRule="exact"/>
        <w:ind w:right="449" w:rightChars="214"/>
        <w:jc w:val="center"/>
        <w:rPr>
          <w:rFonts w:ascii="宋体" w:hAnsi="宋体" w:eastAsia="方正小标宋简体" w:cs="宋体"/>
          <w:b/>
          <w:sz w:val="44"/>
          <w:szCs w:val="44"/>
        </w:rPr>
      </w:pPr>
      <w:r>
        <w:rPr>
          <w:rFonts w:hint="eastAsia" w:ascii="宋体" w:hAnsi="宋体" w:eastAsia="方正小标宋简体" w:cs="宋体"/>
          <w:b/>
          <w:sz w:val="44"/>
          <w:szCs w:val="44"/>
        </w:rPr>
        <w:t>目  录</w:t>
      </w:r>
    </w:p>
    <w:p>
      <w:pPr>
        <w:spacing w:line="560" w:lineRule="exact"/>
        <w:ind w:right="449" w:rightChars="214"/>
        <w:jc w:val="center"/>
        <w:rPr>
          <w:rFonts w:ascii="方正小标宋简体" w:hAnsi="方正小标宋简体" w:eastAsia="方正小标宋简体" w:cs="方正小标宋简体"/>
          <w:bCs/>
          <w:sz w:val="44"/>
          <w:szCs w:val="44"/>
        </w:rPr>
      </w:pPr>
    </w:p>
    <w:p>
      <w:pPr>
        <w:spacing w:line="560" w:lineRule="exact"/>
        <w:ind w:right="449" w:rightChars="214" w:firstLine="640" w:firstLineChars="200"/>
        <w:jc w:val="center"/>
        <w:rPr>
          <w:rFonts w:eastAsia="仿宋_GB2312"/>
          <w:sz w:val="32"/>
          <w:szCs w:val="32"/>
        </w:rPr>
      </w:pPr>
    </w:p>
    <w:p>
      <w:pPr>
        <w:spacing w:line="560" w:lineRule="exact"/>
        <w:ind w:right="449" w:rightChars="214"/>
        <w:rPr>
          <w:rFonts w:ascii="仿宋" w:hAnsi="仿宋" w:eastAsia="仿宋" w:cs="仿宋"/>
          <w:b/>
          <w:bCs/>
          <w:sz w:val="30"/>
          <w:szCs w:val="30"/>
        </w:rPr>
      </w:pPr>
      <w:r>
        <w:rPr>
          <w:rFonts w:hint="eastAsia" w:ascii="仿宋" w:hAnsi="仿宋" w:eastAsia="仿宋" w:cs="仿宋"/>
          <w:b/>
          <w:bCs/>
          <w:sz w:val="30"/>
          <w:szCs w:val="30"/>
        </w:rPr>
        <w:t>第一部分 中国共产党兴国县委员会组织部概况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一、单位主要职责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二、单位基本情况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 中国共产党兴国县委员会组织部预算情况说明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一、2023年预算收支情况说明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二、2023年“三公”经费预算情况说明</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第三部分 中国共产党兴国县委员会组织部预算表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spacing w:line="560" w:lineRule="exact"/>
        <w:ind w:left="634" w:leftChars="284" w:hanging="38" w:hangingChars="12"/>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十、《项目支出绩效目标表》</w:t>
      </w:r>
    </w:p>
    <w:p>
      <w:pPr>
        <w:ind w:left="10" w:leftChars="5" w:firstLine="584" w:firstLineChars="194"/>
        <w:rPr>
          <w:rFonts w:ascii="仿宋" w:hAnsi="仿宋" w:eastAsia="仿宋" w:cs="仿宋"/>
          <w:sz w:val="32"/>
          <w:szCs w:val="32"/>
        </w:rPr>
      </w:pPr>
      <w:r>
        <w:rPr>
          <w:rFonts w:hint="eastAsia" w:ascii="仿宋" w:hAnsi="仿宋" w:eastAsia="仿宋" w:cs="仿宋"/>
          <w:b/>
          <w:bCs/>
          <w:sz w:val="30"/>
          <w:szCs w:val="30"/>
        </w:rPr>
        <w:t>第四部分 名词解释</w:t>
      </w:r>
    </w:p>
    <w:p>
      <w:pPr>
        <w:jc w:val="center"/>
        <w:rPr>
          <w:rFonts w:ascii="仿宋" w:hAnsi="仿宋" w:eastAsia="仿宋" w:cs="仿宋"/>
          <w:b/>
          <w:bCs/>
          <w:sz w:val="30"/>
          <w:szCs w:val="30"/>
        </w:rPr>
      </w:pPr>
    </w:p>
    <w:p>
      <w:pPr>
        <w:jc w:val="center"/>
        <w:rPr>
          <w:rFonts w:ascii="仿宋" w:hAnsi="仿宋" w:eastAsia="仿宋" w:cs="仿宋"/>
          <w:b/>
          <w:bCs/>
          <w:sz w:val="30"/>
          <w:szCs w:val="30"/>
        </w:rPr>
      </w:pPr>
      <w:r>
        <w:rPr>
          <w:rFonts w:hint="eastAsia" w:ascii="仿宋" w:hAnsi="仿宋" w:eastAsia="仿宋" w:cs="仿宋"/>
          <w:b/>
          <w:bCs/>
          <w:sz w:val="30"/>
          <w:szCs w:val="30"/>
        </w:rPr>
        <w:t>第一部分 中国共产党兴国县委员会组织部单位概况</w:t>
      </w:r>
    </w:p>
    <w:p>
      <w:pPr>
        <w:ind w:firstLine="602" w:firstLineChars="200"/>
      </w:pPr>
      <w:r>
        <w:rPr>
          <w:rFonts w:hint="eastAsia" w:ascii="仿宋" w:hAnsi="仿宋" w:eastAsia="仿宋" w:cs="仿宋"/>
          <w:b/>
          <w:bCs/>
          <w:sz w:val="30"/>
          <w:szCs w:val="30"/>
        </w:rPr>
        <w:t>一、单位主要职责</w:t>
      </w:r>
    </w:p>
    <w:p>
      <w:pPr>
        <w:ind w:firstLine="640" w:firstLineChars="200"/>
        <w:rPr>
          <w:rFonts w:ascii="仿宋" w:hAnsi="仿宋" w:eastAsia="仿宋" w:cs="仿宋"/>
          <w:sz w:val="32"/>
          <w:szCs w:val="32"/>
        </w:rPr>
      </w:pPr>
      <w:r>
        <w:rPr>
          <w:rFonts w:hint="eastAsia" w:ascii="仿宋" w:hAnsi="仿宋" w:eastAsia="仿宋" w:cs="仿宋"/>
          <w:sz w:val="32"/>
          <w:szCs w:val="32"/>
        </w:rPr>
        <w:t>单位主要职责：中国共产党兴国县委员会组织部是县委主管组织、干部、人才工作、有关老干部工作部署的部门，主要职责是：贯彻落实新时代党的组织路线，根据党的路线、方针、政策和省委、市委、县委的安排部署，研究制定全县组织工作、干部工作、人才工作的政策和规划，提出具体措施并组织实施。负责组织、指导全县党建工作。负责全县干部工作的综合管理，对县委管理的领导班子和领导干部进行考察考核，提出调整配备的意见和建议；主管全县干部教育工作，制定全县干部教育工作规划，组织县委管理干部培训；负责全县机关公务员的综合管理；负责贯彻落实上级干部监督工作的政策规定。负责全县人才队伍建设的宏观管理，牵头做好人才的选拔、引进、培养、管理和服务工作。开展全县党的组织建设的理论研究和调查研究；研究制定加强党的组织建设的措施，并进行宏观指导、督促检查；负责全县党员的管理、教育和发展工作；负责组织干部队伍建设；负责全县党员电化教育和远程教育工作；负责全县老干部工作及关心下一代工作的宏观指导。</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2023年主要工作任务：一是做好学习宣传贯彻党的二十大精神各项工作。二是持续推进党建质量过硬行动。三是持续加强基层干部队伍建设。四是持续开展人才引进培育工作。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spacing w:line="600" w:lineRule="exact"/>
        <w:ind w:firstLine="640" w:firstLineChars="200"/>
        <w:rPr>
          <w:rFonts w:ascii="仿宋" w:hAnsi="仿宋" w:eastAsia="仿宋"/>
          <w:sz w:val="32"/>
          <w:szCs w:val="32"/>
        </w:rPr>
      </w:pPr>
      <w:r>
        <w:rPr>
          <w:rFonts w:hint="eastAsia" w:ascii="仿宋" w:hAnsi="仿宋" w:eastAsia="仿宋" w:cs="仿宋"/>
          <w:sz w:val="32"/>
          <w:szCs w:val="32"/>
        </w:rPr>
        <w:t>2023年</w:t>
      </w:r>
      <w:r>
        <w:rPr>
          <w:rFonts w:hint="eastAsia" w:ascii="仿宋" w:hAnsi="仿宋" w:eastAsia="仿宋"/>
          <w:sz w:val="30"/>
          <w:szCs w:val="30"/>
        </w:rPr>
        <w:t>中国共产党兴国县委员会组织部</w:t>
      </w:r>
      <w:r>
        <w:rPr>
          <w:rFonts w:hint="eastAsia" w:ascii="仿宋" w:hAnsi="仿宋" w:eastAsia="仿宋"/>
          <w:sz w:val="32"/>
          <w:szCs w:val="32"/>
        </w:rPr>
        <w:t>共设处室</w:t>
      </w:r>
      <w:r>
        <w:rPr>
          <w:rFonts w:hint="eastAsia" w:ascii="仿宋" w:hAnsi="仿宋" w:eastAsia="仿宋"/>
          <w:kern w:val="0"/>
          <w:sz w:val="32"/>
          <w:szCs w:val="32"/>
        </w:rPr>
        <w:t>11</w:t>
      </w:r>
      <w:r>
        <w:rPr>
          <w:rFonts w:ascii="仿宋" w:hAnsi="仿宋" w:eastAsia="仿宋"/>
          <w:sz w:val="32"/>
          <w:szCs w:val="32"/>
        </w:rPr>
        <w:t>个，包括</w:t>
      </w:r>
      <w:r>
        <w:rPr>
          <w:rFonts w:hint="eastAsia" w:ascii="仿宋" w:hAnsi="仿宋" w:eastAsia="仿宋"/>
          <w:sz w:val="32"/>
          <w:szCs w:val="32"/>
        </w:rPr>
        <w:t>：</w:t>
      </w:r>
      <w:r>
        <w:rPr>
          <w:rFonts w:hint="eastAsia" w:ascii="仿宋" w:hAnsi="仿宋" w:eastAsia="仿宋"/>
          <w:sz w:val="30"/>
          <w:szCs w:val="30"/>
        </w:rPr>
        <w:t>办公室、干部综合室、干部教育监督室、公务员管理室、人才工作室、组织一室、组织二室、机关党建工作室、党员电化教育室、信息调研室、老干部工作室。</w:t>
      </w:r>
    </w:p>
    <w:p>
      <w:pPr>
        <w:spacing w:line="560" w:lineRule="exact"/>
        <w:ind w:firstLine="640" w:firstLineChars="200"/>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kern w:val="0"/>
          <w:sz w:val="32"/>
          <w:szCs w:val="32"/>
        </w:rPr>
        <w:t>48</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kern w:val="0"/>
          <w:sz w:val="32"/>
          <w:szCs w:val="32"/>
        </w:rPr>
        <w:t>26</w:t>
      </w:r>
      <w:r>
        <w:rPr>
          <w:rFonts w:ascii="仿宋" w:hAnsi="仿宋" w:eastAsia="仿宋"/>
          <w:sz w:val="32"/>
          <w:szCs w:val="32"/>
        </w:rPr>
        <w:t>人,参照公务员管理的事业编制人数</w:t>
      </w:r>
      <w:r>
        <w:rPr>
          <w:rFonts w:hint="eastAsia" w:ascii="仿宋" w:hAnsi="仿宋" w:eastAsia="仿宋"/>
          <w:kern w:val="0"/>
          <w:sz w:val="32"/>
          <w:szCs w:val="32"/>
        </w:rPr>
        <w:t>0</w:t>
      </w:r>
      <w:r>
        <w:rPr>
          <w:rFonts w:ascii="仿宋" w:hAnsi="仿宋" w:eastAsia="仿宋"/>
          <w:sz w:val="32"/>
          <w:szCs w:val="32"/>
        </w:rPr>
        <w:t>人,全部补助事业编制人数</w:t>
      </w:r>
      <w:r>
        <w:rPr>
          <w:rFonts w:hint="eastAsia" w:ascii="仿宋" w:hAnsi="仿宋" w:eastAsia="仿宋"/>
          <w:kern w:val="0"/>
          <w:sz w:val="32"/>
          <w:szCs w:val="32"/>
        </w:rPr>
        <w:t>22</w:t>
      </w:r>
      <w:r>
        <w:rPr>
          <w:rFonts w:ascii="仿宋" w:hAnsi="仿宋" w:eastAsia="仿宋"/>
          <w:sz w:val="32"/>
          <w:szCs w:val="32"/>
        </w:rPr>
        <w:t>人,自收自支编制人数</w:t>
      </w:r>
      <w:r>
        <w:rPr>
          <w:rFonts w:hint="eastAsia" w:ascii="仿宋" w:hAnsi="仿宋" w:eastAsia="仿宋"/>
          <w:kern w:val="0"/>
          <w:sz w:val="32"/>
          <w:szCs w:val="32"/>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kern w:val="0"/>
          <w:sz w:val="32"/>
          <w:szCs w:val="32"/>
        </w:rPr>
        <w:t>36</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kern w:val="0"/>
          <w:sz w:val="32"/>
          <w:szCs w:val="32"/>
        </w:rPr>
        <w:t>33</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kern w:val="0"/>
          <w:sz w:val="32"/>
          <w:szCs w:val="32"/>
        </w:rPr>
        <w:t>20</w:t>
      </w:r>
      <w:r>
        <w:rPr>
          <w:rFonts w:ascii="仿宋" w:hAnsi="仿宋" w:eastAsia="仿宋"/>
          <w:sz w:val="32"/>
          <w:szCs w:val="32"/>
        </w:rPr>
        <w:t>人,参照公务员管理的事业单位在职人数</w:t>
      </w:r>
      <w:r>
        <w:rPr>
          <w:rFonts w:hint="eastAsia" w:ascii="仿宋" w:hAnsi="仿宋" w:eastAsia="仿宋"/>
          <w:kern w:val="0"/>
          <w:sz w:val="32"/>
          <w:szCs w:val="32"/>
        </w:rPr>
        <w:t>0</w:t>
      </w:r>
      <w:r>
        <w:rPr>
          <w:rFonts w:ascii="仿宋" w:hAnsi="仿宋" w:eastAsia="仿宋"/>
          <w:sz w:val="32"/>
          <w:szCs w:val="32"/>
        </w:rPr>
        <w:t>人,全部补助事业在职人数</w:t>
      </w:r>
      <w:r>
        <w:rPr>
          <w:rFonts w:hint="eastAsia" w:ascii="仿宋" w:hAnsi="仿宋" w:eastAsia="仿宋"/>
          <w:kern w:val="0"/>
          <w:sz w:val="32"/>
          <w:szCs w:val="32"/>
        </w:rPr>
        <w:t>13</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kern w:val="0"/>
          <w:sz w:val="32"/>
          <w:szCs w:val="32"/>
        </w:rPr>
        <w:t>0</w:t>
      </w:r>
      <w:r>
        <w:rPr>
          <w:rFonts w:ascii="仿宋" w:hAnsi="仿宋" w:eastAsia="仿宋"/>
          <w:sz w:val="32"/>
          <w:szCs w:val="32"/>
        </w:rPr>
        <w:t>人,退休人数小计</w:t>
      </w:r>
      <w:r>
        <w:rPr>
          <w:rFonts w:hint="eastAsia" w:ascii="仿宋" w:hAnsi="仿宋" w:eastAsia="仿宋"/>
          <w:kern w:val="0"/>
          <w:sz w:val="32"/>
          <w:szCs w:val="32"/>
        </w:rPr>
        <w:t>11</w:t>
      </w:r>
      <w:r>
        <w:rPr>
          <w:rFonts w:ascii="仿宋" w:hAnsi="仿宋" w:eastAsia="仿宋"/>
          <w:sz w:val="32"/>
          <w:szCs w:val="32"/>
        </w:rPr>
        <w:t>人,退职人员</w:t>
      </w:r>
      <w:r>
        <w:rPr>
          <w:rFonts w:hint="eastAsia" w:ascii="仿宋" w:hAnsi="仿宋" w:eastAsia="仿宋"/>
          <w:kern w:val="0"/>
          <w:sz w:val="32"/>
          <w:szCs w:val="32"/>
        </w:rPr>
        <w:t>0</w:t>
      </w:r>
      <w:r>
        <w:rPr>
          <w:rFonts w:ascii="仿宋" w:hAnsi="仿宋" w:eastAsia="仿宋"/>
          <w:sz w:val="32"/>
          <w:szCs w:val="32"/>
        </w:rPr>
        <w:t>人,遗属人数</w:t>
      </w:r>
      <w:r>
        <w:rPr>
          <w:rFonts w:hint="eastAsia" w:ascii="仿宋" w:hAnsi="仿宋" w:eastAsia="仿宋"/>
          <w:kern w:val="0"/>
          <w:sz w:val="32"/>
          <w:szCs w:val="32"/>
        </w:rPr>
        <w:t>3</w:t>
      </w:r>
      <w:r>
        <w:rPr>
          <w:rFonts w:ascii="仿宋" w:hAnsi="仿宋" w:eastAsia="仿宋"/>
          <w:sz w:val="32"/>
          <w:szCs w:val="32"/>
        </w:rPr>
        <w:t>人。</w:t>
      </w:r>
      <w:r>
        <w:fldChar w:fldCharType="end"/>
      </w:r>
    </w:p>
    <w:p>
      <w:pPr>
        <w:pStyle w:val="2"/>
        <w:rPr>
          <w:rFonts w:eastAsia="仿宋"/>
          <w:lang w:val="en-US"/>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中共兴国县委员会组织部单位预算情况说明</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w:t>
      </w:r>
      <w:r>
        <w:rPr>
          <w:rFonts w:hint="eastAsia" w:ascii="仿宋" w:hAnsi="仿宋" w:eastAsia="仿宋"/>
          <w:sz w:val="32"/>
          <w:szCs w:val="32"/>
        </w:rPr>
        <w:t>本单位</w:t>
      </w:r>
      <w:r>
        <w:rPr>
          <w:rFonts w:hint="eastAsia" w:ascii="仿宋" w:hAnsi="仿宋" w:eastAsia="仿宋" w:cs="仿宋"/>
          <w:sz w:val="32"/>
          <w:szCs w:val="32"/>
        </w:rPr>
        <w:t>收入预算总额为2276.61万元，</w:t>
      </w:r>
      <w:r>
        <w:rPr>
          <w:rFonts w:hint="eastAsia" w:ascii="仿宋" w:hAnsi="仿宋" w:eastAsia="仿宋" w:cs="仿宋"/>
          <w:sz w:val="30"/>
          <w:szCs w:val="30"/>
        </w:rPr>
        <w:t>较上年预算安排的减少452.04</w:t>
      </w:r>
      <w:r>
        <w:rPr>
          <w:rFonts w:hint="eastAsia" w:ascii="仿宋" w:hAnsi="仿宋" w:eastAsia="仿宋" w:cs="仿宋"/>
          <w:sz w:val="32"/>
          <w:szCs w:val="32"/>
        </w:rPr>
        <w:t>万元，原因为：农村党员创业贷款政府贴息资金等项目的</w:t>
      </w:r>
      <w:r>
        <w:rPr>
          <w:rFonts w:hint="eastAsia" w:ascii="仿宋" w:hAnsi="仿宋" w:eastAsia="仿宋" w:cs="仿宋"/>
          <w:sz w:val="30"/>
          <w:szCs w:val="30"/>
        </w:rPr>
        <w:t>减少</w:t>
      </w:r>
      <w:r>
        <w:rPr>
          <w:rFonts w:hint="eastAsia" w:ascii="仿宋" w:hAnsi="仿宋" w:eastAsia="仿宋" w:cs="仿宋"/>
          <w:sz w:val="32"/>
          <w:szCs w:val="32"/>
        </w:rPr>
        <w:t>。</w:t>
      </w:r>
    </w:p>
    <w:p>
      <w:pPr>
        <w:spacing w:line="600" w:lineRule="exact"/>
        <w:ind w:firstLine="644" w:firstLineChars="200"/>
      </w:pPr>
      <w:r>
        <w:rPr>
          <w:rFonts w:hint="eastAsia" w:ascii="仿宋" w:hAnsi="仿宋" w:eastAsia="仿宋" w:cs="仿宋"/>
          <w:spacing w:val="11"/>
          <w:sz w:val="30"/>
          <w:szCs w:val="30"/>
        </w:rPr>
        <w:t>其中：财政</w:t>
      </w:r>
      <w:r>
        <w:rPr>
          <w:rFonts w:hint="eastAsia" w:ascii="仿宋" w:hAnsi="仿宋" w:eastAsia="仿宋" w:cs="仿宋"/>
          <w:spacing w:val="23"/>
          <w:sz w:val="30"/>
          <w:szCs w:val="30"/>
        </w:rPr>
        <w:t>拨款结余结转0万元，较上年减少</w:t>
      </w:r>
      <w:r>
        <w:rPr>
          <w:rFonts w:hint="eastAsia" w:ascii="仿宋" w:hAnsi="仿宋" w:eastAsia="仿宋" w:cs="仿宋"/>
          <w:spacing w:val="23"/>
          <w:sz w:val="30"/>
          <w:szCs w:val="30"/>
          <w:lang w:val="en-US" w:eastAsia="zh-CN"/>
        </w:rPr>
        <w:t>211.83</w:t>
      </w:r>
      <w:r>
        <w:rPr>
          <w:rFonts w:hint="eastAsia" w:ascii="仿宋" w:hAnsi="仿宋" w:eastAsia="仿宋" w:cs="仿宋"/>
          <w:spacing w:val="23"/>
          <w:sz w:val="30"/>
          <w:szCs w:val="30"/>
        </w:rPr>
        <w:t>万元</w:t>
      </w:r>
      <w:r>
        <w:rPr>
          <w:rFonts w:hint="eastAsia" w:ascii="仿宋" w:hAnsi="仿宋" w:eastAsia="仿宋" w:cs="仿宋"/>
          <w:spacing w:val="23"/>
          <w:sz w:val="30"/>
          <w:szCs w:val="30"/>
          <w:lang w:eastAsia="zh-CN"/>
        </w:rPr>
        <w:t>；</w:t>
      </w:r>
      <w:r>
        <w:rPr>
          <w:rFonts w:hint="eastAsia" w:ascii="仿宋" w:hAnsi="仿宋" w:eastAsia="仿宋" w:cs="仿宋"/>
          <w:spacing w:val="11"/>
          <w:sz w:val="30"/>
          <w:szCs w:val="30"/>
        </w:rPr>
        <w:t>财政拨款收入</w:t>
      </w:r>
      <w:r>
        <w:rPr>
          <w:rFonts w:hint="eastAsia" w:ascii="仿宋" w:hAnsi="仿宋" w:eastAsia="仿宋" w:cs="仿宋"/>
          <w:sz w:val="32"/>
          <w:szCs w:val="32"/>
        </w:rPr>
        <w:t>2176.61</w:t>
      </w:r>
      <w:r>
        <w:rPr>
          <w:rFonts w:hint="eastAsia" w:ascii="仿宋" w:hAnsi="仿宋" w:eastAsia="仿宋" w:cs="仿宋"/>
          <w:spacing w:val="11"/>
          <w:sz w:val="30"/>
          <w:szCs w:val="30"/>
        </w:rPr>
        <w:t>万元,较</w:t>
      </w:r>
      <w:r>
        <w:rPr>
          <w:rFonts w:hint="eastAsia" w:ascii="仿宋" w:hAnsi="仿宋" w:eastAsia="仿宋" w:cs="仿宋"/>
          <w:spacing w:val="23"/>
          <w:sz w:val="30"/>
          <w:szCs w:val="30"/>
        </w:rPr>
        <w:t>上年预算安排减少148.4万元;</w:t>
      </w:r>
      <w:r>
        <w:rPr>
          <w:rFonts w:hint="eastAsia" w:ascii="仿宋" w:hAnsi="仿宋" w:eastAsia="仿宋" w:cs="仿宋"/>
          <w:spacing w:val="7"/>
          <w:sz w:val="30"/>
          <w:szCs w:val="30"/>
        </w:rPr>
        <w:t>上级补助</w:t>
      </w:r>
      <w:r>
        <w:rPr>
          <w:rFonts w:hint="eastAsia" w:ascii="仿宋" w:hAnsi="仿宋" w:eastAsia="仿宋" w:cs="仿宋"/>
          <w:spacing w:val="8"/>
          <w:sz w:val="30"/>
          <w:szCs w:val="30"/>
        </w:rPr>
        <w:t>收入</w:t>
      </w:r>
      <w:r>
        <w:rPr>
          <w:rFonts w:hint="eastAsia" w:ascii="仿宋" w:hAnsi="仿宋" w:eastAsia="仿宋" w:cs="仿宋"/>
          <w:spacing w:val="-148"/>
          <w:sz w:val="30"/>
          <w:szCs w:val="30"/>
        </w:rPr>
        <w:t xml:space="preserve"> 0</w:t>
      </w:r>
      <w:r>
        <w:rPr>
          <w:rFonts w:hint="eastAsia" w:ascii="仿宋" w:hAnsi="仿宋" w:eastAsia="仿宋" w:cs="仿宋"/>
          <w:spacing w:val="8"/>
          <w:sz w:val="30"/>
          <w:szCs w:val="30"/>
        </w:rPr>
        <w:t>0万元,较上年预算安排减少9万元；</w:t>
      </w:r>
      <w:r>
        <w:rPr>
          <w:rFonts w:hint="eastAsia" w:ascii="仿宋" w:hAnsi="仿宋" w:eastAsia="仿宋" w:cs="仿宋"/>
          <w:spacing w:val="18"/>
          <w:sz w:val="30"/>
          <w:szCs w:val="30"/>
        </w:rPr>
        <w:t>其他收入</w:t>
      </w:r>
      <w:r>
        <w:rPr>
          <w:rFonts w:hint="eastAsia" w:ascii="仿宋" w:hAnsi="仿宋" w:eastAsia="仿宋" w:cs="仿宋"/>
          <w:sz w:val="32"/>
          <w:szCs w:val="32"/>
          <w:u w:val="none"/>
        </w:rPr>
        <w:t>100</w:t>
      </w:r>
      <w:r>
        <w:rPr>
          <w:rFonts w:hint="eastAsia" w:ascii="仿宋" w:hAnsi="仿宋" w:eastAsia="仿宋" w:cs="仿宋"/>
          <w:spacing w:val="18"/>
          <w:sz w:val="30"/>
          <w:szCs w:val="30"/>
          <w:u w:val="none"/>
        </w:rPr>
        <w:t>万元</w:t>
      </w:r>
      <w:r>
        <w:rPr>
          <w:rFonts w:hint="eastAsia" w:ascii="仿宋" w:hAnsi="仿宋" w:eastAsia="仿宋" w:cs="仿宋"/>
          <w:spacing w:val="18"/>
          <w:sz w:val="30"/>
          <w:szCs w:val="30"/>
        </w:rPr>
        <w:t>，较上年预算安排减少82.81</w:t>
      </w:r>
      <w:r>
        <w:rPr>
          <w:rFonts w:hint="eastAsia" w:ascii="仿宋" w:hAnsi="仿宋" w:eastAsia="仿宋" w:cs="仿宋"/>
          <w:spacing w:val="7"/>
          <w:sz w:val="30"/>
          <w:szCs w:val="30"/>
        </w:rPr>
        <w:t>万元</w:t>
      </w:r>
      <w:r>
        <w:rPr>
          <w:rFonts w:hint="eastAsia" w:ascii="仿宋" w:hAnsi="仿宋" w:eastAsia="仿宋" w:cs="仿宋"/>
          <w:spacing w:val="4"/>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w:t>
      </w:r>
      <w:r>
        <w:rPr>
          <w:rFonts w:hint="eastAsia" w:ascii="仿宋" w:hAnsi="仿宋" w:eastAsia="仿宋" w:cs="仿宋"/>
          <w:sz w:val="30"/>
          <w:szCs w:val="30"/>
        </w:rPr>
        <w:t>本单位支出预算总额</w:t>
      </w:r>
      <w:r>
        <w:rPr>
          <w:rFonts w:hint="eastAsia" w:ascii="仿宋" w:hAnsi="仿宋" w:eastAsia="仿宋" w:cs="仿宋"/>
          <w:sz w:val="32"/>
          <w:szCs w:val="32"/>
        </w:rPr>
        <w:t>2276.61</w:t>
      </w:r>
      <w:r>
        <w:rPr>
          <w:rFonts w:hint="eastAsia" w:ascii="仿宋" w:hAnsi="仿宋" w:eastAsia="仿宋" w:cs="仿宋"/>
          <w:sz w:val="30"/>
          <w:szCs w:val="30"/>
        </w:rPr>
        <w:t>万元，</w:t>
      </w:r>
      <w:r>
        <w:rPr>
          <w:rFonts w:hint="eastAsia" w:ascii="仿宋" w:hAnsi="仿宋" w:eastAsia="仿宋" w:cs="仿宋"/>
          <w:sz w:val="32"/>
          <w:szCs w:val="32"/>
        </w:rPr>
        <w:t>较上年预算安排</w:t>
      </w:r>
      <w:r>
        <w:rPr>
          <w:rFonts w:hint="eastAsia" w:ascii="仿宋" w:hAnsi="仿宋" w:eastAsia="仿宋" w:cs="仿宋"/>
          <w:sz w:val="30"/>
          <w:szCs w:val="30"/>
        </w:rPr>
        <w:t>减少452.04</w:t>
      </w:r>
      <w:r>
        <w:rPr>
          <w:rFonts w:hint="eastAsia" w:ascii="仿宋" w:hAnsi="仿宋" w:eastAsia="仿宋" w:cs="仿宋"/>
          <w:sz w:val="32"/>
          <w:szCs w:val="32"/>
        </w:rPr>
        <w:t>万元，减16.57%。增减变化主要原因是：农村党员创业贷款政府贴息资金等项目的</w:t>
      </w:r>
      <w:r>
        <w:rPr>
          <w:rFonts w:hint="eastAsia" w:ascii="仿宋" w:hAnsi="仿宋" w:eastAsia="仿宋" w:cs="仿宋"/>
          <w:sz w:val="30"/>
          <w:szCs w:val="30"/>
        </w:rPr>
        <w:t>减少</w:t>
      </w:r>
      <w:r>
        <w:rPr>
          <w:rFonts w:hint="eastAsia" w:ascii="仿宋" w:hAnsi="仿宋" w:eastAsia="仿宋" w:cs="仿宋"/>
          <w:sz w:val="32"/>
          <w:szCs w:val="32"/>
        </w:rPr>
        <w:t>。</w:t>
      </w:r>
      <w:r>
        <w:rPr>
          <w:rFonts w:hint="eastAsia" w:ascii="仿宋" w:hAnsi="仿宋" w:eastAsia="仿宋" w:cs="仿宋"/>
          <w:sz w:val="30"/>
          <w:szCs w:val="30"/>
        </w:rPr>
        <w:t>具体为：</w:t>
      </w:r>
    </w:p>
    <w:p>
      <w:pPr>
        <w:spacing w:line="60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按支出项目类别及经济分类科目划分：基本支出</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rPr>
        <w:t>461.96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较上年预算安排增94.63元，</w:t>
      </w:r>
      <w:r>
        <w:rPr>
          <w:rFonts w:hint="eastAsia" w:ascii="仿宋" w:hAnsi="仿宋" w:eastAsia="仿宋" w:cs="仿宋"/>
          <w:color w:val="auto"/>
          <w:sz w:val="30"/>
          <w:szCs w:val="30"/>
        </w:rPr>
        <w:t>其中：工资福利支出</w:t>
      </w:r>
      <w:r>
        <w:rPr>
          <w:rFonts w:hint="eastAsia" w:ascii="仿宋" w:hAnsi="仿宋" w:eastAsia="仿宋" w:cs="仿宋"/>
          <w:color w:val="auto"/>
          <w:sz w:val="32"/>
          <w:szCs w:val="32"/>
        </w:rPr>
        <w:t>417.4</w:t>
      </w:r>
      <w:r>
        <w:rPr>
          <w:rFonts w:hint="eastAsia" w:ascii="仿宋" w:hAnsi="仿宋" w:eastAsia="仿宋" w:cs="仿宋"/>
          <w:color w:val="auto"/>
          <w:sz w:val="30"/>
          <w:szCs w:val="30"/>
        </w:rPr>
        <w:t>万元，商品和服务支出</w:t>
      </w:r>
      <w:r>
        <w:rPr>
          <w:rFonts w:hint="eastAsia" w:ascii="仿宋" w:hAnsi="仿宋" w:eastAsia="仿宋" w:cs="仿宋"/>
          <w:color w:val="auto"/>
          <w:sz w:val="32"/>
          <w:szCs w:val="32"/>
        </w:rPr>
        <w:t>42.29</w:t>
      </w:r>
      <w:r>
        <w:rPr>
          <w:rFonts w:hint="eastAsia" w:ascii="仿宋" w:hAnsi="仿宋" w:eastAsia="仿宋" w:cs="仿宋"/>
          <w:color w:val="auto"/>
          <w:sz w:val="30"/>
          <w:szCs w:val="30"/>
        </w:rPr>
        <w:t>万元，对个人和家庭的补助</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rPr>
        <w:t>2.27</w:t>
      </w:r>
      <w:r>
        <w:rPr>
          <w:rFonts w:hint="eastAsia" w:ascii="仿宋" w:hAnsi="仿宋" w:eastAsia="仿宋" w:cs="仿宋"/>
          <w:color w:val="auto"/>
          <w:sz w:val="30"/>
          <w:szCs w:val="30"/>
        </w:rPr>
        <w:t>万元，资本性支出</w:t>
      </w:r>
      <w:r>
        <w:rPr>
          <w:rFonts w:hint="eastAsia" w:ascii="仿宋" w:hAnsi="仿宋" w:eastAsia="仿宋" w:cs="仿宋"/>
          <w:color w:val="auto"/>
          <w:sz w:val="32"/>
          <w:szCs w:val="32"/>
        </w:rPr>
        <w:t>0</w:t>
      </w:r>
      <w:r>
        <w:rPr>
          <w:rFonts w:hint="eastAsia" w:ascii="仿宋" w:hAnsi="仿宋" w:eastAsia="仿宋" w:cs="仿宋"/>
          <w:color w:val="auto"/>
          <w:sz w:val="30"/>
          <w:szCs w:val="30"/>
        </w:rPr>
        <w:t>万元。项目支出</w:t>
      </w:r>
      <w:r>
        <w:rPr>
          <w:rFonts w:hint="eastAsia" w:ascii="仿宋" w:hAnsi="仿宋" w:eastAsia="仿宋" w:cs="仿宋"/>
          <w:color w:val="auto"/>
          <w:sz w:val="32"/>
          <w:szCs w:val="32"/>
        </w:rPr>
        <w:t>1814.6</w:t>
      </w:r>
      <w:r>
        <w:rPr>
          <w:rFonts w:hint="eastAsia" w:ascii="仿宋" w:hAnsi="仿宋" w:eastAsia="仿宋" w:cs="仿宋"/>
          <w:color w:val="auto"/>
          <w:sz w:val="32"/>
          <w:szCs w:val="32"/>
          <w:lang w:val="en-US" w:eastAsia="zh-CN"/>
        </w:rPr>
        <w:t>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较上年预算安排减546.67万元，</w:t>
      </w:r>
      <w:r>
        <w:rPr>
          <w:rFonts w:hint="eastAsia" w:ascii="仿宋" w:hAnsi="仿宋" w:eastAsia="仿宋" w:cs="仿宋"/>
          <w:color w:val="auto"/>
          <w:sz w:val="30"/>
          <w:szCs w:val="30"/>
        </w:rPr>
        <w:t>其中：工资福利支出</w:t>
      </w:r>
      <w:r>
        <w:rPr>
          <w:rFonts w:hint="eastAsia" w:ascii="仿宋" w:hAnsi="仿宋" w:eastAsia="仿宋" w:cs="仿宋"/>
          <w:color w:val="auto"/>
          <w:sz w:val="32"/>
          <w:szCs w:val="32"/>
        </w:rPr>
        <w:t>0</w:t>
      </w:r>
      <w:r>
        <w:rPr>
          <w:rFonts w:hint="eastAsia" w:ascii="仿宋" w:hAnsi="仿宋" w:eastAsia="仿宋" w:cs="仿宋"/>
          <w:color w:val="auto"/>
          <w:sz w:val="30"/>
          <w:szCs w:val="30"/>
        </w:rPr>
        <w:t>万元，商品和服务支出</w:t>
      </w:r>
      <w:r>
        <w:rPr>
          <w:rFonts w:hint="eastAsia" w:ascii="仿宋" w:hAnsi="仿宋" w:eastAsia="仿宋" w:cs="仿宋"/>
          <w:color w:val="auto"/>
          <w:sz w:val="32"/>
          <w:szCs w:val="32"/>
        </w:rPr>
        <w:t>0</w:t>
      </w:r>
      <w:r>
        <w:rPr>
          <w:rFonts w:hint="eastAsia" w:ascii="仿宋" w:hAnsi="仿宋" w:eastAsia="仿宋" w:cs="仿宋"/>
          <w:color w:val="auto"/>
          <w:sz w:val="30"/>
          <w:szCs w:val="30"/>
        </w:rPr>
        <w:t>万元，对个人和家庭的补助</w:t>
      </w:r>
      <w:r>
        <w:rPr>
          <w:rFonts w:hint="eastAsia" w:ascii="仿宋" w:hAnsi="仿宋" w:eastAsia="仿宋" w:cs="仿宋"/>
          <w:color w:val="auto"/>
          <w:sz w:val="32"/>
          <w:szCs w:val="32"/>
        </w:rPr>
        <w:t>0</w:t>
      </w:r>
      <w:r>
        <w:rPr>
          <w:rFonts w:hint="eastAsia" w:ascii="仿宋" w:hAnsi="仿宋" w:eastAsia="仿宋" w:cs="仿宋"/>
          <w:color w:val="auto"/>
          <w:sz w:val="30"/>
          <w:szCs w:val="30"/>
        </w:rPr>
        <w:t>万元，资本性支出</w:t>
      </w:r>
      <w:r>
        <w:rPr>
          <w:rFonts w:hint="eastAsia" w:ascii="仿宋" w:hAnsi="仿宋" w:eastAsia="仿宋" w:cs="仿宋"/>
          <w:color w:val="auto"/>
          <w:sz w:val="32"/>
          <w:szCs w:val="32"/>
        </w:rPr>
        <w:t>1714.6</w:t>
      </w:r>
      <w:r>
        <w:rPr>
          <w:rFonts w:hint="eastAsia" w:ascii="仿宋" w:hAnsi="仿宋" w:eastAsia="仿宋" w:cs="仿宋"/>
          <w:color w:val="auto"/>
          <w:sz w:val="32"/>
          <w:szCs w:val="32"/>
          <w:lang w:val="en-US" w:eastAsia="zh-CN"/>
        </w:rPr>
        <w:t>5</w:t>
      </w:r>
      <w:r>
        <w:rPr>
          <w:rFonts w:hint="eastAsia" w:ascii="仿宋" w:hAnsi="仿宋" w:eastAsia="仿宋" w:cs="仿宋"/>
          <w:color w:val="auto"/>
          <w:sz w:val="30"/>
          <w:szCs w:val="30"/>
        </w:rPr>
        <w:t>万元，其他相关支出</w:t>
      </w:r>
      <w:r>
        <w:rPr>
          <w:rFonts w:hint="eastAsia" w:ascii="仿宋" w:hAnsi="仿宋" w:eastAsia="仿宋" w:cs="仿宋"/>
          <w:color w:val="auto"/>
          <w:sz w:val="32"/>
          <w:szCs w:val="32"/>
        </w:rPr>
        <w:t>100</w:t>
      </w:r>
      <w:r>
        <w:rPr>
          <w:rFonts w:hint="eastAsia" w:ascii="仿宋" w:hAnsi="仿宋" w:eastAsia="仿宋" w:cs="仿宋"/>
          <w:color w:val="auto"/>
          <w:sz w:val="30"/>
          <w:szCs w:val="30"/>
        </w:rPr>
        <w:t>万元。</w:t>
      </w:r>
    </w:p>
    <w:p>
      <w:pPr>
        <w:spacing w:line="600" w:lineRule="exact"/>
        <w:ind w:firstLine="600" w:firstLineChars="200"/>
        <w:rPr>
          <w:rFonts w:ascii="仿宋" w:hAnsi="仿宋" w:eastAsia="仿宋" w:cs="仿宋"/>
          <w:spacing w:val="17"/>
          <w:sz w:val="30"/>
          <w:szCs w:val="30"/>
        </w:rPr>
      </w:pPr>
      <w:r>
        <w:rPr>
          <w:rFonts w:hint="eastAsia" w:ascii="仿宋" w:hAnsi="仿宋" w:eastAsia="仿宋" w:cs="仿宋"/>
          <w:sz w:val="30"/>
          <w:szCs w:val="30"/>
        </w:rPr>
        <w:t>按支出功能分类科目划分按支出功能分类科目划分：</w:t>
      </w:r>
      <w:r>
        <w:rPr>
          <w:rFonts w:hint="eastAsia" w:ascii="仿宋" w:hAnsi="仿宋" w:eastAsia="仿宋" w:cs="仿宋"/>
          <w:spacing w:val="12"/>
          <w:sz w:val="30"/>
          <w:szCs w:val="30"/>
        </w:rPr>
        <w:t>一般公共服务支出</w:t>
      </w:r>
      <w:r>
        <w:rPr>
          <w:rFonts w:hint="eastAsia" w:ascii="仿宋" w:hAnsi="仿宋" w:eastAsia="仿宋" w:cs="仿宋"/>
          <w:sz w:val="32"/>
          <w:szCs w:val="32"/>
        </w:rPr>
        <w:t>2056.56</w:t>
      </w:r>
      <w:r>
        <w:rPr>
          <w:rFonts w:hint="eastAsia" w:ascii="仿宋" w:hAnsi="仿宋" w:eastAsia="仿宋" w:cs="仿宋"/>
          <w:spacing w:val="12"/>
          <w:sz w:val="30"/>
          <w:szCs w:val="30"/>
        </w:rPr>
        <w:t>万元,较</w:t>
      </w:r>
      <w:r>
        <w:rPr>
          <w:rFonts w:hint="eastAsia" w:ascii="仿宋" w:hAnsi="仿宋" w:eastAsia="仿宋" w:cs="仿宋"/>
          <w:spacing w:val="5"/>
          <w:sz w:val="30"/>
          <w:szCs w:val="30"/>
        </w:rPr>
        <w:t>上年预算安排减少525.3</w:t>
      </w:r>
      <w:r>
        <w:rPr>
          <w:rFonts w:hint="eastAsia" w:ascii="仿宋" w:hAnsi="仿宋" w:eastAsia="仿宋" w:cs="仿宋"/>
          <w:spacing w:val="5"/>
          <w:sz w:val="30"/>
          <w:szCs w:val="30"/>
          <w:lang w:val="en-US" w:eastAsia="zh-CN"/>
        </w:rPr>
        <w:t>1</w:t>
      </w:r>
      <w:r>
        <w:rPr>
          <w:rFonts w:hint="eastAsia" w:ascii="仿宋" w:hAnsi="仿宋" w:eastAsia="仿宋" w:cs="仿宋"/>
          <w:spacing w:val="5"/>
          <w:sz w:val="30"/>
          <w:szCs w:val="30"/>
        </w:rPr>
        <w:t>万元;社会保障和就业支出</w:t>
      </w:r>
      <w:r>
        <w:rPr>
          <w:rFonts w:hint="eastAsia" w:ascii="仿宋" w:hAnsi="仿宋" w:eastAsia="仿宋" w:cs="仿宋"/>
          <w:sz w:val="32"/>
          <w:szCs w:val="32"/>
        </w:rPr>
        <w:t>46.72</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上年预算安排减少8.02万元;卫生健康支出</w:t>
      </w:r>
      <w:r>
        <w:rPr>
          <w:rFonts w:hint="eastAsia" w:ascii="仿宋" w:hAnsi="仿宋" w:eastAsia="仿宋" w:cs="仿宋"/>
          <w:sz w:val="32"/>
          <w:szCs w:val="32"/>
        </w:rPr>
        <w:t>34.36</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元,较上年预算安排增加6.89万</w:t>
      </w:r>
      <w:bookmarkStart w:id="0" w:name="_GoBack"/>
      <w:bookmarkEnd w:id="0"/>
      <w:r>
        <w:rPr>
          <w:rFonts w:hint="eastAsia" w:ascii="仿宋" w:hAnsi="仿宋" w:eastAsia="仿宋" w:cs="仿宋"/>
          <w:spacing w:val="5"/>
          <w:sz w:val="30"/>
          <w:szCs w:val="30"/>
        </w:rPr>
        <w:t>元;住房保障支出</w:t>
      </w:r>
      <w:r>
        <w:rPr>
          <w:rFonts w:hint="eastAsia" w:ascii="仿宋" w:hAnsi="仿宋" w:eastAsia="仿宋" w:cs="仿宋"/>
          <w:sz w:val="32"/>
          <w:szCs w:val="32"/>
        </w:rPr>
        <w:t>38.97</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元,较上年预算安排增加1.9万元</w:t>
      </w:r>
      <w:r>
        <w:rPr>
          <w:rFonts w:hint="eastAsia" w:ascii="仿宋" w:hAnsi="仿宋" w:eastAsia="仿宋" w:cs="仿宋"/>
          <w:sz w:val="30"/>
          <w:szCs w:val="30"/>
        </w:rPr>
        <w:t>；农林水支出0万元，较上年预算安排减27.5万元；</w:t>
      </w:r>
      <w:r>
        <w:rPr>
          <w:rFonts w:hint="eastAsia" w:ascii="仿宋" w:hAnsi="仿宋" w:eastAsia="仿宋" w:cs="仿宋"/>
          <w:spacing w:val="17"/>
          <w:sz w:val="30"/>
          <w:szCs w:val="30"/>
        </w:rPr>
        <w:t>其他支出</w:t>
      </w:r>
      <w:r>
        <w:rPr>
          <w:rFonts w:hint="eastAsia" w:ascii="仿宋" w:hAnsi="仿宋" w:eastAsia="仿宋" w:cs="仿宋"/>
          <w:sz w:val="32"/>
          <w:szCs w:val="32"/>
        </w:rPr>
        <w:t>100</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w:t>
      </w:r>
      <w:r>
        <w:rPr>
          <w:rFonts w:hint="eastAsia" w:ascii="仿宋" w:hAnsi="仿宋" w:eastAsia="仿宋" w:cs="仿宋"/>
          <w:sz w:val="32"/>
          <w:szCs w:val="32"/>
        </w:rPr>
        <w:t>100</w:t>
      </w:r>
      <w:r>
        <w:rPr>
          <w:rFonts w:hint="eastAsia" w:ascii="仿宋" w:hAnsi="仿宋" w:eastAsia="仿宋" w:cs="仿宋"/>
          <w:spacing w:val="17"/>
          <w:sz w:val="30"/>
          <w:szCs w:val="30"/>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00" w:firstLineChars="200"/>
        <w:rPr>
          <w:rFonts w:ascii="仿宋" w:hAnsi="仿宋" w:eastAsia="仿宋" w:cs="仿宋"/>
          <w:sz w:val="30"/>
          <w:szCs w:val="30"/>
          <w:lang w:val="en-US" w:bidi="ar-SA"/>
        </w:rPr>
      </w:pPr>
      <w:r>
        <w:rPr>
          <w:rFonts w:hint="eastAsia" w:ascii="仿宋" w:hAnsi="仿宋" w:eastAsia="仿宋" w:cs="仿宋"/>
          <w:sz w:val="30"/>
          <w:szCs w:val="30"/>
          <w:lang w:val="en-US" w:bidi="ar-SA"/>
        </w:rPr>
        <w:t>2023年本单位财政拨款（补助）支出预算2176.61万元，占本年支出预算额的95.61%，较上年预算安排增148.40万元，增7.32%。增减变化主要原因是：县委综合考核工作经费等项目的增加。具体为：</w:t>
      </w:r>
    </w:p>
    <w:p>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按支出项目类别及经济分类科目划分：基本支出</w:t>
      </w:r>
      <w:r>
        <w:rPr>
          <w:rFonts w:hint="eastAsia" w:ascii="仿宋" w:hAnsi="仿宋" w:eastAsia="仿宋" w:cs="仿宋"/>
          <w:spacing w:val="-131"/>
          <w:sz w:val="30"/>
          <w:szCs w:val="30"/>
        </w:rPr>
        <w:t xml:space="preserve"> </w:t>
      </w:r>
      <w:r>
        <w:rPr>
          <w:rFonts w:hint="eastAsia" w:ascii="仿宋" w:hAnsi="仿宋" w:eastAsia="仿宋" w:cs="仿宋"/>
          <w:sz w:val="32"/>
          <w:szCs w:val="32"/>
        </w:rPr>
        <w:t>461.95</w:t>
      </w:r>
      <w:r>
        <w:rPr>
          <w:rFonts w:hint="eastAsia" w:ascii="仿宋" w:hAnsi="仿宋" w:eastAsia="仿宋" w:cs="仿宋"/>
          <w:sz w:val="30"/>
          <w:szCs w:val="30"/>
        </w:rPr>
        <w:t>万元，</w:t>
      </w:r>
      <w:r>
        <w:rPr>
          <w:rFonts w:hint="eastAsia" w:ascii="仿宋" w:hAnsi="仿宋" w:eastAsia="仿宋" w:cs="仿宋"/>
          <w:sz w:val="32"/>
          <w:szCs w:val="32"/>
        </w:rPr>
        <w:t>较上年预算安排增121.98元，</w:t>
      </w:r>
      <w:r>
        <w:rPr>
          <w:rFonts w:hint="eastAsia" w:ascii="仿宋" w:hAnsi="仿宋" w:eastAsia="仿宋" w:cs="仿宋"/>
          <w:sz w:val="30"/>
          <w:szCs w:val="30"/>
        </w:rPr>
        <w:t>其中：工资福利支出</w:t>
      </w:r>
      <w:r>
        <w:rPr>
          <w:rFonts w:hint="eastAsia" w:ascii="仿宋" w:hAnsi="仿宋" w:eastAsia="仿宋" w:cs="仿宋"/>
          <w:sz w:val="32"/>
          <w:szCs w:val="32"/>
        </w:rPr>
        <w:t>417.39</w:t>
      </w:r>
      <w:r>
        <w:rPr>
          <w:rFonts w:hint="eastAsia" w:ascii="仿宋" w:hAnsi="仿宋" w:eastAsia="仿宋" w:cs="仿宋"/>
          <w:sz w:val="30"/>
          <w:szCs w:val="30"/>
        </w:rPr>
        <w:t>万元，商品和服务支出</w:t>
      </w:r>
      <w:r>
        <w:rPr>
          <w:rFonts w:hint="eastAsia" w:ascii="仿宋" w:hAnsi="仿宋" w:eastAsia="仿宋" w:cs="仿宋"/>
          <w:sz w:val="32"/>
          <w:szCs w:val="32"/>
        </w:rPr>
        <w:t>42.29</w:t>
      </w:r>
      <w:r>
        <w:rPr>
          <w:rFonts w:hint="eastAsia" w:ascii="仿宋" w:hAnsi="仿宋" w:eastAsia="仿宋" w:cs="仿宋"/>
          <w:sz w:val="30"/>
          <w:szCs w:val="30"/>
        </w:rPr>
        <w:t>万元，对个人和家庭的补助</w:t>
      </w:r>
      <w:r>
        <w:rPr>
          <w:rFonts w:hint="eastAsia" w:ascii="仿宋" w:hAnsi="仿宋" w:eastAsia="仿宋" w:cs="仿宋"/>
          <w:spacing w:val="-131"/>
          <w:sz w:val="30"/>
          <w:szCs w:val="30"/>
        </w:rPr>
        <w:t xml:space="preserve"> </w:t>
      </w:r>
      <w:r>
        <w:rPr>
          <w:rFonts w:hint="eastAsia" w:ascii="仿宋" w:hAnsi="仿宋" w:eastAsia="仿宋" w:cs="仿宋"/>
          <w:sz w:val="32"/>
          <w:szCs w:val="32"/>
        </w:rPr>
        <w:t>2.27</w:t>
      </w:r>
      <w:r>
        <w:rPr>
          <w:rFonts w:hint="eastAsia" w:ascii="仿宋" w:hAnsi="仿宋" w:eastAsia="仿宋" w:cs="仿宋"/>
          <w:sz w:val="30"/>
          <w:szCs w:val="30"/>
        </w:rPr>
        <w:t>万元，资本性支出</w:t>
      </w:r>
      <w:r>
        <w:rPr>
          <w:rFonts w:hint="eastAsia" w:ascii="仿宋" w:hAnsi="仿宋" w:eastAsia="仿宋" w:cs="仿宋"/>
          <w:sz w:val="32"/>
          <w:szCs w:val="32"/>
        </w:rPr>
        <w:t>0</w:t>
      </w:r>
      <w:r>
        <w:rPr>
          <w:rFonts w:hint="eastAsia" w:ascii="仿宋" w:hAnsi="仿宋" w:eastAsia="仿宋" w:cs="仿宋"/>
          <w:sz w:val="30"/>
          <w:szCs w:val="30"/>
        </w:rPr>
        <w:t>万元。项目支出</w:t>
      </w:r>
      <w:r>
        <w:rPr>
          <w:rFonts w:hint="eastAsia" w:ascii="仿宋" w:hAnsi="仿宋" w:eastAsia="仿宋" w:cs="仿宋"/>
          <w:sz w:val="32"/>
          <w:szCs w:val="32"/>
        </w:rPr>
        <w:t>1714.66</w:t>
      </w:r>
      <w:r>
        <w:rPr>
          <w:rFonts w:hint="eastAsia" w:ascii="仿宋" w:hAnsi="仿宋" w:eastAsia="仿宋" w:cs="仿宋"/>
          <w:sz w:val="30"/>
          <w:szCs w:val="30"/>
        </w:rPr>
        <w:t>万元，</w:t>
      </w:r>
      <w:r>
        <w:rPr>
          <w:rFonts w:hint="eastAsia" w:ascii="仿宋" w:hAnsi="仿宋" w:eastAsia="仿宋" w:cs="仿宋"/>
          <w:sz w:val="32"/>
          <w:szCs w:val="32"/>
        </w:rPr>
        <w:t>较上年预算安排增26.42万元，</w:t>
      </w:r>
      <w:r>
        <w:rPr>
          <w:rFonts w:hint="eastAsia" w:ascii="仿宋" w:hAnsi="仿宋" w:eastAsia="仿宋" w:cs="仿宋"/>
          <w:sz w:val="30"/>
          <w:szCs w:val="30"/>
        </w:rPr>
        <w:t>其中：工资福利支出</w:t>
      </w:r>
      <w:r>
        <w:rPr>
          <w:rFonts w:hint="eastAsia" w:ascii="仿宋" w:hAnsi="仿宋" w:eastAsia="仿宋" w:cs="仿宋"/>
          <w:sz w:val="32"/>
          <w:szCs w:val="32"/>
        </w:rPr>
        <w:t>0</w:t>
      </w:r>
      <w:r>
        <w:rPr>
          <w:rFonts w:hint="eastAsia" w:ascii="仿宋" w:hAnsi="仿宋" w:eastAsia="仿宋" w:cs="仿宋"/>
          <w:sz w:val="30"/>
          <w:szCs w:val="30"/>
        </w:rPr>
        <w:t>万元，商品和服务支出</w:t>
      </w:r>
      <w:r>
        <w:rPr>
          <w:rFonts w:hint="eastAsia" w:ascii="仿宋" w:hAnsi="仿宋" w:eastAsia="仿宋" w:cs="仿宋"/>
          <w:sz w:val="32"/>
          <w:szCs w:val="32"/>
        </w:rPr>
        <w:t>0</w:t>
      </w:r>
      <w:r>
        <w:rPr>
          <w:rFonts w:hint="eastAsia" w:ascii="仿宋" w:hAnsi="仿宋" w:eastAsia="仿宋" w:cs="仿宋"/>
          <w:sz w:val="30"/>
          <w:szCs w:val="30"/>
        </w:rPr>
        <w:t>万元，对个人和家庭的补助</w:t>
      </w:r>
      <w:r>
        <w:rPr>
          <w:rFonts w:hint="eastAsia" w:ascii="仿宋" w:hAnsi="仿宋" w:eastAsia="仿宋" w:cs="仿宋"/>
          <w:sz w:val="32"/>
          <w:szCs w:val="32"/>
        </w:rPr>
        <w:t>0</w:t>
      </w:r>
      <w:r>
        <w:rPr>
          <w:rFonts w:hint="eastAsia" w:ascii="仿宋" w:hAnsi="仿宋" w:eastAsia="仿宋" w:cs="仿宋"/>
          <w:sz w:val="30"/>
          <w:szCs w:val="30"/>
        </w:rPr>
        <w:t>万元，资本性支出</w:t>
      </w:r>
      <w:r>
        <w:rPr>
          <w:rFonts w:hint="eastAsia" w:ascii="仿宋" w:hAnsi="仿宋" w:eastAsia="仿宋" w:cs="仿宋"/>
          <w:sz w:val="32"/>
          <w:szCs w:val="32"/>
        </w:rPr>
        <w:t>1714.66</w:t>
      </w:r>
      <w:r>
        <w:rPr>
          <w:rFonts w:hint="eastAsia" w:ascii="仿宋" w:hAnsi="仿宋" w:eastAsia="仿宋" w:cs="仿宋"/>
          <w:sz w:val="30"/>
          <w:szCs w:val="30"/>
        </w:rPr>
        <w:t>万元，其他相关支出</w:t>
      </w:r>
      <w:r>
        <w:rPr>
          <w:rFonts w:hint="eastAsia" w:ascii="仿宋" w:hAnsi="仿宋" w:eastAsia="仿宋" w:cs="仿宋"/>
          <w:sz w:val="32"/>
          <w:szCs w:val="32"/>
        </w:rPr>
        <w:t>0</w:t>
      </w:r>
      <w:r>
        <w:rPr>
          <w:rFonts w:hint="eastAsia" w:ascii="仿宋" w:hAnsi="仿宋" w:eastAsia="仿宋" w:cs="仿宋"/>
          <w:sz w:val="30"/>
          <w:szCs w:val="30"/>
        </w:rPr>
        <w:t>万元。</w:t>
      </w:r>
    </w:p>
    <w:p>
      <w:pPr>
        <w:spacing w:line="560" w:lineRule="exact"/>
        <w:ind w:firstLine="600" w:firstLineChars="200"/>
        <w:rPr>
          <w:rFonts w:ascii="仿宋" w:hAnsi="仿宋" w:eastAsia="仿宋" w:cs="仿宋"/>
          <w:b/>
          <w:bCs/>
          <w:sz w:val="32"/>
          <w:szCs w:val="32"/>
        </w:rPr>
      </w:pPr>
      <w:r>
        <w:rPr>
          <w:rFonts w:hint="eastAsia" w:ascii="仿宋" w:hAnsi="仿宋" w:eastAsia="仿宋" w:cs="仿宋"/>
          <w:sz w:val="30"/>
          <w:szCs w:val="30"/>
        </w:rPr>
        <w:t>按支出功能分类科目划分：</w:t>
      </w:r>
      <w:r>
        <w:rPr>
          <w:rFonts w:hint="eastAsia" w:ascii="仿宋" w:hAnsi="仿宋" w:eastAsia="仿宋" w:cs="仿宋"/>
          <w:spacing w:val="12"/>
          <w:sz w:val="30"/>
          <w:szCs w:val="30"/>
        </w:rPr>
        <w:t>一般公共服务支出支出</w:t>
      </w:r>
      <w:r>
        <w:rPr>
          <w:rFonts w:hint="eastAsia" w:ascii="仿宋" w:hAnsi="仿宋" w:eastAsia="仿宋" w:cs="仿宋"/>
          <w:sz w:val="32"/>
          <w:szCs w:val="32"/>
        </w:rPr>
        <w:t>2056.57</w:t>
      </w:r>
      <w:r>
        <w:rPr>
          <w:rFonts w:hint="eastAsia" w:ascii="仿宋" w:hAnsi="仿宋" w:eastAsia="仿宋" w:cs="仿宋"/>
          <w:spacing w:val="12"/>
          <w:sz w:val="30"/>
          <w:szCs w:val="30"/>
        </w:rPr>
        <w:t>万元,较</w:t>
      </w:r>
      <w:r>
        <w:rPr>
          <w:rFonts w:hint="eastAsia" w:ascii="仿宋" w:hAnsi="仿宋" w:eastAsia="仿宋" w:cs="仿宋"/>
          <w:spacing w:val="5"/>
          <w:sz w:val="30"/>
          <w:szCs w:val="30"/>
        </w:rPr>
        <w:t>上年预算安排增加125.39万元;社会保障和就业支出</w:t>
      </w:r>
      <w:r>
        <w:rPr>
          <w:rFonts w:hint="eastAsia" w:ascii="仿宋" w:hAnsi="仿宋" w:eastAsia="仿宋" w:cs="仿宋"/>
          <w:sz w:val="32"/>
          <w:szCs w:val="32"/>
        </w:rPr>
        <w:t>46.72</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上年预算安排增加14.22万元;卫生健康支出</w:t>
      </w:r>
      <w:r>
        <w:rPr>
          <w:rFonts w:hint="eastAsia" w:ascii="仿宋" w:hAnsi="仿宋" w:eastAsia="仿宋" w:cs="仿宋"/>
          <w:sz w:val="32"/>
          <w:szCs w:val="32"/>
        </w:rPr>
        <w:t>34.36</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元,较上年预算安排增加6.89万元;住房保障支出</w:t>
      </w:r>
      <w:r>
        <w:rPr>
          <w:rFonts w:hint="eastAsia" w:ascii="仿宋" w:hAnsi="仿宋" w:eastAsia="仿宋" w:cs="仿宋"/>
          <w:sz w:val="32"/>
          <w:szCs w:val="32"/>
        </w:rPr>
        <w:t>38.96</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元,较上年预算安排增加1.9万元;其他支出</w:t>
      </w:r>
      <w:r>
        <w:rPr>
          <w:rFonts w:hint="eastAsia" w:ascii="仿宋" w:hAnsi="仿宋" w:eastAsia="仿宋" w:cs="仿宋"/>
          <w:sz w:val="32"/>
          <w:szCs w:val="32"/>
        </w:rPr>
        <w:t>0</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元,较上年预算安排增加（减少）</w:t>
      </w:r>
      <w:r>
        <w:rPr>
          <w:rFonts w:hint="eastAsia" w:ascii="仿宋" w:hAnsi="仿宋" w:eastAsia="仿宋" w:cs="仿宋"/>
          <w:sz w:val="32"/>
          <w:szCs w:val="32"/>
        </w:rPr>
        <w:t>0</w:t>
      </w:r>
      <w:r>
        <w:rPr>
          <w:rFonts w:hint="eastAsia" w:ascii="仿宋" w:hAnsi="仿宋" w:eastAsia="仿宋" w:cs="仿宋"/>
          <w:spacing w:val="17"/>
          <w:sz w:val="30"/>
          <w:szCs w:val="30"/>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2023年无政府性基金预算拨款安排的支出。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2023年本单位机关运行费预算42.29万元，比2022年(上一年度）预算增加14.47万元，增长53.5％，主要原因是：人员的增加，县委综合考核工作办公费的增加。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2023年本单位所属各单位政府采购总额30万元，其中：政府采购货物预算30万元、政府采购工程预算0万元、政府采购服务预算0万元。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截至2023年12月31日单位共有车辆0辆，其中：一般公务用车0辆、执法执勤用车0辆。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2023年单位预算安排购置车辆0辆，安排购置单位价值200万元以上大型设备具体为：无。</w:t>
      </w:r>
    </w:p>
    <w:p>
      <w:pPr>
        <w:numPr>
          <w:ilvl w:val="0"/>
          <w:numId w:val="1"/>
        </w:num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绩效目标设置情况</w:t>
      </w:r>
    </w:p>
    <w:p>
      <w:pPr>
        <w:rPr>
          <w:rFonts w:ascii="仿宋" w:hAnsi="仿宋" w:eastAsia="仿宋" w:cs="仿宋"/>
          <w:sz w:val="30"/>
          <w:szCs w:val="30"/>
        </w:rPr>
      </w:pPr>
      <w:r>
        <w:drawing>
          <wp:inline distT="0" distB="0" distL="114300" distR="114300">
            <wp:extent cx="5542915" cy="6176645"/>
            <wp:effectExtent l="0" t="0" r="63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542915" cy="6176645"/>
                    </a:xfrm>
                    <a:prstGeom prst="rect">
                      <a:avLst/>
                    </a:prstGeom>
                    <a:noFill/>
                    <a:ln>
                      <a:noFill/>
                    </a:ln>
                  </pic:spPr>
                </pic:pic>
              </a:graphicData>
            </a:graphic>
          </wp:inline>
        </w:drawing>
      </w:r>
    </w:p>
    <w:tbl>
      <w:tblPr>
        <w:tblStyle w:val="7"/>
        <w:tblpPr w:leftFromText="180" w:rightFromText="180" w:vertAnchor="text" w:horzAnchor="page" w:tblpXSpec="center" w:tblpY="-125"/>
        <w:tblOverlap w:val="never"/>
        <w:tblW w:w="8500" w:type="dxa"/>
        <w:jc w:val="center"/>
        <w:tblLayout w:type="autofit"/>
        <w:tblCellMar>
          <w:top w:w="0" w:type="dxa"/>
          <w:left w:w="0" w:type="dxa"/>
          <w:bottom w:w="0" w:type="dxa"/>
          <w:right w:w="0" w:type="dxa"/>
        </w:tblCellMar>
      </w:tblPr>
      <w:tblGrid>
        <w:gridCol w:w="1208"/>
        <w:gridCol w:w="1109"/>
        <w:gridCol w:w="1194"/>
        <w:gridCol w:w="2799"/>
        <w:gridCol w:w="944"/>
        <w:gridCol w:w="1189"/>
        <w:gridCol w:w="57"/>
      </w:tblGrid>
      <w:tr>
        <w:tblPrEx>
          <w:tblCellMar>
            <w:top w:w="0" w:type="dxa"/>
            <w:left w:w="0" w:type="dxa"/>
            <w:bottom w:w="0" w:type="dxa"/>
            <w:right w:w="0" w:type="dxa"/>
          </w:tblCellMar>
        </w:tblPrEx>
        <w:trPr>
          <w:gridAfter w:val="1"/>
          <w:wAfter w:w="57" w:type="dxa"/>
          <w:trHeight w:val="113"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r>
              <w:rPr>
                <w:rFonts w:hint="eastAsia" w:ascii="仿宋" w:hAnsi="仿宋" w:eastAsia="仿宋" w:cs="仿宋"/>
                <w:sz w:val="30"/>
                <w:szCs w:val="30"/>
              </w:rPr>
              <w:t>2023年实行绩效目标管理的项目38个，涉及资金2255.41万元：</w:t>
            </w:r>
          </w:p>
          <w:p>
            <w:pPr>
              <w:widowControl/>
              <w:jc w:val="center"/>
              <w:textAlignment w:val="center"/>
              <w:rPr>
                <w:rFonts w:ascii="宋体" w:hAnsi="宋体" w:cs="宋体"/>
                <w:b/>
                <w:sz w:val="32"/>
                <w:szCs w:val="32"/>
              </w:rPr>
            </w:pPr>
            <w:r>
              <w:rPr>
                <w:rFonts w:hint="eastAsia" w:ascii="宋体" w:hAnsi="宋体" w:cs="宋体"/>
                <w:b/>
                <w:kern w:val="0"/>
                <w:sz w:val="44"/>
                <w:szCs w:val="44"/>
              </w:rPr>
              <w:br w:type="page"/>
            </w:r>
            <w:r>
              <w:rPr>
                <w:rFonts w:hint="eastAsia" w:ascii="宋体" w:hAnsi="宋体" w:cs="宋体"/>
                <w:b/>
                <w:kern w:val="0"/>
                <w:sz w:val="44"/>
                <w:szCs w:val="44"/>
              </w:rPr>
              <w:t>项目支出绩效目标申报表</w:t>
            </w:r>
          </w:p>
        </w:tc>
      </w:tr>
      <w:tr>
        <w:tblPrEx>
          <w:tblCellMar>
            <w:top w:w="0" w:type="dxa"/>
            <w:left w:w="0" w:type="dxa"/>
            <w:bottom w:w="0" w:type="dxa"/>
            <w:right w:w="0" w:type="dxa"/>
          </w:tblCellMar>
        </w:tblPrEx>
        <w:trPr>
          <w:gridAfter w:val="1"/>
          <w:wAfter w:w="57" w:type="dxa"/>
          <w:trHeight w:val="90"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（2023年度）</w:t>
            </w:r>
          </w:p>
        </w:tc>
      </w:tr>
      <w:tr>
        <w:tblPrEx>
          <w:tblCellMar>
            <w:top w:w="0" w:type="dxa"/>
            <w:left w:w="0" w:type="dxa"/>
            <w:bottom w:w="0" w:type="dxa"/>
            <w:right w:w="0" w:type="dxa"/>
          </w:tblCellMar>
        </w:tblPrEx>
        <w:trPr>
          <w:gridAfter w:val="1"/>
          <w:wAfter w:w="57" w:type="dxa"/>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项目名称</w:t>
            </w:r>
          </w:p>
        </w:tc>
        <w:tc>
          <w:tcPr>
            <w:tcW w:w="723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人才新政兜底保障专项资金</w:t>
            </w:r>
          </w:p>
        </w:tc>
      </w:tr>
      <w:tr>
        <w:tblPrEx>
          <w:tblCellMar>
            <w:top w:w="0" w:type="dxa"/>
            <w:left w:w="0" w:type="dxa"/>
            <w:bottom w:w="0" w:type="dxa"/>
            <w:right w:w="0" w:type="dxa"/>
          </w:tblCellMar>
        </w:tblPrEx>
        <w:trPr>
          <w:gridAfter w:val="1"/>
          <w:wAfter w:w="57" w:type="dxa"/>
          <w:trHeight w:val="44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主管部门及代码</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136001</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实施单位</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中共兴国县委组织部</w:t>
            </w:r>
          </w:p>
        </w:tc>
      </w:tr>
      <w:tr>
        <w:tblPrEx>
          <w:tblCellMar>
            <w:top w:w="0" w:type="dxa"/>
            <w:left w:w="0" w:type="dxa"/>
            <w:bottom w:w="0" w:type="dxa"/>
            <w:right w:w="0" w:type="dxa"/>
          </w:tblCellMar>
        </w:tblPrEx>
        <w:trPr>
          <w:gridAfter w:val="1"/>
          <w:wAfter w:w="57" w:type="dxa"/>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项目属性</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项目期</w:t>
            </w:r>
          </w:p>
        </w:tc>
        <w:tc>
          <w:tcPr>
            <w:tcW w:w="2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一年</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项目资金</w:t>
            </w:r>
          </w:p>
          <w:p>
            <w:pPr>
              <w:widowControl/>
              <w:spacing w:line="240" w:lineRule="exact"/>
              <w:jc w:val="center"/>
              <w:textAlignment w:val="center"/>
              <w:rPr>
                <w:rFonts w:ascii="宋体" w:hAnsi="宋体" w:cs="宋体"/>
                <w:sz w:val="20"/>
              </w:rPr>
            </w:pPr>
            <w:r>
              <w:rPr>
                <w:rFonts w:hint="eastAsia" w:ascii="宋体" w:hAnsi="宋体" w:cs="宋体"/>
                <w:kern w:val="0"/>
                <w:sz w:val="20"/>
              </w:rPr>
              <w:t>（万元）</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 xml:space="preserve"> 年度资金总额：</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500</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 xml:space="preserve">  其中：财政拨款</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500</w:t>
            </w: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 xml:space="preserve">        其他资金</w:t>
            </w:r>
          </w:p>
        </w:tc>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0</w:t>
            </w:r>
          </w:p>
        </w:tc>
      </w:tr>
      <w:tr>
        <w:tblPrEx>
          <w:tblCellMar>
            <w:top w:w="0" w:type="dxa"/>
            <w:left w:w="0" w:type="dxa"/>
            <w:bottom w:w="0" w:type="dxa"/>
            <w:right w:w="0" w:type="dxa"/>
          </w:tblCellMar>
        </w:tblPrEx>
        <w:trPr>
          <w:gridAfter w:val="1"/>
          <w:wAfter w:w="57" w:type="dxa"/>
          <w:trHeight w:val="322"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总体目标</w:t>
            </w:r>
          </w:p>
        </w:tc>
        <w:tc>
          <w:tcPr>
            <w:tcW w:w="7235"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left"/>
              <w:rPr>
                <w:rFonts w:ascii="宋体" w:hAnsi="宋体" w:cs="宋体"/>
                <w:sz w:val="15"/>
                <w:szCs w:val="15"/>
              </w:rPr>
            </w:pPr>
            <w:r>
              <w:rPr>
                <w:rFonts w:hint="eastAsia" w:ascii="宋体" w:hAnsi="宋体" w:cs="宋体"/>
                <w:sz w:val="15"/>
                <w:szCs w:val="15"/>
              </w:rPr>
              <w:t>目标1：开展各领域各层次人才的引进和培养；目标2：激励支持各类人才创新创业；目标3：分层分类给予各类人才优惠待遇；目标4：实施人才扶贫、人才回引、人才振兴工程；目标5：设立“兴国引才伯乐奖”；</w:t>
            </w:r>
          </w:p>
          <w:p>
            <w:pPr>
              <w:spacing w:line="240" w:lineRule="exact"/>
              <w:jc w:val="left"/>
              <w:rPr>
                <w:rFonts w:ascii="宋体" w:hAnsi="宋体" w:cs="宋体"/>
                <w:sz w:val="15"/>
                <w:szCs w:val="15"/>
              </w:rPr>
            </w:pPr>
            <w:r>
              <w:rPr>
                <w:rFonts w:hint="eastAsia" w:ascii="宋体" w:hAnsi="宋体" w:cs="宋体"/>
                <w:sz w:val="15"/>
                <w:szCs w:val="15"/>
              </w:rPr>
              <w:t>目标6：推进工程（技术）研究中心、企业技术中心等各类人才发展平台建设；目标7：开展人才关爱温暖工程</w:t>
            </w:r>
          </w:p>
          <w:p>
            <w:pPr>
              <w:spacing w:line="240" w:lineRule="exact"/>
              <w:jc w:val="left"/>
              <w:rPr>
                <w:rFonts w:ascii="宋体" w:hAnsi="宋体" w:cs="宋体"/>
                <w:sz w:val="20"/>
              </w:rPr>
            </w:pPr>
            <w:r>
              <w:rPr>
                <w:rFonts w:hint="eastAsia" w:ascii="宋体" w:hAnsi="宋体" w:cs="宋体"/>
                <w:sz w:val="15"/>
                <w:szCs w:val="15"/>
              </w:rPr>
              <w:t>目标8：邀请在外兴国籍专家人才返乡开展“乡贤讲堂”；目标9：开展人才工作者学习交流和培训活动。</w:t>
            </w:r>
          </w:p>
        </w:tc>
      </w:tr>
      <w:tr>
        <w:tblPrEx>
          <w:tblCellMar>
            <w:top w:w="0" w:type="dxa"/>
            <w:left w:w="0" w:type="dxa"/>
            <w:bottom w:w="0" w:type="dxa"/>
            <w:right w:w="0" w:type="dxa"/>
          </w:tblCellMar>
        </w:tblPrEx>
        <w:trPr>
          <w:gridAfter w:val="1"/>
          <w:wAfter w:w="57" w:type="dxa"/>
          <w:trHeight w:val="322"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723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r>
      <w:tr>
        <w:tblPrEx>
          <w:tblCellMar>
            <w:top w:w="0" w:type="dxa"/>
            <w:left w:w="0" w:type="dxa"/>
            <w:bottom w:w="0" w:type="dxa"/>
            <w:right w:w="0" w:type="dxa"/>
          </w:tblCellMar>
        </w:tblPrEx>
        <w:trPr>
          <w:gridAfter w:val="1"/>
          <w:wAfter w:w="57" w:type="dxa"/>
          <w:trHeight w:val="574" w:hRule="atLeast"/>
          <w:jc w:val="center"/>
        </w:trPr>
        <w:tc>
          <w:tcPr>
            <w:tcW w:w="12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一级</w:t>
            </w:r>
          </w:p>
          <w:p>
            <w:pPr>
              <w:widowControl/>
              <w:spacing w:line="240" w:lineRule="exact"/>
              <w:jc w:val="center"/>
              <w:textAlignment w:val="center"/>
              <w:rPr>
                <w:rFonts w:ascii="宋体" w:hAnsi="宋体" w:cs="宋体"/>
                <w:sz w:val="20"/>
              </w:rPr>
            </w:pPr>
            <w:r>
              <w:rPr>
                <w:rFonts w:hint="eastAsia" w:ascii="宋体" w:hAnsi="宋体" w:cs="宋体"/>
                <w:kern w:val="0"/>
                <w:sz w:val="20"/>
              </w:rPr>
              <w:t>指标</w:t>
            </w:r>
          </w:p>
        </w:tc>
        <w:tc>
          <w:tcPr>
            <w:tcW w:w="11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二级指标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三级指标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备注</w:t>
            </w:r>
          </w:p>
        </w:tc>
      </w:tr>
      <w:tr>
        <w:tblPrEx>
          <w:tblCellMar>
            <w:top w:w="0" w:type="dxa"/>
            <w:left w:w="0" w:type="dxa"/>
            <w:bottom w:w="0" w:type="dxa"/>
            <w:right w:w="0" w:type="dxa"/>
          </w:tblCellMar>
        </w:tblPrEx>
        <w:trPr>
          <w:gridAfter w:val="1"/>
          <w:wAfter w:w="57" w:type="dxa"/>
          <w:trHeight w:val="57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产出指标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数量指标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指标1：开展各领域各层次人才的引进和培养</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57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指标2：推进工程（技术）研究中心、企业技术中心等各类人才发展平台建设</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58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指标3：邀请在外兴国籍专家人才返乡开展“乡贤讲堂”</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质量指标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指标1：激励支持各类人才创新创业</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58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指标2：实施人才扶贫、人才回引、人才振兴工程</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指标3：开展人才关爱温暖</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529"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时效指标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指标1：分层分类给予各类人才优惠待遇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544"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指标2：开展人才工作者学习交流和培训</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指标3：设立“兴国引才伯乐奖”</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252"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成本指标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297"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效益指标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经济效益</w:t>
            </w:r>
          </w:p>
          <w:p>
            <w:pPr>
              <w:widowControl/>
              <w:spacing w:line="240" w:lineRule="exact"/>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指标1：推动经济创新发展</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指标2：</w:t>
            </w:r>
            <w:r>
              <w:rPr>
                <w:rFonts w:hint="eastAsia" w:ascii="Arial" w:hAnsi="Arial" w:eastAsia="Arial" w:cs="Arial"/>
                <w:sz w:val="18"/>
                <w:szCs w:val="18"/>
                <w:shd w:val="clear" w:color="auto" w:fill="FFFFFF"/>
              </w:rPr>
              <w:t>实现经济体制和经济增长</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kern w:val="0"/>
                <w:sz w:val="20"/>
                <w:lang w:bidi="ar"/>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社会效益</w:t>
            </w:r>
          </w:p>
          <w:p>
            <w:pPr>
              <w:widowControl/>
              <w:spacing w:line="240" w:lineRule="exact"/>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指标1：激发社会创新活力</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指标2：营造浓厚人才氛围</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指标3：推动乡村振兴</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生态效益</w:t>
            </w:r>
          </w:p>
          <w:p>
            <w:pPr>
              <w:widowControl/>
              <w:spacing w:line="240" w:lineRule="exact"/>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可持续影响</w:t>
            </w:r>
          </w:p>
          <w:p>
            <w:pPr>
              <w:widowControl/>
              <w:spacing w:line="240" w:lineRule="exact"/>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指标1：</w:t>
            </w:r>
            <w:r>
              <w:rPr>
                <w:rFonts w:hint="eastAsia" w:ascii="Arial" w:hAnsi="Arial" w:eastAsia="Arial" w:cs="Arial"/>
                <w:sz w:val="15"/>
                <w:szCs w:val="15"/>
                <w:shd w:val="clear" w:color="auto" w:fill="FFFFFF"/>
              </w:rPr>
              <w:t>企业持续、稳定、健康的发展</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r>
              <w:rPr>
                <w:rFonts w:hint="eastAsia" w:ascii="宋体" w:hAnsi="宋体" w:cs="宋体"/>
                <w:sz w:val="20"/>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rPr>
              <w:t>满意度指标</w:t>
            </w:r>
          </w:p>
        </w:tc>
        <w:tc>
          <w:tcPr>
            <w:tcW w:w="11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kern w:val="0"/>
                <w:sz w:val="20"/>
              </w:rPr>
            </w:pPr>
            <w:r>
              <w:rPr>
                <w:rFonts w:hint="eastAsia" w:ascii="宋体" w:hAnsi="宋体" w:cs="宋体"/>
                <w:kern w:val="0"/>
                <w:sz w:val="20"/>
              </w:rPr>
              <w:t>服务对象</w:t>
            </w:r>
          </w:p>
          <w:p>
            <w:pPr>
              <w:widowControl/>
              <w:spacing w:line="240" w:lineRule="exact"/>
              <w:jc w:val="center"/>
              <w:textAlignment w:val="center"/>
              <w:rPr>
                <w:rFonts w:ascii="宋体" w:hAnsi="宋体" w:cs="宋体"/>
                <w:sz w:val="20"/>
              </w:rPr>
            </w:pPr>
            <w:r>
              <w:rPr>
                <w:rFonts w:hint="eastAsia" w:ascii="宋体" w:hAnsi="宋体" w:cs="宋体"/>
                <w:kern w:val="0"/>
                <w:sz w:val="20"/>
              </w:rPr>
              <w:t>满意度指标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指标1：人才满意度提升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gridAfter w:val="1"/>
          <w:wAfter w:w="57" w:type="dxa"/>
          <w:trHeight w:val="90" w:hRule="atLeast"/>
          <w:jc w:val="center"/>
        </w:trPr>
        <w:tc>
          <w:tcPr>
            <w:tcW w:w="12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11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cs="宋体"/>
                <w:sz w:val="20"/>
              </w:rPr>
            </w:pPr>
            <w:r>
              <w:rPr>
                <w:rFonts w:hint="eastAsia" w:ascii="宋体" w:hAnsi="宋体" w:cs="宋体"/>
                <w:kern w:val="0"/>
                <w:sz w:val="16"/>
                <w:szCs w:val="16"/>
                <w:lang w:bidi="ar"/>
              </w:rPr>
              <w:t xml:space="preserve"> 指标2：群众满意度提升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cs="宋体"/>
                <w:sz w:val="20"/>
              </w:rPr>
            </w:pPr>
            <w:r>
              <w:rPr>
                <w:rFonts w:hint="eastAsia" w:ascii="宋体" w:hAnsi="宋体" w:cs="宋体"/>
                <w:kern w:val="0"/>
                <w:sz w:val="20"/>
                <w:lang w:bidi="ar"/>
              </w:rPr>
              <w:t>95%</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rPr>
                <w:rFonts w:ascii="宋体" w:hAnsi="宋体" w:cs="宋体"/>
                <w:sz w:val="22"/>
                <w:szCs w:val="22"/>
              </w:rPr>
            </w:pPr>
          </w:p>
        </w:tc>
      </w:tr>
      <w:tr>
        <w:tblPrEx>
          <w:tblCellMar>
            <w:top w:w="0" w:type="dxa"/>
            <w:left w:w="0" w:type="dxa"/>
            <w:bottom w:w="0" w:type="dxa"/>
            <w:right w:w="0" w:type="dxa"/>
          </w:tblCellMar>
        </w:tblPrEx>
        <w:trPr>
          <w:trHeight w:val="113" w:hRule="atLeast"/>
          <w:jc w:val="center"/>
        </w:trPr>
        <w:tc>
          <w:tcPr>
            <w:tcW w:w="8500" w:type="dxa"/>
            <w:gridSpan w:val="7"/>
            <w:tcBorders>
              <w:top w:val="nil"/>
              <w:left w:val="nil"/>
              <w:bottom w:val="nil"/>
              <w:right w:val="nil"/>
            </w:tcBorders>
            <w:shd w:val="clear" w:color="auto" w:fill="auto"/>
            <w:tcMar>
              <w:top w:w="15" w:type="dxa"/>
              <w:left w:w="15" w:type="dxa"/>
              <w:right w:w="15" w:type="dxa"/>
            </w:tcMar>
            <w:vAlign w:val="center"/>
          </w:tcPr>
          <w:p>
            <w:pPr>
              <w:widowControl/>
              <w:textAlignment w:val="center"/>
              <w:rPr>
                <w:rFonts w:ascii="宋体" w:hAnsi="宋体" w:cs="宋体"/>
                <w:b/>
                <w:kern w:val="0"/>
                <w:sz w:val="44"/>
                <w:szCs w:val="44"/>
              </w:rPr>
            </w:pPr>
          </w:p>
          <w:p>
            <w:pPr>
              <w:widowControl/>
              <w:jc w:val="center"/>
              <w:textAlignment w:val="center"/>
              <w:rPr>
                <w:rFonts w:ascii="宋体" w:hAnsi="宋体" w:cs="宋体"/>
                <w:b/>
                <w:sz w:val="32"/>
                <w:szCs w:val="32"/>
              </w:rPr>
            </w:pPr>
            <w:r>
              <w:rPr>
                <w:rFonts w:hint="eastAsia" w:ascii="宋体" w:hAnsi="宋体" w:cs="宋体"/>
                <w:b/>
                <w:kern w:val="0"/>
                <w:sz w:val="44"/>
                <w:szCs w:val="44"/>
              </w:rPr>
              <w:br w:type="page"/>
            </w:r>
            <w:r>
              <w:rPr>
                <w:rFonts w:hint="eastAsia" w:ascii="宋体" w:hAnsi="宋体" w:cs="宋体"/>
                <w:b/>
                <w:kern w:val="0"/>
                <w:sz w:val="44"/>
                <w:szCs w:val="44"/>
              </w:rPr>
              <w:t>项目支出绩效目标申报表</w:t>
            </w:r>
          </w:p>
        </w:tc>
      </w:tr>
      <w:tr>
        <w:tblPrEx>
          <w:tblCellMar>
            <w:top w:w="0" w:type="dxa"/>
            <w:left w:w="0" w:type="dxa"/>
            <w:bottom w:w="0" w:type="dxa"/>
            <w:right w:w="0" w:type="dxa"/>
          </w:tblCellMar>
        </w:tblPrEx>
        <w:trPr>
          <w:trHeight w:val="90" w:hRule="atLeast"/>
          <w:jc w:val="center"/>
        </w:trPr>
        <w:tc>
          <w:tcPr>
            <w:tcW w:w="8500"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（2023年度）</w:t>
            </w:r>
          </w:p>
        </w:tc>
      </w:tr>
      <w:tr>
        <w:tblPrEx>
          <w:tblCellMar>
            <w:top w:w="0" w:type="dxa"/>
            <w:left w:w="0" w:type="dxa"/>
            <w:bottom w:w="0" w:type="dxa"/>
            <w:right w:w="0" w:type="dxa"/>
          </w:tblCellMar>
        </w:tblPrEx>
        <w:trPr>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项目名称</w:t>
            </w:r>
          </w:p>
        </w:tc>
        <w:tc>
          <w:tcPr>
            <w:tcW w:w="729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党小组长补助资金（县级配套）</w:t>
            </w:r>
          </w:p>
        </w:tc>
      </w:tr>
      <w:tr>
        <w:tblPrEx>
          <w:tblCellMar>
            <w:top w:w="0" w:type="dxa"/>
            <w:left w:w="0" w:type="dxa"/>
            <w:bottom w:w="0" w:type="dxa"/>
            <w:right w:w="0" w:type="dxa"/>
          </w:tblCellMar>
        </w:tblPrEx>
        <w:trPr>
          <w:trHeight w:val="44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主管部门及代码</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136001</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实施单位</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中共兴国县委组织部</w:t>
            </w:r>
          </w:p>
        </w:tc>
      </w:tr>
      <w:tr>
        <w:tblPrEx>
          <w:tblCellMar>
            <w:top w:w="0" w:type="dxa"/>
            <w:left w:w="0" w:type="dxa"/>
            <w:bottom w:w="0" w:type="dxa"/>
            <w:right w:w="0" w:type="dxa"/>
          </w:tblCellMar>
        </w:tblPrEx>
        <w:trPr>
          <w:trHeight w:val="90" w:hRule="atLeast"/>
          <w:jc w:val="center"/>
        </w:trPr>
        <w:tc>
          <w:tcPr>
            <w:tcW w:w="1208"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项目属性</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项目期</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一年</w:t>
            </w:r>
          </w:p>
        </w:tc>
      </w:tr>
      <w:tr>
        <w:tblPrEx>
          <w:tblCellMar>
            <w:top w:w="0" w:type="dxa"/>
            <w:left w:w="0" w:type="dxa"/>
            <w:bottom w:w="0" w:type="dxa"/>
            <w:right w:w="0" w:type="dxa"/>
          </w:tblCellMar>
        </w:tblPrEx>
        <w:trPr>
          <w:trHeight w:val="90"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项目资金</w:t>
            </w:r>
          </w:p>
          <w:p>
            <w:pPr>
              <w:widowControl/>
              <w:jc w:val="center"/>
              <w:textAlignment w:val="center"/>
              <w:rPr>
                <w:rFonts w:ascii="宋体" w:hAnsi="宋体" w:cs="宋体"/>
                <w:sz w:val="20"/>
              </w:rPr>
            </w:pPr>
            <w:r>
              <w:rPr>
                <w:rFonts w:hint="eastAsia" w:ascii="宋体" w:hAnsi="宋体" w:cs="宋体"/>
                <w:kern w:val="0"/>
                <w:sz w:val="20"/>
              </w:rPr>
              <w:t>（万元）</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年度资金总额：</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168</w:t>
            </w: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其中：财政拨款</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168</w:t>
            </w: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其他资金</w:t>
            </w:r>
          </w:p>
        </w:tc>
        <w:tc>
          <w:tcPr>
            <w:tcW w:w="498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0</w:t>
            </w:r>
          </w:p>
        </w:tc>
      </w:tr>
      <w:tr>
        <w:tblPrEx>
          <w:tblCellMar>
            <w:top w:w="0" w:type="dxa"/>
            <w:left w:w="0" w:type="dxa"/>
            <w:bottom w:w="0" w:type="dxa"/>
            <w:right w:w="0" w:type="dxa"/>
          </w:tblCellMar>
        </w:tblPrEx>
        <w:trPr>
          <w:trHeight w:val="322"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总体目标</w:t>
            </w:r>
          </w:p>
        </w:tc>
        <w:tc>
          <w:tcPr>
            <w:tcW w:w="7292" w:type="dxa"/>
            <w:gridSpan w:val="6"/>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sz w:val="20"/>
              </w:rPr>
            </w:pPr>
            <w:r>
              <w:rPr>
                <w:rFonts w:hint="eastAsia" w:ascii="宋体" w:hAnsi="宋体" w:cs="宋体"/>
                <w:sz w:val="20"/>
              </w:rPr>
              <w:t>目标1：按照党支部要求，组织党员学习；</w:t>
            </w:r>
          </w:p>
          <w:p>
            <w:pPr>
              <w:jc w:val="left"/>
              <w:rPr>
                <w:rFonts w:ascii="宋体" w:hAnsi="宋体" w:cs="宋体"/>
                <w:sz w:val="20"/>
              </w:rPr>
            </w:pPr>
            <w:r>
              <w:rPr>
                <w:rFonts w:hint="eastAsia" w:ascii="宋体" w:hAnsi="宋体" w:cs="宋体"/>
                <w:sz w:val="20"/>
              </w:rPr>
              <w:t>目标2：严格党的组织生活，定期召开好党小组会；</w:t>
            </w:r>
          </w:p>
          <w:p>
            <w:pPr>
              <w:jc w:val="left"/>
              <w:rPr>
                <w:rFonts w:ascii="宋体" w:hAnsi="宋体" w:cs="宋体"/>
                <w:sz w:val="20"/>
              </w:rPr>
            </w:pPr>
            <w:r>
              <w:rPr>
                <w:rFonts w:hint="eastAsia" w:ascii="宋体" w:hAnsi="宋体" w:cs="宋体"/>
                <w:sz w:val="20"/>
              </w:rPr>
              <w:t>目标3：了解党员的情况，并向党支部反映党员的意见、建议和要求。</w:t>
            </w:r>
          </w:p>
        </w:tc>
      </w:tr>
      <w:tr>
        <w:tblPrEx>
          <w:tblCellMar>
            <w:top w:w="0" w:type="dxa"/>
            <w:left w:w="0" w:type="dxa"/>
            <w:bottom w:w="0" w:type="dxa"/>
            <w:right w:w="0" w:type="dxa"/>
          </w:tblCellMar>
        </w:tblPrEx>
        <w:trPr>
          <w:trHeight w:val="322"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7292" w:type="dxa"/>
            <w:gridSpan w:val="6"/>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r>
      <w:tr>
        <w:tblPrEx>
          <w:tblCellMar>
            <w:top w:w="0" w:type="dxa"/>
            <w:left w:w="0" w:type="dxa"/>
            <w:bottom w:w="0" w:type="dxa"/>
            <w:right w:w="0" w:type="dxa"/>
          </w:tblCellMar>
        </w:tblPrEx>
        <w:trPr>
          <w:trHeight w:val="574" w:hRule="atLeast"/>
          <w:jc w:val="center"/>
        </w:trPr>
        <w:tc>
          <w:tcPr>
            <w:tcW w:w="1208"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一级</w:t>
            </w:r>
          </w:p>
          <w:p>
            <w:pPr>
              <w:widowControl/>
              <w:jc w:val="center"/>
              <w:textAlignment w:val="center"/>
              <w:rPr>
                <w:rFonts w:ascii="宋体" w:hAnsi="宋体" w:cs="宋体"/>
                <w:sz w:val="20"/>
              </w:rPr>
            </w:pPr>
            <w:r>
              <w:rPr>
                <w:rFonts w:hint="eastAsia" w:ascii="宋体" w:hAnsi="宋体" w:cs="宋体"/>
                <w:kern w:val="0"/>
                <w:sz w:val="20"/>
              </w:rPr>
              <w:t>指标</w:t>
            </w:r>
          </w:p>
        </w:tc>
        <w:tc>
          <w:tcPr>
            <w:tcW w:w="11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二级指标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三级指标</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指标值</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备注</w:t>
            </w:r>
          </w:p>
        </w:tc>
      </w:tr>
      <w:tr>
        <w:tblPrEx>
          <w:tblCellMar>
            <w:top w:w="0" w:type="dxa"/>
            <w:left w:w="0" w:type="dxa"/>
            <w:bottom w:w="0" w:type="dxa"/>
            <w:right w:w="0" w:type="dxa"/>
          </w:tblCellMar>
        </w:tblPrEx>
        <w:trPr>
          <w:trHeight w:val="57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产出指标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数量指标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指标1：组织党员学习</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57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指标2：反映村民意见建议</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483"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指标3：负责组织召开会议</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质量指标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指标1：组织党员做好群众工作</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589"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指标2：培育入党积极分子</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529"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时效指标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指标1：按时收缴党费</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544"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252"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成本指标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297"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效益指标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经济效益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社会效益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18"/>
                <w:szCs w:val="18"/>
              </w:rPr>
              <w:t>让党的决策得到贯彻落实</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指标2：让党的执政基础更牢</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生态效益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可持续影响</w:t>
            </w:r>
          </w:p>
          <w:p>
            <w:pPr>
              <w:widowControl/>
              <w:jc w:val="center"/>
              <w:textAlignment w:val="center"/>
              <w:rPr>
                <w:rFonts w:ascii="宋体" w:hAnsi="宋体" w:cs="宋体"/>
                <w:sz w:val="20"/>
              </w:rPr>
            </w:pPr>
            <w:r>
              <w:rPr>
                <w:rFonts w:hint="eastAsia" w:ascii="宋体" w:hAnsi="宋体" w:cs="宋体"/>
                <w:kern w:val="0"/>
                <w:sz w:val="20"/>
              </w:rPr>
              <w:t>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满意度指标</w:t>
            </w:r>
          </w:p>
        </w:tc>
        <w:tc>
          <w:tcPr>
            <w:tcW w:w="119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服务对象</w:t>
            </w:r>
          </w:p>
          <w:p>
            <w:pPr>
              <w:widowControl/>
              <w:jc w:val="center"/>
              <w:textAlignment w:val="center"/>
              <w:rPr>
                <w:rFonts w:ascii="宋体" w:hAnsi="宋体" w:cs="宋体"/>
                <w:sz w:val="20"/>
              </w:rPr>
            </w:pPr>
            <w:r>
              <w:rPr>
                <w:rFonts w:hint="eastAsia" w:ascii="宋体" w:hAnsi="宋体" w:cs="宋体"/>
                <w:kern w:val="0"/>
                <w:sz w:val="20"/>
              </w:rPr>
              <w:t>满意度指标</w:t>
            </w: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指标1：让党员发挥示范作用</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20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9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7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指标2：让群众对党员更认可</w:t>
            </w:r>
          </w:p>
        </w:tc>
        <w:tc>
          <w:tcPr>
            <w:tcW w:w="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gridAfter w:val="1"/>
          <w:wAfter w:w="57" w:type="dxa"/>
          <w:trHeight w:val="113" w:hRule="atLeast"/>
          <w:jc w:val="center"/>
        </w:trPr>
        <w:tc>
          <w:tcPr>
            <w:tcW w:w="844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b/>
                <w:sz w:val="32"/>
                <w:szCs w:val="32"/>
              </w:rPr>
            </w:pPr>
          </w:p>
        </w:tc>
      </w:tr>
      <w:tr>
        <w:tblPrEx>
          <w:tblCellMar>
            <w:top w:w="0" w:type="dxa"/>
            <w:left w:w="0" w:type="dxa"/>
            <w:bottom w:w="0" w:type="dxa"/>
            <w:right w:w="0" w:type="dxa"/>
          </w:tblCellMar>
        </w:tblPrEx>
        <w:trPr>
          <w:gridAfter w:val="1"/>
          <w:wAfter w:w="57" w:type="dxa"/>
          <w:trHeight w:val="90" w:hRule="atLeast"/>
          <w:jc w:val="center"/>
        </w:trPr>
        <w:tc>
          <w:tcPr>
            <w:tcW w:w="844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4"/>
                <w:szCs w:val="24"/>
              </w:rPr>
            </w:pPr>
          </w:p>
        </w:tc>
      </w:tr>
    </w:tbl>
    <w:p>
      <w:pPr>
        <w:spacing w:line="560" w:lineRule="exact"/>
        <w:ind w:left="10" w:leftChars="5" w:firstLine="643" w:firstLineChars="200"/>
        <w:rPr>
          <w:rFonts w:ascii="楷体" w:hAnsi="楷体" w:eastAsia="楷体" w:cs="楷体"/>
          <w:b/>
          <w:bCs/>
          <w:sz w:val="32"/>
          <w:szCs w:val="32"/>
        </w:rPr>
      </w:pPr>
    </w:p>
    <w:tbl>
      <w:tblPr>
        <w:tblStyle w:val="7"/>
        <w:tblpPr w:leftFromText="180" w:rightFromText="180" w:vertAnchor="text" w:horzAnchor="page" w:tblpXSpec="center" w:tblpY="-125"/>
        <w:tblOverlap w:val="never"/>
        <w:tblW w:w="8803" w:type="dxa"/>
        <w:jc w:val="center"/>
        <w:tblLayout w:type="autofit"/>
        <w:tblCellMar>
          <w:top w:w="0" w:type="dxa"/>
          <w:left w:w="0" w:type="dxa"/>
          <w:bottom w:w="0" w:type="dxa"/>
          <w:right w:w="0" w:type="dxa"/>
        </w:tblCellMar>
      </w:tblPr>
      <w:tblGrid>
        <w:gridCol w:w="1521"/>
        <w:gridCol w:w="1109"/>
        <w:gridCol w:w="1206"/>
        <w:gridCol w:w="2828"/>
        <w:gridCol w:w="950"/>
        <w:gridCol w:w="1189"/>
      </w:tblGrid>
      <w:tr>
        <w:tblPrEx>
          <w:tblCellMar>
            <w:top w:w="0" w:type="dxa"/>
            <w:left w:w="0" w:type="dxa"/>
            <w:bottom w:w="0" w:type="dxa"/>
            <w:right w:w="0" w:type="dxa"/>
          </w:tblCellMar>
        </w:tblPrEx>
        <w:trPr>
          <w:trHeight w:val="113"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textAlignment w:val="center"/>
              <w:rPr>
                <w:rFonts w:ascii="宋体" w:hAnsi="宋体" w:cs="宋体"/>
                <w:b/>
                <w:kern w:val="0"/>
                <w:sz w:val="44"/>
                <w:szCs w:val="44"/>
              </w:rPr>
            </w:pPr>
          </w:p>
          <w:p>
            <w:pPr>
              <w:widowControl/>
              <w:jc w:val="center"/>
              <w:textAlignment w:val="center"/>
              <w:rPr>
                <w:rFonts w:ascii="宋体" w:hAnsi="宋体" w:cs="宋体"/>
                <w:b/>
                <w:sz w:val="32"/>
                <w:szCs w:val="32"/>
              </w:rPr>
            </w:pPr>
            <w:r>
              <w:rPr>
                <w:rFonts w:hint="eastAsia" w:ascii="宋体" w:hAnsi="宋体" w:cs="宋体"/>
                <w:b/>
                <w:kern w:val="0"/>
                <w:sz w:val="44"/>
                <w:szCs w:val="44"/>
              </w:rPr>
              <w:br w:type="page"/>
            </w:r>
            <w:r>
              <w:rPr>
                <w:rFonts w:hint="eastAsia" w:ascii="宋体" w:hAnsi="宋体" w:cs="宋体"/>
                <w:b/>
                <w:kern w:val="0"/>
                <w:sz w:val="44"/>
                <w:szCs w:val="44"/>
              </w:rPr>
              <w:t>项目支出绩效目标申报表</w:t>
            </w:r>
          </w:p>
        </w:tc>
      </w:tr>
      <w:tr>
        <w:tblPrEx>
          <w:tblCellMar>
            <w:top w:w="0" w:type="dxa"/>
            <w:left w:w="0" w:type="dxa"/>
            <w:bottom w:w="0" w:type="dxa"/>
            <w:right w:w="0" w:type="dxa"/>
          </w:tblCellMar>
        </w:tblPrEx>
        <w:trPr>
          <w:trHeight w:val="90"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（2023年度）</w:t>
            </w:r>
          </w:p>
        </w:tc>
      </w:tr>
      <w:tr>
        <w:tblPrEx>
          <w:tblCellMar>
            <w:top w:w="0" w:type="dxa"/>
            <w:left w:w="0" w:type="dxa"/>
            <w:bottom w:w="0" w:type="dxa"/>
            <w:right w:w="0" w:type="dxa"/>
          </w:tblCellMar>
        </w:tblPrEx>
        <w:trPr>
          <w:trHeight w:val="267"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项目名称</w:t>
            </w:r>
          </w:p>
        </w:tc>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 xml:space="preserve"> 50周年党龄以上农民党员生活补助县配套</w:t>
            </w:r>
          </w:p>
        </w:tc>
      </w:tr>
      <w:tr>
        <w:tblPrEx>
          <w:tblCellMar>
            <w:top w:w="0" w:type="dxa"/>
            <w:left w:w="0" w:type="dxa"/>
            <w:bottom w:w="0" w:type="dxa"/>
            <w:right w:w="0" w:type="dxa"/>
          </w:tblCellMar>
        </w:tblPrEx>
        <w:trPr>
          <w:trHeight w:val="115"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主管部门及代码</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136001</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实施单位</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中共兴国县委组织部</w:t>
            </w:r>
          </w:p>
        </w:tc>
      </w:tr>
      <w:tr>
        <w:tblPrEx>
          <w:tblCellMar>
            <w:top w:w="0" w:type="dxa"/>
            <w:left w:w="0" w:type="dxa"/>
            <w:bottom w:w="0" w:type="dxa"/>
            <w:right w:w="0" w:type="dxa"/>
          </w:tblCellMar>
        </w:tblPrEx>
        <w:trPr>
          <w:trHeight w:val="90"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项目属性</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项目期</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一年</w:t>
            </w:r>
          </w:p>
        </w:tc>
      </w:tr>
      <w:tr>
        <w:tblPrEx>
          <w:tblCellMar>
            <w:top w:w="0" w:type="dxa"/>
            <w:left w:w="0" w:type="dxa"/>
            <w:bottom w:w="0" w:type="dxa"/>
            <w:right w:w="0" w:type="dxa"/>
          </w:tblCellMar>
        </w:tblPrEx>
        <w:trPr>
          <w:trHeight w:val="90" w:hRule="atLeast"/>
          <w:jc w:val="center"/>
        </w:trPr>
        <w:tc>
          <w:tcPr>
            <w:tcW w:w="152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项目资金</w:t>
            </w:r>
          </w:p>
          <w:p>
            <w:pPr>
              <w:widowControl/>
              <w:jc w:val="center"/>
              <w:textAlignment w:val="center"/>
              <w:rPr>
                <w:rFonts w:ascii="宋体" w:hAnsi="宋体" w:cs="宋体"/>
                <w:sz w:val="20"/>
              </w:rPr>
            </w:pPr>
            <w:r>
              <w:rPr>
                <w:rFonts w:hint="eastAsia" w:ascii="宋体" w:hAnsi="宋体" w:cs="宋体"/>
                <w:kern w:val="0"/>
                <w:sz w:val="20"/>
              </w:rPr>
              <w:t>（万元）</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年度资金总额：</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150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其中：财政拨款</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150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其他资金</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0</w:t>
            </w:r>
          </w:p>
        </w:tc>
      </w:tr>
      <w:tr>
        <w:tblPrEx>
          <w:tblCellMar>
            <w:top w:w="0" w:type="dxa"/>
            <w:left w:w="0" w:type="dxa"/>
            <w:bottom w:w="0" w:type="dxa"/>
            <w:right w:w="0" w:type="dxa"/>
          </w:tblCellMar>
        </w:tblPrEx>
        <w:trPr>
          <w:trHeight w:val="322"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总体目标</w:t>
            </w:r>
          </w:p>
        </w:tc>
        <w:tc>
          <w:tcPr>
            <w:tcW w:w="728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sz w:val="20"/>
                <w:szCs w:val="22"/>
              </w:rPr>
            </w:pPr>
            <w:r>
              <w:rPr>
                <w:rFonts w:hint="eastAsia" w:ascii="宋体" w:hAnsi="宋体" w:cs="宋体"/>
                <w:sz w:val="20"/>
              </w:rPr>
              <w:t>目标1：</w:t>
            </w:r>
            <w:r>
              <w:rPr>
                <w:rFonts w:hint="eastAsia" w:ascii="宋体" w:hAnsi="宋体" w:cs="宋体"/>
                <w:sz w:val="20"/>
                <w:szCs w:val="22"/>
              </w:rPr>
              <w:t>加强对老党员的关怀帮扶，帮助老党员解决实际困难；</w:t>
            </w:r>
          </w:p>
          <w:p>
            <w:pPr>
              <w:jc w:val="left"/>
              <w:rPr>
                <w:rFonts w:ascii="宋体" w:hAnsi="宋体" w:cs="宋体"/>
                <w:sz w:val="20"/>
              </w:rPr>
            </w:pPr>
            <w:r>
              <w:rPr>
                <w:rFonts w:hint="eastAsia" w:ascii="宋体" w:hAnsi="宋体" w:cs="宋体"/>
                <w:sz w:val="20"/>
              </w:rPr>
              <w:t>目标2：足额、及时；（50元/月*12月*2000人）</w:t>
            </w:r>
          </w:p>
        </w:tc>
      </w:tr>
      <w:tr>
        <w:tblPrEx>
          <w:tblCellMar>
            <w:top w:w="0" w:type="dxa"/>
            <w:left w:w="0" w:type="dxa"/>
            <w:bottom w:w="0" w:type="dxa"/>
            <w:right w:w="0" w:type="dxa"/>
          </w:tblCellMar>
        </w:tblPrEx>
        <w:trPr>
          <w:trHeight w:val="32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728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r>
      <w:tr>
        <w:tblPrEx>
          <w:tblCellMar>
            <w:top w:w="0" w:type="dxa"/>
            <w:left w:w="0" w:type="dxa"/>
            <w:bottom w:w="0" w:type="dxa"/>
            <w:right w:w="0" w:type="dxa"/>
          </w:tblCellMar>
        </w:tblPrEx>
        <w:trPr>
          <w:trHeight w:val="115"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一级</w:t>
            </w:r>
          </w:p>
          <w:p>
            <w:pPr>
              <w:widowControl/>
              <w:jc w:val="center"/>
              <w:textAlignment w:val="center"/>
              <w:rPr>
                <w:rFonts w:ascii="宋体" w:hAnsi="宋体" w:cs="宋体"/>
                <w:sz w:val="20"/>
              </w:rPr>
            </w:pPr>
            <w:r>
              <w:rPr>
                <w:rFonts w:hint="eastAsia" w:ascii="宋体" w:hAnsi="宋体" w:cs="宋体"/>
                <w:kern w:val="0"/>
                <w:sz w:val="20"/>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二级指标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三级指标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备注</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产出指标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数量指标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20"/>
                <w:szCs w:val="22"/>
              </w:rPr>
              <w:t>加强对老党员的关怀帮扶，帮助老党员解决实际困难</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w:t>
            </w:r>
            <w:r>
              <w:rPr>
                <w:rFonts w:hint="eastAsia" w:ascii="宋体" w:hAnsi="宋体" w:cs="宋体"/>
                <w:sz w:val="20"/>
              </w:rPr>
              <w:t>50元/月*12月*2000人</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质量指标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20"/>
                <w:szCs w:val="22"/>
              </w:rPr>
              <w:t>继承和弘扬老一辈共产党员的优良作风</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297"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微软雅黑" w:cs="宋体"/>
                <w:sz w:val="20"/>
              </w:rPr>
            </w:pPr>
            <w:r>
              <w:rPr>
                <w:rFonts w:hint="eastAsia" w:ascii="宋体" w:hAnsi="宋体" w:cs="宋体"/>
                <w:kern w:val="0"/>
                <w:sz w:val="20"/>
              </w:rPr>
              <w:t>指标2：</w:t>
            </w:r>
            <w:r>
              <w:rPr>
                <w:rFonts w:hint="eastAsia" w:ascii="宋体" w:hAnsi="宋体" w:cs="宋体"/>
                <w:kern w:val="0"/>
                <w:sz w:val="20"/>
                <w:szCs w:val="22"/>
              </w:rPr>
              <w:t>关爱和照顾老党员</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时效指标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sz w:val="20"/>
              </w:rPr>
              <w:t>足额、及时</w:t>
            </w:r>
            <w:r>
              <w:rPr>
                <w:rFonts w:hint="eastAsia" w:ascii="宋体" w:hAnsi="宋体" w:cs="宋体"/>
                <w:kern w:val="0"/>
                <w:sz w:val="20"/>
              </w:rPr>
              <w:t>发放</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成本指标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效益指标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经济效益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社会效益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18"/>
                <w:szCs w:val="18"/>
              </w:rPr>
              <w:t>让党的决策得到贯彻落实</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w:t>
            </w:r>
            <w:r>
              <w:rPr>
                <w:rFonts w:hint="eastAsia" w:ascii="宋体" w:hAnsi="宋体" w:cs="宋体"/>
                <w:kern w:val="0"/>
                <w:sz w:val="18"/>
                <w:szCs w:val="18"/>
              </w:rPr>
              <w:t>传递党的温暖，进一步增强老党员的荣誉感</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生态效益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可持续影响</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满意度指标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服务对象</w:t>
            </w:r>
          </w:p>
          <w:p>
            <w:pPr>
              <w:widowControl/>
              <w:jc w:val="center"/>
              <w:textAlignment w:val="center"/>
              <w:rPr>
                <w:rFonts w:ascii="宋体" w:hAnsi="宋体" w:cs="宋体"/>
                <w:sz w:val="20"/>
              </w:rPr>
            </w:pPr>
            <w:r>
              <w:rPr>
                <w:rFonts w:hint="eastAsia" w:ascii="宋体" w:hAnsi="宋体" w:cs="宋体"/>
                <w:kern w:val="0"/>
                <w:sz w:val="20"/>
              </w:rPr>
              <w:t>满意度指标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指标1：让党员对党更加认可</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113"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b/>
                <w:kern w:val="0"/>
                <w:sz w:val="44"/>
                <w:szCs w:val="44"/>
              </w:rPr>
            </w:pPr>
          </w:p>
          <w:p>
            <w:pPr>
              <w:widowControl/>
              <w:jc w:val="center"/>
              <w:textAlignment w:val="center"/>
              <w:rPr>
                <w:rFonts w:ascii="宋体" w:hAnsi="宋体" w:cs="宋体"/>
                <w:b/>
                <w:sz w:val="32"/>
                <w:szCs w:val="32"/>
              </w:rPr>
            </w:pPr>
            <w:r>
              <w:rPr>
                <w:rFonts w:hint="eastAsia" w:ascii="宋体" w:hAnsi="宋体" w:cs="宋体"/>
                <w:b/>
                <w:kern w:val="0"/>
                <w:sz w:val="44"/>
                <w:szCs w:val="44"/>
              </w:rPr>
              <w:br w:type="page"/>
            </w:r>
            <w:r>
              <w:rPr>
                <w:rFonts w:hint="eastAsia" w:ascii="宋体" w:hAnsi="宋体" w:cs="宋体"/>
                <w:b/>
                <w:kern w:val="0"/>
                <w:sz w:val="44"/>
                <w:szCs w:val="44"/>
              </w:rPr>
              <w:t>项目支出绩效目标申报表</w:t>
            </w:r>
          </w:p>
        </w:tc>
      </w:tr>
      <w:tr>
        <w:tblPrEx>
          <w:tblCellMar>
            <w:top w:w="0" w:type="dxa"/>
            <w:left w:w="0" w:type="dxa"/>
            <w:bottom w:w="0" w:type="dxa"/>
            <w:right w:w="0" w:type="dxa"/>
          </w:tblCellMar>
        </w:tblPrEx>
        <w:trPr>
          <w:trHeight w:val="90" w:hRule="atLeast"/>
          <w:jc w:val="center"/>
        </w:trPr>
        <w:tc>
          <w:tcPr>
            <w:tcW w:w="8803"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（2023年度）</w:t>
            </w:r>
          </w:p>
        </w:tc>
      </w:tr>
      <w:tr>
        <w:tblPrEx>
          <w:tblCellMar>
            <w:top w:w="0" w:type="dxa"/>
            <w:left w:w="0" w:type="dxa"/>
            <w:bottom w:w="0" w:type="dxa"/>
            <w:right w:w="0" w:type="dxa"/>
          </w:tblCellMar>
        </w:tblPrEx>
        <w:trPr>
          <w:trHeight w:val="267"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项目名称</w:t>
            </w:r>
          </w:p>
        </w:tc>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基层服务型党组织建设经费</w:t>
            </w:r>
          </w:p>
        </w:tc>
      </w:tr>
      <w:tr>
        <w:tblPrEx>
          <w:tblCellMar>
            <w:top w:w="0" w:type="dxa"/>
            <w:left w:w="0" w:type="dxa"/>
            <w:bottom w:w="0" w:type="dxa"/>
            <w:right w:w="0" w:type="dxa"/>
          </w:tblCellMar>
        </w:tblPrEx>
        <w:trPr>
          <w:trHeight w:val="115"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主管部门及代码</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136001</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实施单位</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中共兴国县委组织部</w:t>
            </w:r>
          </w:p>
        </w:tc>
      </w:tr>
      <w:tr>
        <w:tblPrEx>
          <w:tblCellMar>
            <w:top w:w="0" w:type="dxa"/>
            <w:left w:w="0" w:type="dxa"/>
            <w:bottom w:w="0" w:type="dxa"/>
            <w:right w:w="0" w:type="dxa"/>
          </w:tblCellMar>
        </w:tblPrEx>
        <w:trPr>
          <w:trHeight w:val="90" w:hRule="atLeast"/>
          <w:jc w:val="center"/>
        </w:trPr>
        <w:tc>
          <w:tcPr>
            <w:tcW w:w="152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项目属性</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项目期</w:t>
            </w:r>
          </w:p>
        </w:tc>
        <w:tc>
          <w:tcPr>
            <w:tcW w:w="21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一年</w:t>
            </w:r>
          </w:p>
        </w:tc>
      </w:tr>
      <w:tr>
        <w:tblPrEx>
          <w:tblCellMar>
            <w:top w:w="0" w:type="dxa"/>
            <w:left w:w="0" w:type="dxa"/>
            <w:bottom w:w="0" w:type="dxa"/>
            <w:right w:w="0" w:type="dxa"/>
          </w:tblCellMar>
        </w:tblPrEx>
        <w:trPr>
          <w:trHeight w:val="90" w:hRule="atLeast"/>
          <w:jc w:val="center"/>
        </w:trPr>
        <w:tc>
          <w:tcPr>
            <w:tcW w:w="152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项目资金</w:t>
            </w:r>
          </w:p>
          <w:p>
            <w:pPr>
              <w:widowControl/>
              <w:jc w:val="center"/>
              <w:textAlignment w:val="center"/>
              <w:rPr>
                <w:rFonts w:ascii="宋体" w:hAnsi="宋体" w:cs="宋体"/>
                <w:sz w:val="20"/>
              </w:rPr>
            </w:pPr>
            <w:r>
              <w:rPr>
                <w:rFonts w:hint="eastAsia" w:ascii="宋体" w:hAnsi="宋体" w:cs="宋体"/>
                <w:kern w:val="0"/>
                <w:sz w:val="20"/>
              </w:rPr>
              <w:t>（万元）</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年度资金总额：</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170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其中：财政拨款</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170</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 xml:space="preserve">        其他资金</w:t>
            </w:r>
          </w:p>
        </w:tc>
        <w:tc>
          <w:tcPr>
            <w:tcW w:w="496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0</w:t>
            </w:r>
          </w:p>
        </w:tc>
      </w:tr>
      <w:tr>
        <w:tblPrEx>
          <w:tblCellMar>
            <w:top w:w="0" w:type="dxa"/>
            <w:left w:w="0" w:type="dxa"/>
            <w:bottom w:w="0" w:type="dxa"/>
            <w:right w:w="0" w:type="dxa"/>
          </w:tblCellMar>
        </w:tblPrEx>
        <w:trPr>
          <w:trHeight w:val="322"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总体目标</w:t>
            </w:r>
          </w:p>
        </w:tc>
        <w:tc>
          <w:tcPr>
            <w:tcW w:w="728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sz w:val="20"/>
              </w:rPr>
            </w:pPr>
            <w:r>
              <w:rPr>
                <w:rFonts w:hint="eastAsia" w:ascii="宋体" w:hAnsi="宋体" w:cs="宋体"/>
                <w:sz w:val="20"/>
              </w:rPr>
              <w:t>目标1：全县农村党员活动（15110人*50元/人）</w:t>
            </w:r>
          </w:p>
          <w:p>
            <w:pPr>
              <w:jc w:val="left"/>
              <w:rPr>
                <w:rFonts w:ascii="宋体" w:hAnsi="宋体" w:cs="宋体"/>
                <w:sz w:val="20"/>
              </w:rPr>
            </w:pPr>
            <w:r>
              <w:rPr>
                <w:rFonts w:hint="eastAsia" w:ascii="宋体" w:hAnsi="宋体" w:cs="宋体"/>
                <w:sz w:val="20"/>
              </w:rPr>
              <w:t xml:space="preserve"> 目标2：村级组织活动场所维修改造（15个省级项目村）</w:t>
            </w:r>
          </w:p>
          <w:p>
            <w:pPr>
              <w:jc w:val="left"/>
              <w:rPr>
                <w:rFonts w:ascii="宋体" w:hAnsi="宋体" w:cs="宋体"/>
                <w:sz w:val="20"/>
              </w:rPr>
            </w:pPr>
            <w:r>
              <w:rPr>
                <w:rFonts w:hint="eastAsia" w:ascii="宋体" w:hAnsi="宋体" w:cs="宋体"/>
                <w:sz w:val="20"/>
              </w:rPr>
              <w:t xml:space="preserve"> 目标3：远程教育终端接收站点维护、县级平台托管；摄影摄像设备购置以及远程办日常工作开支。</w:t>
            </w:r>
          </w:p>
          <w:p>
            <w:pPr>
              <w:jc w:val="left"/>
              <w:rPr>
                <w:rFonts w:ascii="宋体" w:hAnsi="宋体" w:cs="宋体"/>
                <w:sz w:val="20"/>
              </w:rPr>
            </w:pPr>
            <w:r>
              <w:rPr>
                <w:rFonts w:hint="eastAsia" w:ascii="宋体" w:hAnsi="宋体" w:cs="宋体"/>
                <w:sz w:val="20"/>
              </w:rPr>
              <w:t xml:space="preserve"> 目标4：党组织建设办公经费</w:t>
            </w:r>
          </w:p>
        </w:tc>
      </w:tr>
      <w:tr>
        <w:tblPrEx>
          <w:tblCellMar>
            <w:top w:w="0" w:type="dxa"/>
            <w:left w:w="0" w:type="dxa"/>
            <w:bottom w:w="0" w:type="dxa"/>
            <w:right w:w="0" w:type="dxa"/>
          </w:tblCellMar>
        </w:tblPrEx>
        <w:trPr>
          <w:trHeight w:val="32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728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r>
      <w:tr>
        <w:tblPrEx>
          <w:tblCellMar>
            <w:top w:w="0" w:type="dxa"/>
            <w:left w:w="0" w:type="dxa"/>
            <w:bottom w:w="0" w:type="dxa"/>
            <w:right w:w="0" w:type="dxa"/>
          </w:tblCellMar>
        </w:tblPrEx>
        <w:trPr>
          <w:trHeight w:val="115" w:hRule="atLeast"/>
          <w:jc w:val="center"/>
        </w:trPr>
        <w:tc>
          <w:tcPr>
            <w:tcW w:w="15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绩效指标</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一级</w:t>
            </w:r>
          </w:p>
          <w:p>
            <w:pPr>
              <w:widowControl/>
              <w:jc w:val="center"/>
              <w:textAlignment w:val="center"/>
              <w:rPr>
                <w:rFonts w:ascii="宋体" w:hAnsi="宋体" w:cs="宋体"/>
                <w:sz w:val="20"/>
              </w:rPr>
            </w:pPr>
            <w:r>
              <w:rPr>
                <w:rFonts w:hint="eastAsia" w:ascii="宋体" w:hAnsi="宋体" w:cs="宋体"/>
                <w:kern w:val="0"/>
                <w:sz w:val="20"/>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二级指标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三级指标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指标值</w:t>
            </w:r>
          </w:p>
        </w:tc>
        <w:tc>
          <w:tcPr>
            <w:tcW w:w="1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备注</w:t>
            </w: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产出指标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数量指标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10"/>
                <w:szCs w:val="10"/>
              </w:rPr>
              <w:t>全县农村党员活动、党组织建设办公经费。</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w:t>
            </w:r>
            <w:r>
              <w:rPr>
                <w:rFonts w:hint="eastAsia" w:ascii="宋体" w:hAnsi="宋体" w:cs="宋体"/>
                <w:kern w:val="0"/>
                <w:sz w:val="10"/>
                <w:szCs w:val="10"/>
              </w:rPr>
              <w:t>村级组织活动场所维修改造。</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指标3：</w:t>
            </w:r>
            <w:r>
              <w:rPr>
                <w:rFonts w:hint="eastAsia" w:ascii="宋体" w:hAnsi="宋体" w:cs="宋体"/>
                <w:kern w:val="0"/>
                <w:sz w:val="10"/>
                <w:szCs w:val="10"/>
              </w:rPr>
              <w:t>远程教育终端接收站点维护、县级平台托管；摄影摄像设备购置以及远程办日常工作开支。</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质量指标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20"/>
                <w:szCs w:val="22"/>
              </w:rPr>
              <w:t>强化基层党组织的服务功能</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297"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kern w:val="0"/>
                <w:sz w:val="20"/>
                <w:szCs w:val="22"/>
              </w:rPr>
            </w:pPr>
            <w:r>
              <w:rPr>
                <w:rFonts w:hint="eastAsia" w:ascii="宋体" w:hAnsi="宋体" w:cs="宋体"/>
                <w:kern w:val="0"/>
                <w:sz w:val="20"/>
                <w:szCs w:val="22"/>
              </w:rPr>
              <w:t>指标2：提升基层党员干部服务能力</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时效指标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kern w:val="0"/>
                <w:sz w:val="20"/>
                <w:szCs w:val="22"/>
              </w:rPr>
            </w:pPr>
            <w:r>
              <w:rPr>
                <w:rFonts w:hint="eastAsia" w:ascii="宋体" w:hAnsi="宋体" w:cs="宋体"/>
                <w:kern w:val="0"/>
                <w:sz w:val="20"/>
                <w:szCs w:val="22"/>
              </w:rPr>
              <w:t>指标1：</w:t>
            </w:r>
            <w:r>
              <w:rPr>
                <w:rFonts w:hint="eastAsia" w:ascii="宋体" w:hAnsi="宋体" w:cs="宋体"/>
                <w:kern w:val="0"/>
                <w:sz w:val="10"/>
                <w:szCs w:val="10"/>
              </w:rPr>
              <w:t>推动发展、服务群众、凝聚人心、促进和谐</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kern w:val="0"/>
                <w:sz w:val="20"/>
                <w:szCs w:val="22"/>
              </w:rPr>
            </w:pPr>
            <w:r>
              <w:rPr>
                <w:rFonts w:hint="eastAsia" w:ascii="宋体" w:hAnsi="宋体" w:cs="宋体"/>
                <w:kern w:val="0"/>
                <w:sz w:val="20"/>
                <w:szCs w:val="22"/>
              </w:rPr>
              <w:t>指标2：扎实有效</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100%</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成本指标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效益指标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经济效益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社会效益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指标1：</w:t>
            </w:r>
            <w:r>
              <w:rPr>
                <w:rFonts w:hint="eastAsia" w:ascii="宋体" w:hAnsi="宋体" w:cs="宋体"/>
                <w:kern w:val="0"/>
                <w:sz w:val="18"/>
                <w:szCs w:val="18"/>
              </w:rPr>
              <w:t>让党的决策得到贯彻落实</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指标2：让党的执政基础更牢</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指标3：</w:t>
            </w:r>
            <w:r>
              <w:rPr>
                <w:rFonts w:hint="eastAsia" w:ascii="宋体" w:hAnsi="宋体" w:cs="宋体"/>
                <w:kern w:val="0"/>
                <w:sz w:val="20"/>
                <w:szCs w:val="22"/>
              </w:rPr>
              <w:t>夯实党的执政基础和群众基础</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生态效益</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可持续影响</w:t>
            </w:r>
          </w:p>
          <w:p>
            <w:pPr>
              <w:widowControl/>
              <w:jc w:val="center"/>
              <w:textAlignment w:val="center"/>
              <w:rPr>
                <w:rFonts w:ascii="宋体" w:hAnsi="宋体" w:cs="宋体"/>
                <w:sz w:val="20"/>
              </w:rPr>
            </w:pPr>
            <w:r>
              <w:rPr>
                <w:rFonts w:hint="eastAsia" w:ascii="宋体" w:hAnsi="宋体" w:cs="宋体"/>
                <w:kern w:val="0"/>
                <w:sz w:val="20"/>
              </w:rPr>
              <w:t>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sz w:val="20"/>
              </w:rPr>
            </w:pPr>
            <w:r>
              <w:rPr>
                <w:rFonts w:hint="eastAsia" w:ascii="宋体" w:hAnsi="宋体" w:cs="宋体"/>
                <w:kern w:val="0"/>
                <w:sz w:val="20"/>
              </w:rPr>
              <w:t>满意度指标</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kern w:val="0"/>
                <w:sz w:val="20"/>
              </w:rPr>
            </w:pPr>
            <w:r>
              <w:rPr>
                <w:rFonts w:hint="eastAsia" w:ascii="宋体" w:hAnsi="宋体" w:cs="宋体"/>
                <w:kern w:val="0"/>
                <w:sz w:val="20"/>
              </w:rPr>
              <w:t>服务对象</w:t>
            </w:r>
          </w:p>
          <w:p>
            <w:pPr>
              <w:widowControl/>
              <w:jc w:val="center"/>
              <w:textAlignment w:val="center"/>
              <w:rPr>
                <w:rFonts w:ascii="宋体" w:hAnsi="宋体" w:cs="宋体"/>
                <w:sz w:val="20"/>
              </w:rPr>
            </w:pPr>
            <w:r>
              <w:rPr>
                <w:rFonts w:hint="eastAsia" w:ascii="宋体" w:hAnsi="宋体" w:cs="宋体"/>
                <w:kern w:val="0"/>
                <w:sz w:val="20"/>
              </w:rPr>
              <w:t>满意度指标</w:t>
            </w: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指标1：</w:t>
            </w:r>
            <w:r>
              <w:rPr>
                <w:rFonts w:hint="eastAsia" w:ascii="宋体" w:hAnsi="宋体" w:cs="宋体"/>
                <w:kern w:val="0"/>
                <w:sz w:val="10"/>
                <w:szCs w:val="10"/>
              </w:rPr>
              <w:t>党的工作获得广泛、可靠、牢固的群众基础</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90"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指标2：</w:t>
            </w:r>
            <w:r>
              <w:rPr>
                <w:rFonts w:hint="eastAsia" w:ascii="宋体" w:hAnsi="宋体" w:cs="宋体"/>
                <w:kern w:val="0"/>
                <w:sz w:val="10"/>
                <w:szCs w:val="10"/>
              </w:rPr>
              <w:t>基层党员群众满意度进一步提升</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r>
              <w:rPr>
                <w:rFonts w:hint="eastAsia" w:ascii="宋体" w:hAnsi="宋体" w:cs="宋体"/>
                <w:sz w:val="20"/>
              </w:rPr>
              <w:t>98%</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r>
        <w:tblPrEx>
          <w:tblCellMar>
            <w:top w:w="0" w:type="dxa"/>
            <w:left w:w="0" w:type="dxa"/>
            <w:bottom w:w="0" w:type="dxa"/>
            <w:right w:w="0" w:type="dxa"/>
          </w:tblCellMar>
        </w:tblPrEx>
        <w:trPr>
          <w:trHeight w:val="332" w:hRule="atLeast"/>
          <w:jc w:val="center"/>
        </w:trPr>
        <w:tc>
          <w:tcPr>
            <w:tcW w:w="15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282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sz w:val="20"/>
              </w:rPr>
            </w:pPr>
            <w:r>
              <w:rPr>
                <w:rFonts w:hint="eastAsia" w:ascii="宋体" w:hAnsi="宋体" w:cs="宋体"/>
                <w:kern w:val="0"/>
                <w:sz w:val="20"/>
              </w:rPr>
              <w:t xml:space="preserve"> ……</w:t>
            </w:r>
          </w:p>
        </w:tc>
        <w:tc>
          <w:tcPr>
            <w:tcW w:w="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sz w:val="20"/>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ascii="宋体" w:hAnsi="宋体" w:cs="宋体"/>
                <w:sz w:val="22"/>
                <w:szCs w:val="22"/>
              </w:rPr>
            </w:pPr>
          </w:p>
        </w:tc>
      </w:tr>
    </w:tbl>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p>
    <w:p>
      <w:pPr>
        <w:spacing w:line="56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（九）国有资本经营情况</w:t>
      </w:r>
    </w:p>
    <w:p>
      <w:pPr>
        <w:pStyle w:val="2"/>
        <w:rPr>
          <w:rFonts w:ascii="楷体" w:hAnsi="楷体" w:eastAsia="楷体" w:cs="楷体"/>
          <w:b/>
          <w:bCs/>
        </w:rPr>
      </w:pPr>
      <w:r>
        <w:rPr>
          <w:rFonts w:hint="eastAsia" w:ascii="楷体" w:hAnsi="楷体" w:eastAsia="楷体" w:cs="楷体"/>
          <w:sz w:val="30"/>
          <w:szCs w:val="30"/>
          <w:lang w:val="en-US"/>
        </w:rPr>
        <w:t xml:space="preserve">    </w:t>
      </w:r>
      <w:r>
        <w:rPr>
          <w:rFonts w:hint="eastAsia" w:ascii="仿宋" w:hAnsi="仿宋" w:eastAsia="仿宋" w:cs="仿宋"/>
          <w:lang w:val="en-US" w:bidi="ar-SA"/>
        </w:rPr>
        <w:t>无使用国有资本经营预算拨款安排的支出。</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2023年中共兴国县委组织部“三公”经费一般公共预算安排20万元。其中：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因公出国（境）费0万元，比上年无增（减）。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公务接待费20万元，比上年无增（减），主要原因是：严格贯彻落实中央八项规定精神，未增加公务接待费支出。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公务用车运行维护费0万元，比上年无增（减）。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公务用车购置费0万元，比上年无增（减）。</w:t>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兴国县委组织部2023年预算表</w:t>
      </w:r>
    </w:p>
    <w:p>
      <w:pPr>
        <w:spacing w:line="560" w:lineRule="exact"/>
        <w:ind w:firstLine="604" w:firstLineChars="189"/>
        <w:jc w:val="center"/>
        <w:rPr>
          <w:rFonts w:ascii="仿宋" w:hAnsi="仿宋" w:eastAsia="仿宋" w:cs="仿宋"/>
          <w:sz w:val="32"/>
          <w:szCs w:val="32"/>
        </w:rPr>
      </w:pPr>
    </w:p>
    <w:p>
      <w:pPr>
        <w:spacing w:line="560" w:lineRule="exact"/>
        <w:ind w:firstLine="604" w:firstLineChars="189"/>
        <w:rPr>
          <w:rFonts w:ascii="仿宋" w:hAnsi="仿宋" w:eastAsia="仿宋" w:cs="仿宋"/>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rPr>
          <w:rFonts w:ascii="黑体" w:hAnsi="黑体" w:eastAsia="黑体" w:cs="黑体"/>
          <w:sz w:val="32"/>
          <w:szCs w:val="32"/>
        </w:rPr>
      </w:pPr>
      <w:r>
        <w:drawing>
          <wp:inline distT="0" distB="0" distL="114300" distR="114300">
            <wp:extent cx="5537835" cy="5814695"/>
            <wp:effectExtent l="0" t="0" r="5715" b="1460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6"/>
                    <a:stretch>
                      <a:fillRect/>
                    </a:stretch>
                  </pic:blipFill>
                  <pic:spPr>
                    <a:xfrm>
                      <a:off x="0" y="0"/>
                      <a:ext cx="5537835" cy="5814695"/>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jc w:val="center"/>
        <w:rPr>
          <w:rFonts w:ascii="黑体" w:hAnsi="黑体" w:eastAsia="黑体" w:cs="黑体"/>
          <w:sz w:val="32"/>
          <w:szCs w:val="32"/>
        </w:rPr>
      </w:pPr>
      <w:r>
        <w:drawing>
          <wp:inline distT="0" distB="0" distL="114300" distR="114300">
            <wp:extent cx="5534025" cy="3237865"/>
            <wp:effectExtent l="0" t="0" r="9525"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534025" cy="3237865"/>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spacing w:line="560" w:lineRule="exact"/>
        <w:rPr>
          <w:rFonts w:ascii="黑体" w:hAnsi="黑体" w:eastAsia="黑体" w:cs="黑体"/>
          <w:sz w:val="32"/>
          <w:szCs w:val="32"/>
        </w:rPr>
      </w:pPr>
    </w:p>
    <w:p>
      <w:pPr>
        <w:spacing w:line="560" w:lineRule="exact"/>
        <w:rPr>
          <w:rFonts w:ascii="黑体" w:hAnsi="黑体" w:eastAsia="黑体" w:cs="黑体"/>
          <w:sz w:val="32"/>
          <w:szCs w:val="32"/>
        </w:rPr>
      </w:pPr>
    </w:p>
    <w:p>
      <w:pPr>
        <w:jc w:val="center"/>
        <w:rPr>
          <w:rFonts w:ascii="黑体" w:hAnsi="黑体" w:eastAsia="黑体" w:cs="黑体"/>
          <w:sz w:val="32"/>
          <w:szCs w:val="32"/>
        </w:rPr>
      </w:pPr>
      <w:r>
        <w:drawing>
          <wp:inline distT="0" distB="0" distL="114300" distR="114300">
            <wp:extent cx="5464810" cy="3321050"/>
            <wp:effectExtent l="0" t="0" r="2540" b="1270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8"/>
                    <a:stretch>
                      <a:fillRect/>
                    </a:stretch>
                  </pic:blipFill>
                  <pic:spPr>
                    <a:xfrm>
                      <a:off x="0" y="0"/>
                      <a:ext cx="5464810" cy="3321050"/>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jc w:val="center"/>
        <w:rPr>
          <w:rFonts w:ascii="黑体" w:hAnsi="黑体" w:eastAsia="黑体" w:cs="黑体"/>
          <w:sz w:val="32"/>
          <w:szCs w:val="32"/>
        </w:rPr>
      </w:pPr>
      <w:r>
        <w:drawing>
          <wp:inline distT="0" distB="0" distL="114300" distR="114300">
            <wp:extent cx="5533390" cy="5640705"/>
            <wp:effectExtent l="0" t="0" r="10160" b="1714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9"/>
                    <a:stretch>
                      <a:fillRect/>
                    </a:stretch>
                  </pic:blipFill>
                  <pic:spPr>
                    <a:xfrm>
                      <a:off x="0" y="0"/>
                      <a:ext cx="5533390" cy="5640705"/>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jc w:val="center"/>
        <w:rPr>
          <w:rFonts w:ascii="黑体" w:hAnsi="黑体" w:eastAsia="黑体" w:cs="黑体"/>
          <w:sz w:val="32"/>
          <w:szCs w:val="32"/>
        </w:rPr>
      </w:pPr>
      <w:r>
        <w:drawing>
          <wp:inline distT="0" distB="0" distL="114300" distR="114300">
            <wp:extent cx="5445125" cy="5733415"/>
            <wp:effectExtent l="0" t="0" r="3175" b="63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0"/>
                    <a:stretch>
                      <a:fillRect/>
                    </a:stretch>
                  </pic:blipFill>
                  <pic:spPr>
                    <a:xfrm>
                      <a:off x="0" y="0"/>
                      <a:ext cx="5445125" cy="5733415"/>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rPr>
          <w:rFonts w:ascii="黑体" w:hAnsi="黑体" w:eastAsia="黑体" w:cs="黑体"/>
          <w:sz w:val="32"/>
          <w:szCs w:val="32"/>
        </w:rPr>
      </w:pPr>
    </w:p>
    <w:p>
      <w:pPr>
        <w:jc w:val="center"/>
      </w:pPr>
      <w:r>
        <w:drawing>
          <wp:inline distT="0" distB="0" distL="114300" distR="114300">
            <wp:extent cx="5370195" cy="5344795"/>
            <wp:effectExtent l="0" t="0" r="1905" b="825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1"/>
                    <a:stretch>
                      <a:fillRect/>
                    </a:stretch>
                  </pic:blipFill>
                  <pic:spPr>
                    <a:xfrm>
                      <a:off x="0" y="0"/>
                      <a:ext cx="5370195" cy="5344795"/>
                    </a:xfrm>
                    <a:prstGeom prst="rect">
                      <a:avLst/>
                    </a:prstGeom>
                    <a:noFill/>
                    <a:ln>
                      <a:noFill/>
                    </a:ln>
                  </pic:spPr>
                </pic:pic>
              </a:graphicData>
            </a:graphic>
          </wp:inline>
        </w:drawing>
      </w:r>
    </w:p>
    <w:p>
      <w:pPr>
        <w:pStyle w:val="2"/>
      </w:pPr>
    </w:p>
    <w:p>
      <w:pPr>
        <w:pStyle w:val="3"/>
      </w:pPr>
      <w:r>
        <w:drawing>
          <wp:inline distT="0" distB="0" distL="114300" distR="114300">
            <wp:extent cx="5544185" cy="1108075"/>
            <wp:effectExtent l="0" t="0" r="18415" b="1587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a:stretch>
                      <a:fillRect/>
                    </a:stretch>
                  </pic:blipFill>
                  <pic:spPr>
                    <a:xfrm>
                      <a:off x="0" y="0"/>
                      <a:ext cx="5544185" cy="1108075"/>
                    </a:xfrm>
                    <a:prstGeom prst="rect">
                      <a:avLst/>
                    </a:prstGeom>
                    <a:noFill/>
                    <a:ln>
                      <a:noFill/>
                    </a:ln>
                  </pic:spPr>
                </pic:pic>
              </a:graphicData>
            </a:graphic>
          </wp:inline>
        </w:drawing>
      </w:r>
    </w:p>
    <w:p/>
    <w:p>
      <w:pPr>
        <w:pStyle w:val="2"/>
      </w:pPr>
    </w:p>
    <w:p>
      <w:pPr>
        <w:pStyle w:val="2"/>
      </w:pPr>
    </w:p>
    <w:p>
      <w:pPr>
        <w:pStyle w:val="2"/>
      </w:pPr>
    </w:p>
    <w:p>
      <w:pPr>
        <w:spacing w:line="560" w:lineRule="exact"/>
        <w:ind w:firstLine="2880" w:firstLineChars="900"/>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（七）使用非财政拨款结余：填列历年滚存的非限定用途的非统计财政拨款结余弥补往年收支差额的数额。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（八）上年结转和结余：填列往年全部结转和结余的资金数，包括当年结转结余资金和历年滚存结转结余资金。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D7D8A6"/>
    <w:multiLevelType w:val="singleLevel"/>
    <w:tmpl w:val="46D7D8A6"/>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M2Y2JlYjg5NjMxMDUxNWU2NDM3ZTgwNzQ0ZDY3NTcifQ=="/>
  </w:docVars>
  <w:rsids>
    <w:rsidRoot w:val="445E02C8"/>
    <w:rsid w:val="001008E2"/>
    <w:rsid w:val="00547935"/>
    <w:rsid w:val="005D6A8B"/>
    <w:rsid w:val="00A97FB6"/>
    <w:rsid w:val="00CE09BE"/>
    <w:rsid w:val="04160396"/>
    <w:rsid w:val="05340028"/>
    <w:rsid w:val="05972365"/>
    <w:rsid w:val="07320E6D"/>
    <w:rsid w:val="07366756"/>
    <w:rsid w:val="0A4B454E"/>
    <w:rsid w:val="0CC51EAD"/>
    <w:rsid w:val="0EA2460A"/>
    <w:rsid w:val="158711C9"/>
    <w:rsid w:val="1A433591"/>
    <w:rsid w:val="1D0E709D"/>
    <w:rsid w:val="1F282554"/>
    <w:rsid w:val="21D2353F"/>
    <w:rsid w:val="221954D5"/>
    <w:rsid w:val="226B4F40"/>
    <w:rsid w:val="23655EBB"/>
    <w:rsid w:val="265355F3"/>
    <w:rsid w:val="2D07553B"/>
    <w:rsid w:val="2DB87198"/>
    <w:rsid w:val="2E4A3AE4"/>
    <w:rsid w:val="2EFF1571"/>
    <w:rsid w:val="2F0106CB"/>
    <w:rsid w:val="2F8F3F29"/>
    <w:rsid w:val="31F01B33"/>
    <w:rsid w:val="33F95E15"/>
    <w:rsid w:val="34A57D4B"/>
    <w:rsid w:val="35BB0E3B"/>
    <w:rsid w:val="365C1309"/>
    <w:rsid w:val="36FA4EA4"/>
    <w:rsid w:val="3A464C42"/>
    <w:rsid w:val="3B6C2FB6"/>
    <w:rsid w:val="41AF5C4E"/>
    <w:rsid w:val="43151499"/>
    <w:rsid w:val="437001C6"/>
    <w:rsid w:val="445E02C8"/>
    <w:rsid w:val="46553FB5"/>
    <w:rsid w:val="4B943C70"/>
    <w:rsid w:val="51492179"/>
    <w:rsid w:val="5715495C"/>
    <w:rsid w:val="58134E48"/>
    <w:rsid w:val="583018E5"/>
    <w:rsid w:val="5A7D5D89"/>
    <w:rsid w:val="5C114B7D"/>
    <w:rsid w:val="5CD0759C"/>
    <w:rsid w:val="61273712"/>
    <w:rsid w:val="64A07A63"/>
    <w:rsid w:val="64CF67D5"/>
    <w:rsid w:val="66B5359B"/>
    <w:rsid w:val="66F767F4"/>
    <w:rsid w:val="68226546"/>
    <w:rsid w:val="69403FFB"/>
    <w:rsid w:val="69DC1266"/>
    <w:rsid w:val="6F305E87"/>
    <w:rsid w:val="6F7F70A6"/>
    <w:rsid w:val="710A16F4"/>
    <w:rsid w:val="715778D1"/>
    <w:rsid w:val="7355410F"/>
    <w:rsid w:val="777478FA"/>
    <w:rsid w:val="7A161FA1"/>
    <w:rsid w:val="7A2E1C30"/>
    <w:rsid w:val="7C750A2C"/>
    <w:rsid w:val="7E4A48C3"/>
    <w:rsid w:val="7EE82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annotation text"/>
    <w:basedOn w:val="1"/>
    <w:link w:val="10"/>
    <w:qFormat/>
    <w:uiPriority w:val="0"/>
    <w:pPr>
      <w:jc w:val="left"/>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annotation subject"/>
    <w:basedOn w:val="4"/>
    <w:next w:val="4"/>
    <w:link w:val="11"/>
    <w:qFormat/>
    <w:uiPriority w:val="0"/>
    <w:rPr>
      <w:b/>
      <w:bCs/>
    </w:rPr>
  </w:style>
  <w:style w:type="character" w:styleId="9">
    <w:name w:val="annotation reference"/>
    <w:basedOn w:val="8"/>
    <w:qFormat/>
    <w:uiPriority w:val="0"/>
    <w:rPr>
      <w:sz w:val="21"/>
      <w:szCs w:val="21"/>
    </w:rPr>
  </w:style>
  <w:style w:type="character" w:customStyle="1" w:styleId="10">
    <w:name w:val="批注文字 字符"/>
    <w:basedOn w:val="8"/>
    <w:link w:val="4"/>
    <w:qFormat/>
    <w:uiPriority w:val="0"/>
    <w:rPr>
      <w:kern w:val="2"/>
      <w:sz w:val="21"/>
    </w:rPr>
  </w:style>
  <w:style w:type="character" w:customStyle="1" w:styleId="11">
    <w:name w:val="批注主题 字符"/>
    <w:basedOn w:val="10"/>
    <w:link w:val="6"/>
    <w:qFormat/>
    <w:uiPriority w:val="0"/>
    <w:rPr>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5423</Words>
  <Characters>5914</Characters>
  <Lines>53</Lines>
  <Paragraphs>15</Paragraphs>
  <TotalTime>19</TotalTime>
  <ScaleCrop>false</ScaleCrop>
  <LinksUpToDate>false</LinksUpToDate>
  <CharactersWithSpaces>6052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2024-06-03T09:14:00Z</dcterms:created>
  <dc:creator>巫媛</dc:creator>
  <cp:lastModifiedBy>solely</cp:lastModifiedBy>
  <cp:lastPrinted>2024-06-03T08:28:00Z</cp:lastPrinted>
  <dcterms:modified xsi:type="dcterms:W3CDTF">2024-06-03T10:25:17Z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99021E40CC134C41A7DEABE9EB5B08B6_13</vt:lpwstr>
  </property>
</Properties>
</file>