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color w:val="000000" w:themeColor="text1"/>
          <w:sz w:val="44"/>
          <w:szCs w:val="44"/>
        </w:rPr>
      </w:pPr>
      <w:r>
        <w:rPr>
          <w:rFonts w:hint="eastAsia" w:ascii="方正小标宋简体" w:hAnsi="方正小标宋简体" w:eastAsia="方正小标宋简体" w:cs="方正小标宋简体"/>
          <w:bCs/>
          <w:color w:val="000000" w:themeColor="text1"/>
          <w:sz w:val="44"/>
          <w:szCs w:val="44"/>
        </w:rPr>
        <w:t>融媒体中心2022年单位预算</w:t>
      </w:r>
    </w:p>
    <w:p>
      <w:pPr>
        <w:spacing w:line="560" w:lineRule="exact"/>
        <w:jc w:val="center"/>
        <w:rPr>
          <w:rFonts w:ascii="黑体" w:hAnsi="黑体" w:eastAsia="黑体" w:cs="黑体"/>
          <w:sz w:val="36"/>
          <w:szCs w:val="36"/>
        </w:rPr>
      </w:pPr>
      <w:r>
        <w:rPr>
          <w:rFonts w:hint="eastAsia" w:ascii="方正小标宋简体" w:hAnsi="方正小标宋简体" w:eastAsia="方正小标宋简体" w:cs="方正小标宋简体"/>
          <w:bCs/>
          <w:color w:val="000000" w:themeColor="text1"/>
          <w:sz w:val="44"/>
          <w:szCs w:val="44"/>
        </w:rPr>
        <w:t>编制说明</w:t>
      </w: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兴国县融媒体中心单位概况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一、单位主要职责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二、单位基本情况</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 兴国县融媒体中心2022年单位预算情况说明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一、2022年单位预算收支情况说明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二、2022年“三公”经费预算情况说明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 兴国县融媒体中心2022单位预算表</w:t>
      </w:r>
    </w:p>
    <w:p>
      <w:pPr>
        <w:spacing w:line="360" w:lineRule="auto"/>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360" w:lineRule="auto"/>
        <w:ind w:left="634" w:leftChars="284" w:hanging="38" w:hangingChars="12"/>
        <w:rPr>
          <w:rFonts w:ascii="仿宋" w:hAnsi="仿宋" w:eastAsia="仿宋" w:cs="仿宋"/>
          <w:sz w:val="32"/>
          <w:szCs w:val="32"/>
        </w:rPr>
      </w:pPr>
      <w:r>
        <w:rPr>
          <w:rFonts w:hint="eastAsia" w:ascii="仿宋" w:hAnsi="仿宋" w:eastAsia="仿宋" w:cs="仿宋"/>
          <w:sz w:val="32"/>
          <w:szCs w:val="32"/>
        </w:rPr>
        <w:t>二、《单位收入总表》</w:t>
      </w:r>
    </w:p>
    <w:p>
      <w:pPr>
        <w:spacing w:line="360" w:lineRule="auto"/>
        <w:ind w:left="634" w:leftChars="284" w:hanging="38" w:hangingChars="12"/>
        <w:rPr>
          <w:rFonts w:ascii="仿宋" w:hAnsi="仿宋" w:eastAsia="仿宋" w:cs="仿宋"/>
          <w:sz w:val="32"/>
          <w:szCs w:val="32"/>
        </w:rPr>
      </w:pPr>
      <w:r>
        <w:rPr>
          <w:rFonts w:hint="eastAsia" w:ascii="仿宋" w:hAnsi="仿宋" w:eastAsia="仿宋" w:cs="仿宋"/>
          <w:sz w:val="32"/>
          <w:szCs w:val="32"/>
        </w:rPr>
        <w:t>三、《单位支出总表》</w:t>
      </w:r>
    </w:p>
    <w:p>
      <w:pPr>
        <w:spacing w:line="360" w:lineRule="auto"/>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360" w:lineRule="auto"/>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360" w:lineRule="auto"/>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360" w:lineRule="auto"/>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360" w:lineRule="auto"/>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pStyle w:val="2"/>
        <w:spacing w:line="360" w:lineRule="auto"/>
        <w:ind w:firstLine="420" w:firstLineChars="200"/>
        <w:rPr>
          <w:rFonts w:ascii="仿宋" w:hAnsi="仿宋" w:eastAsia="仿宋"/>
          <w:sz w:val="32"/>
          <w:szCs w:val="32"/>
        </w:rPr>
      </w:pPr>
      <w:r>
        <w:rPr>
          <w:rFonts w:hint="eastAsia"/>
        </w:rPr>
        <w:t xml:space="preserve"> </w:t>
      </w:r>
      <w:r>
        <w:rPr>
          <w:rFonts w:hint="eastAsia" w:ascii="仿宋" w:hAnsi="仿宋" w:eastAsia="仿宋"/>
          <w:sz w:val="32"/>
          <w:szCs w:val="32"/>
        </w:rPr>
        <w:t>九、</w:t>
      </w:r>
      <w:r>
        <w:rPr>
          <w:rFonts w:hint="eastAsia" w:ascii="仿宋" w:hAnsi="仿宋" w:eastAsia="仿宋" w:cs="仿宋"/>
          <w:sz w:val="32"/>
          <w:szCs w:val="32"/>
        </w:rPr>
        <w:t>《</w:t>
      </w:r>
      <w:r>
        <w:rPr>
          <w:rFonts w:hint="eastAsia" w:ascii="仿宋" w:hAnsi="仿宋" w:eastAsia="仿宋" w:cs="仿宋"/>
          <w:kern w:val="0"/>
          <w:sz w:val="32"/>
          <w:szCs w:val="32"/>
        </w:rPr>
        <w:t>国有资本经营预算支出表</w:t>
      </w:r>
      <w:r>
        <w:rPr>
          <w:rFonts w:hint="eastAsia" w:ascii="仿宋" w:hAnsi="仿宋" w:eastAsia="仿宋" w:cs="仿宋"/>
          <w:sz w:val="32"/>
          <w:szCs w:val="32"/>
        </w:rPr>
        <w:t>》</w:t>
      </w:r>
    </w:p>
    <w:p>
      <w:pPr>
        <w:pStyle w:val="2"/>
        <w:spacing w:line="360" w:lineRule="auto"/>
        <w:ind w:firstLine="480" w:firstLineChars="150"/>
        <w:rPr>
          <w:rFonts w:ascii="仿宋" w:hAnsi="仿宋" w:eastAsia="仿宋"/>
          <w:sz w:val="32"/>
          <w:szCs w:val="32"/>
        </w:rPr>
      </w:pPr>
      <w:r>
        <w:rPr>
          <w:rFonts w:hint="eastAsia" w:ascii="仿宋" w:hAnsi="仿宋" w:eastAsia="仿宋" w:cs="仿宋"/>
          <w:sz w:val="32"/>
          <w:szCs w:val="32"/>
        </w:rPr>
        <w:t>十、《项目支出绩效目标表》</w:t>
      </w:r>
    </w:p>
    <w:p>
      <w:pPr>
        <w:spacing w:line="560" w:lineRule="exact"/>
        <w:ind w:left="10" w:leftChars="5" w:firstLine="623" w:firstLineChars="194"/>
        <w:rPr>
          <w:rFonts w:ascii="仿宋" w:hAnsi="仿宋" w:eastAsia="仿宋" w:cs="仿宋"/>
          <w:b/>
          <w:bCs/>
          <w:sz w:val="32"/>
          <w:szCs w:val="32"/>
        </w:rPr>
      </w:pPr>
      <w:r>
        <w:rPr>
          <w:rFonts w:hint="eastAsia" w:ascii="仿宋" w:hAnsi="仿宋" w:eastAsia="仿宋"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 兴国县融媒体中心单位概况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一、单位主要职责</w:t>
      </w:r>
    </w:p>
    <w:p>
      <w:pPr>
        <w:spacing w:line="600" w:lineRule="exact"/>
        <w:ind w:firstLine="630"/>
        <w:jc w:val="left"/>
        <w:rPr>
          <w:rFonts w:ascii="仿宋" w:hAnsi="仿宋" w:eastAsia="仿宋"/>
          <w:sz w:val="32"/>
          <w:szCs w:val="32"/>
        </w:rPr>
      </w:pPr>
      <w:r>
        <w:rPr>
          <w:rFonts w:hint="eastAsia" w:ascii="仿宋" w:hAnsi="仿宋" w:eastAsia="仿宋"/>
          <w:sz w:val="32"/>
          <w:szCs w:val="32"/>
        </w:rPr>
        <w:t>（一）贯彻落实党的路线方针政策、宣传纪律，开展实施全县新闻宣传报道工作，制定实施全县新闻宣传工作规划，办好兴国电视台等新闻媒体；</w:t>
      </w:r>
    </w:p>
    <w:p>
      <w:pPr>
        <w:spacing w:line="600" w:lineRule="exact"/>
        <w:ind w:firstLine="630"/>
        <w:jc w:val="left"/>
        <w:rPr>
          <w:rFonts w:ascii="仿宋" w:hAnsi="仿宋" w:eastAsia="仿宋"/>
          <w:spacing w:val="20"/>
          <w:sz w:val="32"/>
          <w:szCs w:val="32"/>
        </w:rPr>
      </w:pPr>
      <w:r>
        <w:rPr>
          <w:rFonts w:hint="eastAsia" w:ascii="仿宋" w:hAnsi="仿宋" w:eastAsia="仿宋"/>
          <w:sz w:val="32"/>
          <w:szCs w:val="32"/>
        </w:rPr>
        <w:t>（二）收集重大新闻线索、素材，引导舆论导向</w:t>
      </w:r>
      <w:r>
        <w:rPr>
          <w:rFonts w:hint="eastAsia" w:ascii="仿宋" w:hAnsi="仿宋" w:eastAsia="仿宋"/>
          <w:spacing w:val="20"/>
          <w:sz w:val="32"/>
          <w:szCs w:val="32"/>
        </w:rPr>
        <w:t>；</w:t>
      </w:r>
    </w:p>
    <w:p>
      <w:pPr>
        <w:spacing w:line="600" w:lineRule="exact"/>
        <w:ind w:firstLine="630"/>
        <w:jc w:val="left"/>
        <w:rPr>
          <w:rFonts w:ascii="仿宋" w:hAnsi="仿宋" w:eastAsia="仿宋"/>
          <w:sz w:val="32"/>
          <w:szCs w:val="32"/>
        </w:rPr>
      </w:pPr>
      <w:r>
        <w:rPr>
          <w:rFonts w:hint="eastAsia" w:ascii="仿宋" w:hAnsi="仿宋" w:eastAsia="仿宋"/>
          <w:spacing w:val="20"/>
          <w:sz w:val="32"/>
          <w:szCs w:val="32"/>
        </w:rPr>
        <w:t>（三）统筹全县新闻阵地管理等工作；负责与上级媒体的沟通联络，对外宣推介兴国正面形象。</w:t>
      </w:r>
    </w:p>
    <w:p>
      <w:pPr>
        <w:spacing w:line="600" w:lineRule="exact"/>
        <w:ind w:firstLine="630"/>
        <w:jc w:val="left"/>
        <w:rPr>
          <w:rFonts w:ascii="黑体" w:hAnsi="黑体" w:eastAsia="黑体"/>
          <w:sz w:val="32"/>
          <w:szCs w:val="32"/>
        </w:rPr>
      </w:pPr>
      <w:r>
        <w:rPr>
          <w:rFonts w:hint="eastAsia" w:ascii="黑体" w:hAnsi="黑体" w:eastAsia="黑体"/>
          <w:sz w:val="32"/>
          <w:szCs w:val="32"/>
        </w:rPr>
        <w:t>二、单位基本情况</w:t>
      </w:r>
    </w:p>
    <w:p>
      <w:pPr>
        <w:spacing w:line="600" w:lineRule="exact"/>
        <w:ind w:firstLine="630"/>
        <w:jc w:val="left"/>
        <w:rPr>
          <w:rFonts w:ascii="仿宋" w:hAnsi="仿宋" w:eastAsia="仿宋"/>
          <w:sz w:val="32"/>
          <w:szCs w:val="32"/>
        </w:rPr>
      </w:pPr>
      <w:r>
        <w:rPr>
          <w:rFonts w:hint="eastAsia" w:ascii="仿宋" w:hAnsi="仿宋" w:eastAsia="仿宋"/>
          <w:sz w:val="32"/>
          <w:szCs w:val="32"/>
        </w:rPr>
        <w:t>纳入本套单位预算汇编范围的单位共1个：兴国县融媒体中心。</w:t>
      </w:r>
    </w:p>
    <w:p>
      <w:pPr>
        <w:spacing w:line="600" w:lineRule="exact"/>
        <w:ind w:firstLine="630"/>
        <w:jc w:val="left"/>
        <w:rPr>
          <w:rFonts w:ascii="仿宋" w:hAnsi="仿宋" w:eastAsia="仿宋"/>
          <w:sz w:val="32"/>
          <w:szCs w:val="32"/>
        </w:rPr>
      </w:pPr>
      <w:r>
        <w:rPr>
          <w:rFonts w:hint="eastAsia" w:ascii="仿宋" w:hAnsi="仿宋" w:eastAsia="仿宋"/>
          <w:sz w:val="32"/>
          <w:szCs w:val="32"/>
        </w:rPr>
        <w:t>本单位2022年实有人数86人，其中在职人员45人，退休人员31人,其他人员10人。</w:t>
      </w:r>
      <w:r>
        <w:rPr>
          <w:rFonts w:hint="eastAsia" w:ascii="仿宋" w:hAnsi="仿宋" w:eastAsia="仿宋"/>
          <w:sz w:val="30"/>
          <w:szCs w:val="30"/>
        </w:rPr>
        <w:t>内设十个职能股室</w:t>
      </w:r>
      <w:r>
        <w:rPr>
          <w:rFonts w:hint="eastAsia" w:ascii="仿宋_GB2312" w:hAnsi="仿宋_GB2312" w:eastAsia="仿宋_GB2312" w:cs="仿宋_GB2312"/>
          <w:bCs/>
          <w:sz w:val="32"/>
          <w:szCs w:val="32"/>
        </w:rPr>
        <w:t>：</w:t>
      </w:r>
      <w:r>
        <w:rPr>
          <w:rFonts w:hint="eastAsia" w:ascii="仿宋" w:hAnsi="仿宋" w:eastAsia="仿宋"/>
          <w:sz w:val="30"/>
          <w:szCs w:val="30"/>
        </w:rPr>
        <w:t>办公室、总编室、广播电视发射台、广播电台、采编部、编辑制作部、精品栏目部、新媒体部、技术部、市场部。</w:t>
      </w:r>
    </w:p>
    <w:p>
      <w:pPr>
        <w:spacing w:line="560" w:lineRule="exact"/>
        <w:jc w:val="center"/>
        <w:rPr>
          <w:rFonts w:ascii="黑体" w:hAnsi="黑体" w:eastAsia="黑体" w:cs="黑体"/>
          <w:sz w:val="32"/>
          <w:szCs w:val="32"/>
        </w:rPr>
      </w:pPr>
      <w:r>
        <w:rPr>
          <w:rFonts w:hint="eastAsia" w:ascii="黑体" w:hAnsi="黑体" w:eastAsia="黑体" w:cs="黑体"/>
          <w:sz w:val="32"/>
          <w:szCs w:val="32"/>
        </w:rPr>
        <w:t>第二部分 兴国县融媒体中心2022年单位预算情况说明</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一、2022年单位预算收支情况说明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ind w:left="150" w:firstLine="640" w:firstLineChars="200"/>
        <w:rPr>
          <w:rFonts w:ascii="仿宋" w:hAnsi="仿宋" w:eastAsia="仿宋" w:cs="仿宋"/>
          <w:sz w:val="30"/>
          <w:szCs w:val="30"/>
        </w:rPr>
      </w:pPr>
      <w:r>
        <w:rPr>
          <w:rFonts w:hint="eastAsia" w:ascii="仿宋" w:hAnsi="仿宋" w:eastAsia="仿宋"/>
          <w:sz w:val="32"/>
          <w:szCs w:val="32"/>
        </w:rPr>
        <w:t>2022年兴国县融媒体中心收入预算总额为928.99万元,</w:t>
      </w:r>
      <w:r>
        <w:rPr>
          <w:rFonts w:hint="eastAsia" w:ascii="仿宋" w:hAnsi="仿宋" w:eastAsia="仿宋"/>
          <w:sz w:val="32"/>
          <w:szCs w:val="32"/>
          <w:shd w:val="clear" w:color="auto" w:fill="FFFFFF"/>
        </w:rPr>
        <w:t xml:space="preserve"> 较上年预算安排（</w:t>
      </w:r>
      <w:r>
        <w:rPr>
          <w:rFonts w:hint="eastAsia" w:ascii="仿宋" w:hAnsi="仿宋" w:eastAsia="仿宋"/>
          <w:sz w:val="32"/>
          <w:szCs w:val="32"/>
        </w:rPr>
        <w:t>376.35万元</w:t>
      </w:r>
      <w:r>
        <w:rPr>
          <w:rFonts w:hint="eastAsia" w:ascii="仿宋" w:hAnsi="仿宋" w:eastAsia="仿宋"/>
          <w:sz w:val="32"/>
          <w:szCs w:val="32"/>
          <w:shd w:val="clear" w:color="auto" w:fill="FFFFFF"/>
        </w:rPr>
        <w:t>）增加了552.64元，增加了146.84%，</w:t>
      </w:r>
      <w:r>
        <w:rPr>
          <w:rFonts w:hint="eastAsia" w:ascii="仿宋" w:hAnsi="仿宋" w:eastAsia="仿宋"/>
          <w:sz w:val="32"/>
          <w:szCs w:val="32"/>
        </w:rPr>
        <w:t>其中：财政拨款收入707.02万元,占收入预算总额的76%，事业收入20万元，占收入预算总额的4%；</w:t>
      </w:r>
      <w:r>
        <w:rPr>
          <w:rFonts w:ascii="仿宋" w:hAnsi="仿宋" w:eastAsia="仿宋"/>
          <w:sz w:val="32"/>
          <w:szCs w:val="32"/>
        </w:rPr>
        <w:t xml:space="preserve">其他收入 </w:t>
      </w:r>
      <w:r>
        <w:rPr>
          <w:rFonts w:hint="eastAsia" w:ascii="仿宋" w:hAnsi="仿宋" w:eastAsia="仿宋"/>
          <w:sz w:val="32"/>
          <w:szCs w:val="32"/>
        </w:rPr>
        <w:t>201.97</w:t>
      </w:r>
      <w:r>
        <w:rPr>
          <w:rFonts w:ascii="仿宋" w:hAnsi="仿宋" w:eastAsia="仿宋"/>
          <w:sz w:val="32"/>
          <w:szCs w:val="32"/>
        </w:rPr>
        <w:t xml:space="preserve"> 万元，占</w:t>
      </w:r>
      <w:r>
        <w:rPr>
          <w:rFonts w:hint="eastAsia" w:ascii="仿宋" w:hAnsi="仿宋" w:eastAsia="仿宋"/>
          <w:sz w:val="32"/>
          <w:szCs w:val="32"/>
        </w:rPr>
        <w:t>收入</w:t>
      </w:r>
      <w:r>
        <w:rPr>
          <w:rFonts w:ascii="仿宋" w:hAnsi="仿宋" w:eastAsia="仿宋"/>
          <w:sz w:val="32"/>
          <w:szCs w:val="32"/>
        </w:rPr>
        <w:t>预算总额的</w:t>
      </w:r>
      <w:r>
        <w:rPr>
          <w:rFonts w:hint="eastAsia" w:ascii="仿宋" w:hAnsi="仿宋" w:eastAsia="仿宋"/>
          <w:sz w:val="32"/>
          <w:szCs w:val="32"/>
        </w:rPr>
        <w:t>20</w:t>
      </w:r>
      <w:r>
        <w:rPr>
          <w:rFonts w:ascii="仿宋" w:hAnsi="仿宋" w:eastAsia="仿宋"/>
          <w:sz w:val="32"/>
          <w:szCs w:val="32"/>
        </w:rPr>
        <w:t>%</w:t>
      </w:r>
      <w:r>
        <w:rPr>
          <w:rFonts w:hint="eastAsia" w:ascii="仿宋" w:hAnsi="仿宋" w:eastAsia="仿宋"/>
          <w:sz w:val="32"/>
          <w:szCs w:val="32"/>
        </w:rPr>
        <w:t>。</w:t>
      </w:r>
      <w:r>
        <w:rPr>
          <w:rFonts w:ascii="仿宋" w:hAnsi="仿宋" w:eastAsia="仿宋" w:cs="Times New Roman"/>
          <w:kern w:val="0"/>
          <w:sz w:val="32"/>
          <w:szCs w:val="32"/>
        </w:rPr>
        <w:t>收入较上年</w:t>
      </w:r>
      <w:r>
        <w:rPr>
          <w:rFonts w:hint="eastAsia" w:ascii="仿宋" w:hAnsi="仿宋" w:eastAsia="仿宋" w:cs="Times New Roman"/>
          <w:kern w:val="0"/>
          <w:sz w:val="32"/>
          <w:szCs w:val="32"/>
        </w:rPr>
        <w:t>增加</w:t>
      </w:r>
      <w:r>
        <w:rPr>
          <w:rFonts w:ascii="仿宋" w:hAnsi="仿宋" w:eastAsia="仿宋" w:cs="Times New Roman"/>
          <w:kern w:val="0"/>
          <w:sz w:val="32"/>
          <w:szCs w:val="32"/>
        </w:rPr>
        <w:t>的主要原因是：</w:t>
      </w:r>
      <w:r>
        <w:rPr>
          <w:rFonts w:hint="eastAsia" w:ascii="仿宋" w:hAnsi="仿宋" w:eastAsia="仿宋" w:cs="Times New Roman"/>
          <w:kern w:val="0"/>
          <w:sz w:val="32"/>
          <w:szCs w:val="32"/>
        </w:rPr>
        <w:t>机构改革增加了业务量及</w:t>
      </w:r>
      <w:r>
        <w:rPr>
          <w:rFonts w:hint="eastAsia" w:ascii="仿宋" w:hAnsi="仿宋" w:eastAsia="仿宋"/>
          <w:sz w:val="30"/>
          <w:szCs w:val="30"/>
        </w:rPr>
        <w:t>人员增加。</w:t>
      </w:r>
    </w:p>
    <w:p>
      <w:pPr>
        <w:ind w:left="150" w:firstLine="640" w:firstLineChars="200"/>
        <w:rPr>
          <w:rFonts w:ascii="仿宋" w:hAnsi="仿宋" w:eastAsia="仿宋" w:cs="仿宋"/>
          <w:sz w:val="32"/>
          <w:szCs w:val="32"/>
        </w:rPr>
      </w:pP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ind w:firstLine="800" w:firstLineChars="250"/>
        <w:rPr>
          <w:rStyle w:val="14"/>
          <w:rFonts w:hint="eastAsia" w:ascii="仿宋" w:hAnsi="仿宋" w:eastAsia="仿宋" w:cs="Times New Roman"/>
          <w:sz w:val="32"/>
          <w:szCs w:val="32"/>
        </w:rPr>
      </w:pPr>
      <w:r>
        <w:rPr>
          <w:rFonts w:hint="eastAsia" w:ascii="仿宋" w:hAnsi="仿宋" w:eastAsia="仿宋"/>
          <w:sz w:val="32"/>
          <w:szCs w:val="32"/>
        </w:rPr>
        <w:t>2022年兴国县融媒体中心支出预算总额为985.65万元</w:t>
      </w:r>
      <w:r>
        <w:rPr>
          <w:rFonts w:hint="eastAsia" w:ascii="仿宋" w:hAnsi="仿宋" w:eastAsia="仿宋"/>
          <w:sz w:val="32"/>
          <w:szCs w:val="32"/>
          <w:shd w:val="clear" w:color="auto" w:fill="FFFFFF"/>
        </w:rPr>
        <w:t>。较上年预算安排（</w:t>
      </w:r>
      <w:r>
        <w:rPr>
          <w:rFonts w:hint="eastAsia" w:ascii="仿宋" w:hAnsi="仿宋" w:eastAsia="仿宋"/>
          <w:sz w:val="32"/>
          <w:szCs w:val="32"/>
        </w:rPr>
        <w:t>376.35</w:t>
      </w:r>
      <w:r>
        <w:rPr>
          <w:rFonts w:hint="eastAsia" w:ascii="仿宋" w:hAnsi="仿宋" w:eastAsia="仿宋"/>
          <w:sz w:val="32"/>
          <w:szCs w:val="32"/>
          <w:shd w:val="clear" w:color="auto" w:fill="FFFFFF"/>
        </w:rPr>
        <w:t>万元）增加了161.9%。</w:t>
      </w:r>
      <w:r>
        <w:rPr>
          <w:rStyle w:val="14"/>
          <w:rFonts w:hint="eastAsia" w:ascii="仿宋" w:hAnsi="仿宋" w:eastAsia="仿宋" w:cs="Times New Roman"/>
          <w:sz w:val="32"/>
          <w:szCs w:val="32"/>
        </w:rPr>
        <w:t>原因主要是单位机构改革</w:t>
      </w:r>
      <w:r>
        <w:rPr>
          <w:rStyle w:val="14"/>
          <w:rFonts w:hint="eastAsia" w:ascii="仿宋" w:hAnsi="仿宋" w:eastAsia="仿宋"/>
          <w:sz w:val="32"/>
          <w:szCs w:val="32"/>
        </w:rPr>
        <w:t>增加了人员和项目支出</w:t>
      </w:r>
      <w:r>
        <w:rPr>
          <w:rStyle w:val="14"/>
          <w:rFonts w:hint="eastAsia" w:ascii="仿宋" w:hAnsi="仿宋" w:eastAsia="仿宋" w:cs="Times New Roman"/>
          <w:sz w:val="32"/>
          <w:szCs w:val="32"/>
        </w:rPr>
        <w:t>。</w:t>
      </w:r>
    </w:p>
    <w:p>
      <w:pPr>
        <w:ind w:firstLine="800" w:firstLineChars="250"/>
      </w:pPr>
      <w:r>
        <w:rPr>
          <w:rFonts w:hint="eastAsia" w:ascii="仿宋" w:hAnsi="仿宋" w:eastAsia="仿宋"/>
          <w:sz w:val="32"/>
          <w:szCs w:val="32"/>
        </w:rPr>
        <w:t>其中：</w:t>
      </w:r>
      <w:r>
        <w:rPr>
          <w:rFonts w:hint="eastAsia" w:ascii="仿宋" w:hAnsi="仿宋" w:eastAsia="仿宋" w:cs="仿宋"/>
          <w:bCs/>
          <w:sz w:val="32"/>
          <w:szCs w:val="32"/>
        </w:rPr>
        <w:t>按支出项目类别划分：</w:t>
      </w:r>
      <w:r>
        <w:rPr>
          <w:rFonts w:hint="eastAsia" w:ascii="仿宋" w:hAnsi="仿宋" w:eastAsia="仿宋" w:cs="仿宋"/>
          <w:sz w:val="32"/>
          <w:szCs w:val="32"/>
        </w:rPr>
        <w:t>基本支出495.23万元，占支出预算总额的50%，</w:t>
      </w:r>
      <w:r>
        <w:rPr>
          <w:rFonts w:hint="eastAsia" w:ascii="仿宋" w:hAnsi="仿宋" w:eastAsia="仿宋" w:cs="仿宋"/>
          <w:sz w:val="30"/>
          <w:szCs w:val="30"/>
        </w:rPr>
        <w:t>较上年预算安排增加118.88</w:t>
      </w:r>
      <w:r>
        <w:rPr>
          <w:rFonts w:hint="eastAsia" w:ascii="仿宋" w:hAnsi="仿宋" w:eastAsia="仿宋" w:cs="仿宋"/>
          <w:sz w:val="32"/>
          <w:szCs w:val="32"/>
        </w:rPr>
        <w:t>万元，主要原因是人员支出的增加，</w:t>
      </w:r>
      <w:r>
        <w:rPr>
          <w:rFonts w:hint="eastAsia" w:ascii="仿宋" w:hAnsi="仿宋" w:eastAsia="仿宋"/>
          <w:sz w:val="32"/>
          <w:szCs w:val="32"/>
        </w:rPr>
        <w:t>包括工资福利支出425.02万元，商品和服务支出34万元，资本性支出2万元；</w:t>
      </w:r>
      <w:r>
        <w:rPr>
          <w:rFonts w:hint="eastAsia" w:ascii="仿宋" w:hAnsi="仿宋" w:eastAsia="仿宋" w:cs="仿宋"/>
          <w:sz w:val="32"/>
          <w:szCs w:val="32"/>
        </w:rPr>
        <w:t>项目支出490.42万元，占支出预算总额的50%，较上年预算安排增加100%，主要原因是单位机构改革新成立后增加业务量。</w:t>
      </w:r>
    </w:p>
    <w:p>
      <w:pPr>
        <w:ind w:firstLine="640" w:firstLineChars="200"/>
        <w:rPr>
          <w:rFonts w:ascii="仿宋" w:hAnsi="仿宋" w:eastAsia="仿宋"/>
          <w:sz w:val="32"/>
          <w:szCs w:val="32"/>
        </w:rPr>
      </w:pPr>
      <w:r>
        <w:rPr>
          <w:rFonts w:hint="eastAsia" w:ascii="仿宋" w:hAnsi="仿宋" w:eastAsia="仿宋"/>
          <w:sz w:val="32"/>
          <w:szCs w:val="32"/>
        </w:rPr>
        <w:t>按支出功能科目划分：</w:t>
      </w:r>
      <w:r>
        <w:rPr>
          <w:rFonts w:hint="eastAsia" w:ascii="仿宋" w:hAnsi="仿宋" w:eastAsia="仿宋" w:cs="仿宋"/>
          <w:sz w:val="32"/>
          <w:szCs w:val="32"/>
        </w:rPr>
        <w:t>一般公共服务支出55万元，占支出预算总额的6%；</w:t>
      </w:r>
      <w:r>
        <w:rPr>
          <w:rFonts w:hint="eastAsia" w:ascii="仿宋" w:hAnsi="仿宋" w:eastAsia="仿宋"/>
          <w:sz w:val="32"/>
          <w:szCs w:val="32"/>
        </w:rPr>
        <w:t>文化旅游体育与传媒支出583.29万元，占支出预算总额的59%；社会保障和就业42.46万元，占支出预算总额的4%；医疗卫生支出52.38万元，占支出预算总额的5%；住房保障支出50.54万元，占支出预算总额的5%;其他支出201.97万元，占支出预算总额的27%.</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ind w:firstLine="640" w:firstLineChars="200"/>
        <w:rPr>
          <w:rFonts w:ascii="仿宋" w:hAnsi="仿宋" w:eastAsia="仿宋"/>
          <w:sz w:val="32"/>
          <w:szCs w:val="32"/>
        </w:rPr>
      </w:pPr>
      <w:r>
        <w:rPr>
          <w:rFonts w:hint="eastAsia" w:ascii="仿宋" w:hAnsi="仿宋" w:eastAsia="仿宋"/>
          <w:sz w:val="32"/>
          <w:szCs w:val="32"/>
        </w:rPr>
        <w:t>2022年兴国县融媒体中心财政拨款支出预算707.02万元，占支出预算总额的72%</w:t>
      </w:r>
      <w:r>
        <w:rPr>
          <w:rFonts w:hint="eastAsia" w:ascii="仿宋" w:hAnsi="仿宋" w:eastAsia="仿宋"/>
          <w:sz w:val="32"/>
          <w:szCs w:val="32"/>
          <w:shd w:val="clear" w:color="auto" w:fill="FFFFFF"/>
        </w:rPr>
        <w:t>。</w:t>
      </w:r>
      <w:r>
        <w:rPr>
          <w:rFonts w:hint="eastAsia" w:ascii="仿宋_GB2312" w:eastAsia="仿宋_GB2312"/>
          <w:color w:val="000000"/>
          <w:sz w:val="32"/>
          <w:szCs w:val="32"/>
        </w:rPr>
        <w:t>较上年增加350.67万元，增加50%，原因是机构改革后业务量和人员的增加。</w:t>
      </w:r>
      <w:r>
        <w:rPr>
          <w:rFonts w:hint="eastAsia" w:ascii="仿宋" w:hAnsi="仿宋" w:eastAsia="仿宋"/>
          <w:sz w:val="32"/>
          <w:szCs w:val="32"/>
        </w:rPr>
        <w:t>具体为：一般公共服务支出35万元，占支出预算总额的5%，较上年增加100%；文化旅游体育与传媒支出526.64万元，占支出预算总额的74%，</w:t>
      </w:r>
      <w:r>
        <w:rPr>
          <w:rFonts w:hint="eastAsia" w:ascii="仿宋_GB2312" w:eastAsia="仿宋_GB2312"/>
          <w:color w:val="000000"/>
          <w:sz w:val="32"/>
          <w:szCs w:val="32"/>
        </w:rPr>
        <w:t>较上年增加268.62万元，增加52%</w:t>
      </w:r>
      <w:r>
        <w:rPr>
          <w:rFonts w:hint="eastAsia" w:ascii="仿宋" w:hAnsi="仿宋" w:eastAsia="仿宋"/>
          <w:sz w:val="32"/>
          <w:szCs w:val="32"/>
        </w:rPr>
        <w:t>；社会保障和就业42.46万元，占支出预算总额的6%，</w:t>
      </w:r>
      <w:r>
        <w:rPr>
          <w:rFonts w:hint="eastAsia" w:ascii="仿宋_GB2312" w:eastAsia="仿宋_GB2312"/>
          <w:color w:val="000000"/>
          <w:sz w:val="32"/>
          <w:szCs w:val="32"/>
        </w:rPr>
        <w:t>较上年增加6.75万元，增加16%</w:t>
      </w:r>
      <w:r>
        <w:rPr>
          <w:rFonts w:hint="eastAsia" w:ascii="仿宋" w:hAnsi="仿宋" w:eastAsia="仿宋"/>
          <w:sz w:val="32"/>
          <w:szCs w:val="32"/>
        </w:rPr>
        <w:t>；医疗卫生支出52.38万元，占支出预算总额的8%，</w:t>
      </w:r>
      <w:r>
        <w:rPr>
          <w:rFonts w:hint="eastAsia" w:ascii="仿宋_GB2312" w:eastAsia="仿宋_GB2312"/>
          <w:color w:val="000000"/>
          <w:sz w:val="32"/>
          <w:szCs w:val="32"/>
        </w:rPr>
        <w:t>较上年增加15.18万元，增加29%</w:t>
      </w:r>
      <w:r>
        <w:rPr>
          <w:rFonts w:hint="eastAsia" w:ascii="仿宋" w:hAnsi="仿宋" w:eastAsia="仿宋"/>
          <w:sz w:val="32"/>
          <w:szCs w:val="32"/>
        </w:rPr>
        <w:t>；住房保障支出50.54万元，占支出预算总额的7%，</w:t>
      </w:r>
      <w:r>
        <w:rPr>
          <w:rFonts w:hint="eastAsia" w:ascii="仿宋_GB2312" w:eastAsia="仿宋_GB2312"/>
          <w:color w:val="000000"/>
          <w:sz w:val="32"/>
          <w:szCs w:val="32"/>
        </w:rPr>
        <w:t>较上年增加25.12万元，增加50%</w:t>
      </w:r>
      <w:r>
        <w:rPr>
          <w:rFonts w:hint="eastAsia" w:ascii="仿宋" w:hAnsi="仿宋" w:eastAsia="仿宋"/>
          <w:sz w:val="32"/>
          <w:szCs w:val="32"/>
        </w:rPr>
        <w:t xml:space="preserve"> 。</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2022年单位运行费预算36万元，比2021年预算增加13.2万元，增长36％。主要原因是：人员及基数增加。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单位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2022年单位政府采购总额16万元，其中：政府采购货物预算16万元、政府采购工程预算0万元、政府采购服务预算0万元。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600" w:lineRule="exact"/>
        <w:ind w:firstLine="604" w:firstLineChars="189"/>
        <w:rPr>
          <w:rFonts w:ascii="仿宋" w:hAnsi="仿宋" w:eastAsia="仿宋" w:cs="仿宋"/>
          <w:sz w:val="32"/>
          <w:szCs w:val="32"/>
        </w:rPr>
      </w:pPr>
      <w:r>
        <w:rPr>
          <w:rFonts w:hint="eastAsia" w:ascii="仿宋" w:hAnsi="仿宋" w:eastAsia="仿宋" w:cs="仿宋"/>
          <w:sz w:val="32"/>
          <w:szCs w:val="32"/>
        </w:rPr>
        <w:t>截至2021年12月31日单位共有其它车辆一辆，2022单位预算安排购置车辆0辆，安排购置单位价值200万元以上大型设备具体为0。</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600" w:lineRule="exact"/>
        <w:rPr>
          <w:rFonts w:ascii="仿宋" w:hAnsi="仿宋" w:eastAsia="仿宋" w:cs="仿宋"/>
          <w:sz w:val="32"/>
          <w:szCs w:val="32"/>
        </w:rPr>
      </w:pPr>
      <w:r>
        <w:rPr>
          <w:rFonts w:hint="eastAsia" w:ascii="仿宋" w:hAnsi="仿宋" w:eastAsia="仿宋" w:cs="仿宋"/>
          <w:sz w:val="32"/>
          <w:szCs w:val="32"/>
        </w:rPr>
        <w:t>2022年实行绩效目标管理的项目3个，涉及资金163.6万元：</w:t>
      </w:r>
    </w:p>
    <w:p>
      <w:pPr>
        <w:spacing w:line="480" w:lineRule="atLeast"/>
        <w:ind w:firstLine="640" w:firstLineChars="200"/>
        <w:rPr>
          <w:rFonts w:ascii="仿宋" w:hAnsi="仿宋" w:eastAsia="仿宋" w:cs="仿宋"/>
          <w:sz w:val="32"/>
          <w:szCs w:val="32"/>
        </w:rPr>
      </w:pPr>
      <w:r>
        <w:rPr>
          <w:rFonts w:hint="eastAsia" w:ascii="仿宋" w:hAnsi="仿宋" w:eastAsia="仿宋" w:cs="仿宋"/>
          <w:sz w:val="32"/>
          <w:szCs w:val="32"/>
        </w:rPr>
        <w:t>（一）、项目名称：新时代文明实践经费</w:t>
      </w:r>
    </w:p>
    <w:p>
      <w:pPr>
        <w:pStyle w:val="2"/>
        <w:ind w:firstLine="600" w:firstLineChars="200"/>
      </w:pPr>
      <w:r>
        <w:rPr>
          <w:rFonts w:hint="eastAsia" w:ascii="仿宋" w:hAnsi="仿宋" w:eastAsia="仿宋" w:cs="仿宋"/>
          <w:sz w:val="30"/>
          <w:szCs w:val="30"/>
        </w:rPr>
        <w:t>1.项目概述：新时代文明实践广播正常运行</w:t>
      </w:r>
    </w:p>
    <w:p>
      <w:pPr>
        <w:spacing w:line="480" w:lineRule="atLeas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2.立项依据：</w:t>
      </w:r>
      <w:r>
        <w:rPr>
          <w:rFonts w:hint="eastAsia" w:ascii="仿宋" w:hAnsi="仿宋" w:eastAsia="仿宋"/>
          <w:sz w:val="32"/>
          <w:szCs w:val="32"/>
        </w:rPr>
        <w:t>贯彻落实党的路线方针政策、宣传纪律，开展实施全县新闻宣传报道工作</w:t>
      </w:r>
    </w:p>
    <w:p>
      <w:pPr>
        <w:spacing w:line="480" w:lineRule="atLeast"/>
        <w:ind w:firstLine="450" w:firstLineChars="150"/>
        <w:rPr>
          <w:rFonts w:ascii="仿宋" w:hAnsi="仿宋" w:eastAsia="仿宋" w:cs="仿宋"/>
          <w:sz w:val="30"/>
          <w:szCs w:val="30"/>
        </w:rPr>
      </w:pPr>
      <w:r>
        <w:rPr>
          <w:rFonts w:hint="eastAsia" w:ascii="仿宋" w:hAnsi="仿宋" w:eastAsia="仿宋" w:cs="仿宋"/>
          <w:sz w:val="30"/>
          <w:szCs w:val="30"/>
        </w:rPr>
        <w:t xml:space="preserve"> 3.实施主体：</w:t>
      </w:r>
      <w:r>
        <w:rPr>
          <w:rFonts w:hint="eastAsia" w:ascii="仿宋" w:hAnsi="仿宋" w:eastAsia="仿宋"/>
          <w:sz w:val="30"/>
          <w:szCs w:val="30"/>
        </w:rPr>
        <w:t>兴国县融媒体中心</w:t>
      </w:r>
    </w:p>
    <w:p>
      <w:pPr>
        <w:spacing w:line="480" w:lineRule="atLeast"/>
        <w:ind w:firstLine="600" w:firstLineChars="200"/>
        <w:rPr>
          <w:rFonts w:ascii="仿宋" w:hAnsi="仿宋" w:eastAsia="仿宋" w:cs="仿宋"/>
          <w:sz w:val="30"/>
          <w:szCs w:val="30"/>
        </w:rPr>
      </w:pPr>
      <w:r>
        <w:rPr>
          <w:rFonts w:hint="eastAsia" w:ascii="仿宋" w:hAnsi="仿宋" w:eastAsia="仿宋" w:cs="仿宋"/>
          <w:sz w:val="30"/>
          <w:szCs w:val="30"/>
        </w:rPr>
        <w:t>4.实施周期：2022年</w:t>
      </w:r>
    </w:p>
    <w:p>
      <w:pPr>
        <w:spacing w:line="480" w:lineRule="atLeast"/>
        <w:ind w:firstLine="600" w:firstLineChars="200"/>
        <w:rPr>
          <w:rFonts w:ascii="仿宋" w:hAnsi="仿宋" w:eastAsia="仿宋" w:cs="仿宋"/>
          <w:sz w:val="30"/>
          <w:szCs w:val="30"/>
        </w:rPr>
      </w:pPr>
      <w:r>
        <w:rPr>
          <w:rFonts w:hint="eastAsia" w:ascii="仿宋" w:hAnsi="仿宋" w:eastAsia="仿宋" w:cs="仿宋"/>
          <w:sz w:val="30"/>
          <w:szCs w:val="30"/>
        </w:rPr>
        <w:t>5.年度预算安排：20万元</w:t>
      </w:r>
    </w:p>
    <w:p>
      <w:pPr>
        <w:spacing w:line="480" w:lineRule="atLeast"/>
        <w:ind w:firstLine="600" w:firstLineChars="200"/>
        <w:rPr>
          <w:rFonts w:ascii="仿宋" w:hAnsi="仿宋" w:eastAsia="仿宋" w:cs="仿宋"/>
          <w:sz w:val="30"/>
          <w:szCs w:val="30"/>
        </w:rPr>
      </w:pPr>
      <w:r>
        <w:rPr>
          <w:rFonts w:hint="eastAsia" w:ascii="仿宋" w:hAnsi="仿宋" w:eastAsia="仿宋" w:cs="仿宋"/>
          <w:sz w:val="30"/>
          <w:szCs w:val="30"/>
        </w:rPr>
        <w:t>6.年度绩效目标：确保新时代文明实践节目能正常收听收看。</w:t>
      </w:r>
    </w:p>
    <w:p>
      <w:pPr>
        <w:spacing w:line="480" w:lineRule="atLeast"/>
        <w:ind w:firstLine="640" w:firstLineChars="200"/>
        <w:rPr>
          <w:rFonts w:ascii="仿宋" w:hAnsi="仿宋" w:eastAsia="仿宋" w:cs="仿宋"/>
          <w:sz w:val="32"/>
          <w:szCs w:val="32"/>
        </w:rPr>
      </w:pPr>
      <w:r>
        <w:rPr>
          <w:rFonts w:hint="eastAsia" w:ascii="仿宋" w:hAnsi="仿宋" w:eastAsia="仿宋" w:cs="仿宋"/>
          <w:sz w:val="32"/>
          <w:szCs w:val="32"/>
        </w:rPr>
        <w:t>（二）、项目名称：2022年中央支持地方公共文化服务体系建设</w:t>
      </w:r>
    </w:p>
    <w:p>
      <w:pPr>
        <w:pStyle w:val="2"/>
        <w:ind w:firstLine="600" w:firstLineChars="200"/>
      </w:pPr>
      <w:r>
        <w:rPr>
          <w:rFonts w:hint="eastAsia" w:ascii="仿宋" w:hAnsi="仿宋" w:eastAsia="仿宋" w:cs="仿宋"/>
          <w:sz w:val="30"/>
          <w:szCs w:val="30"/>
        </w:rPr>
        <w:t>1.项目概述：兴国县中央广播电视节目无线覆盖(数字)运维经费</w:t>
      </w:r>
    </w:p>
    <w:p>
      <w:pPr>
        <w:spacing w:line="480" w:lineRule="atLeast"/>
        <w:ind w:firstLine="600" w:firstLineChars="200"/>
        <w:rPr>
          <w:rFonts w:ascii="仿宋" w:hAnsi="仿宋" w:eastAsia="仿宋" w:cs="仿宋"/>
          <w:sz w:val="30"/>
          <w:szCs w:val="30"/>
        </w:rPr>
      </w:pPr>
      <w:r>
        <w:rPr>
          <w:rFonts w:hint="eastAsia" w:ascii="仿宋" w:hAnsi="仿宋" w:eastAsia="仿宋" w:cs="仿宋"/>
          <w:sz w:val="30"/>
          <w:szCs w:val="30"/>
        </w:rPr>
        <w:t>2.立项依据：赣财文指【2021】64号</w:t>
      </w:r>
    </w:p>
    <w:p>
      <w:pPr>
        <w:spacing w:line="480" w:lineRule="atLeast"/>
        <w:ind w:firstLine="450" w:firstLineChars="150"/>
        <w:rPr>
          <w:rFonts w:ascii="仿宋" w:hAnsi="仿宋" w:eastAsia="仿宋" w:cs="仿宋"/>
          <w:sz w:val="30"/>
          <w:szCs w:val="30"/>
        </w:rPr>
      </w:pPr>
      <w:r>
        <w:rPr>
          <w:rFonts w:hint="eastAsia" w:ascii="仿宋" w:hAnsi="仿宋" w:eastAsia="仿宋" w:cs="仿宋"/>
          <w:sz w:val="30"/>
          <w:szCs w:val="30"/>
        </w:rPr>
        <w:t xml:space="preserve"> 3.实施主体：</w:t>
      </w:r>
      <w:r>
        <w:rPr>
          <w:rFonts w:hint="eastAsia" w:ascii="仿宋" w:hAnsi="仿宋" w:eastAsia="仿宋"/>
          <w:sz w:val="30"/>
          <w:szCs w:val="30"/>
        </w:rPr>
        <w:t>兴国县融媒体中心</w:t>
      </w:r>
    </w:p>
    <w:p>
      <w:pPr>
        <w:spacing w:line="480" w:lineRule="atLeast"/>
        <w:ind w:firstLine="600" w:firstLineChars="200"/>
        <w:rPr>
          <w:rFonts w:ascii="仿宋" w:hAnsi="仿宋" w:eastAsia="仿宋" w:cs="仿宋"/>
          <w:sz w:val="30"/>
          <w:szCs w:val="30"/>
        </w:rPr>
      </w:pPr>
      <w:r>
        <w:rPr>
          <w:rFonts w:hint="eastAsia" w:ascii="仿宋" w:hAnsi="仿宋" w:eastAsia="仿宋" w:cs="仿宋"/>
          <w:sz w:val="30"/>
          <w:szCs w:val="30"/>
        </w:rPr>
        <w:t>4.实施周期：2022年</w:t>
      </w:r>
    </w:p>
    <w:p>
      <w:pPr>
        <w:spacing w:line="480" w:lineRule="atLeast"/>
        <w:ind w:firstLine="600" w:firstLineChars="200"/>
        <w:rPr>
          <w:rFonts w:ascii="仿宋" w:hAnsi="仿宋" w:eastAsia="仿宋" w:cs="仿宋"/>
          <w:sz w:val="30"/>
          <w:szCs w:val="30"/>
        </w:rPr>
      </w:pPr>
      <w:r>
        <w:rPr>
          <w:rFonts w:hint="eastAsia" w:ascii="仿宋" w:hAnsi="仿宋" w:eastAsia="仿宋" w:cs="仿宋"/>
          <w:sz w:val="30"/>
          <w:szCs w:val="30"/>
        </w:rPr>
        <w:t>5.年度预算安排：43.6万元</w:t>
      </w:r>
    </w:p>
    <w:p>
      <w:pPr>
        <w:spacing w:line="480" w:lineRule="atLeast"/>
        <w:ind w:firstLine="600" w:firstLineChars="200"/>
        <w:rPr>
          <w:rFonts w:ascii="仿宋" w:hAnsi="仿宋" w:eastAsia="仿宋" w:cs="仿宋"/>
          <w:sz w:val="30"/>
          <w:szCs w:val="30"/>
        </w:rPr>
      </w:pPr>
      <w:r>
        <w:rPr>
          <w:rFonts w:hint="eastAsia" w:ascii="仿宋" w:hAnsi="仿宋" w:eastAsia="仿宋" w:cs="仿宋"/>
          <w:sz w:val="30"/>
          <w:szCs w:val="30"/>
        </w:rPr>
        <w:t>6.年度绩效目标：保障本级节目传输信号正常，维护好本级节目发射设备。</w:t>
      </w:r>
    </w:p>
    <w:p>
      <w:pPr>
        <w:spacing w:line="480" w:lineRule="atLeast"/>
        <w:ind w:firstLine="640" w:firstLineChars="200"/>
        <w:rPr>
          <w:rFonts w:ascii="仿宋" w:hAnsi="仿宋" w:eastAsia="仿宋" w:cs="仿宋"/>
          <w:sz w:val="32"/>
          <w:szCs w:val="32"/>
        </w:rPr>
      </w:pPr>
      <w:r>
        <w:rPr>
          <w:rFonts w:hint="eastAsia" w:ascii="仿宋" w:hAnsi="仿宋" w:eastAsia="仿宋" w:cs="仿宋"/>
          <w:sz w:val="32"/>
          <w:szCs w:val="32"/>
        </w:rPr>
        <w:t>（三）、项目名称：融媒体中心运营经费</w:t>
      </w:r>
    </w:p>
    <w:p>
      <w:pPr>
        <w:pStyle w:val="2"/>
        <w:ind w:firstLine="600" w:firstLineChars="200"/>
      </w:pPr>
      <w:r>
        <w:rPr>
          <w:rFonts w:hint="eastAsia" w:ascii="仿宋" w:hAnsi="仿宋" w:eastAsia="仿宋" w:cs="仿宋"/>
          <w:sz w:val="30"/>
          <w:szCs w:val="30"/>
        </w:rPr>
        <w:t>1.项目概述：为保证融媒体中心2022年度宣传工作正常运转，圆满完成县委、县政府工作任务，需要保障宣传的工作经费。</w:t>
      </w:r>
    </w:p>
    <w:p>
      <w:pPr>
        <w:spacing w:line="480" w:lineRule="atLeast"/>
        <w:ind w:firstLine="600" w:firstLineChars="200"/>
        <w:rPr>
          <w:rFonts w:ascii="仿宋" w:hAnsi="仿宋" w:eastAsia="仿宋" w:cs="仿宋"/>
          <w:sz w:val="30"/>
          <w:szCs w:val="30"/>
        </w:rPr>
      </w:pPr>
      <w:r>
        <w:rPr>
          <w:rFonts w:hint="eastAsia" w:ascii="仿宋" w:hAnsi="仿宋" w:eastAsia="仿宋" w:cs="仿宋"/>
          <w:sz w:val="30"/>
          <w:szCs w:val="30"/>
        </w:rPr>
        <w:t xml:space="preserve">2.立项依据： </w:t>
      </w:r>
      <w:r>
        <w:rPr>
          <w:rFonts w:hint="eastAsia" w:ascii="仿宋" w:hAnsi="仿宋" w:eastAsia="仿宋"/>
          <w:sz w:val="32"/>
          <w:szCs w:val="32"/>
        </w:rPr>
        <w:t>贯彻落实党的路线方针政策、宣传纪律，开展实施全县新闻宣传报道工作</w:t>
      </w:r>
    </w:p>
    <w:p>
      <w:pPr>
        <w:spacing w:line="480" w:lineRule="atLeast"/>
        <w:ind w:firstLine="450" w:firstLineChars="150"/>
        <w:rPr>
          <w:rFonts w:ascii="仿宋" w:hAnsi="仿宋" w:eastAsia="仿宋" w:cs="仿宋"/>
          <w:sz w:val="30"/>
          <w:szCs w:val="30"/>
        </w:rPr>
      </w:pPr>
      <w:r>
        <w:rPr>
          <w:rFonts w:hint="eastAsia" w:ascii="仿宋" w:hAnsi="仿宋" w:eastAsia="仿宋" w:cs="仿宋"/>
          <w:sz w:val="30"/>
          <w:szCs w:val="30"/>
        </w:rPr>
        <w:t xml:space="preserve"> 3.实施主体：</w:t>
      </w:r>
      <w:r>
        <w:rPr>
          <w:rFonts w:hint="eastAsia" w:ascii="仿宋" w:hAnsi="仿宋" w:eastAsia="仿宋"/>
          <w:sz w:val="30"/>
          <w:szCs w:val="30"/>
        </w:rPr>
        <w:t>兴国县融媒体中心</w:t>
      </w:r>
    </w:p>
    <w:p>
      <w:pPr>
        <w:spacing w:line="480" w:lineRule="atLeast"/>
        <w:ind w:firstLine="600" w:firstLineChars="200"/>
        <w:rPr>
          <w:rFonts w:ascii="仿宋" w:hAnsi="仿宋" w:eastAsia="仿宋" w:cs="仿宋"/>
          <w:sz w:val="30"/>
          <w:szCs w:val="30"/>
        </w:rPr>
      </w:pPr>
      <w:r>
        <w:rPr>
          <w:rFonts w:hint="eastAsia" w:ascii="仿宋" w:hAnsi="仿宋" w:eastAsia="仿宋" w:cs="仿宋"/>
          <w:sz w:val="30"/>
          <w:szCs w:val="30"/>
        </w:rPr>
        <w:t>4.实施周期：2022年</w:t>
      </w:r>
    </w:p>
    <w:p>
      <w:pPr>
        <w:spacing w:line="480" w:lineRule="atLeast"/>
        <w:ind w:firstLine="600" w:firstLineChars="200"/>
        <w:rPr>
          <w:rFonts w:ascii="仿宋" w:hAnsi="仿宋" w:eastAsia="仿宋" w:cs="仿宋"/>
          <w:sz w:val="30"/>
          <w:szCs w:val="30"/>
        </w:rPr>
      </w:pPr>
      <w:r>
        <w:rPr>
          <w:rFonts w:hint="eastAsia" w:ascii="仿宋" w:hAnsi="仿宋" w:eastAsia="仿宋" w:cs="仿宋"/>
          <w:sz w:val="30"/>
          <w:szCs w:val="30"/>
        </w:rPr>
        <w:t>5.年度预算安排：100万元</w:t>
      </w:r>
    </w:p>
    <w:p>
      <w:pPr>
        <w:spacing w:line="480" w:lineRule="atLeast"/>
        <w:ind w:firstLine="600" w:firstLineChars="200"/>
        <w:rPr>
          <w:rFonts w:ascii="仿宋" w:hAnsi="仿宋" w:eastAsia="仿宋" w:cs="仿宋"/>
          <w:sz w:val="30"/>
          <w:szCs w:val="30"/>
        </w:rPr>
      </w:pPr>
      <w:r>
        <w:rPr>
          <w:rFonts w:hint="eastAsia" w:ascii="仿宋" w:hAnsi="仿宋" w:eastAsia="仿宋" w:cs="仿宋"/>
          <w:sz w:val="30"/>
          <w:szCs w:val="30"/>
        </w:rPr>
        <w:t>6.年度绩效目标：确保全县宣传报道工作正常运转，增强新闻媒体宣传工作传播力、引导力、公信力</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二、2022年“三公”经费预算情况说明</w:t>
      </w:r>
    </w:p>
    <w:p>
      <w:pPr>
        <w:spacing w:line="600" w:lineRule="exact"/>
        <w:ind w:firstLine="604" w:firstLineChars="189"/>
        <w:rPr>
          <w:rFonts w:hint="eastAsia" w:ascii="仿宋" w:hAnsi="仿宋" w:eastAsia="仿宋" w:cs="仿宋"/>
          <w:sz w:val="32"/>
          <w:szCs w:val="32"/>
        </w:rPr>
      </w:pPr>
      <w:r>
        <w:rPr>
          <w:rFonts w:hint="eastAsia" w:ascii="仿宋" w:hAnsi="仿宋" w:eastAsia="仿宋" w:cs="仿宋"/>
          <w:sz w:val="32"/>
          <w:szCs w:val="32"/>
        </w:rPr>
        <w:t>2022</w:t>
      </w:r>
      <w:r>
        <w:rPr>
          <w:rFonts w:hint="eastAsia" w:ascii="仿宋" w:hAnsi="仿宋" w:eastAsia="仿宋"/>
          <w:sz w:val="32"/>
          <w:szCs w:val="32"/>
        </w:rPr>
        <w:t>年“三公”经费年初预算安排2万元。</w:t>
      </w:r>
      <w:r>
        <w:rPr>
          <w:rFonts w:hint="eastAsia" w:ascii="仿宋" w:hAnsi="仿宋" w:eastAsia="仿宋" w:cs="仿宋"/>
          <w:sz w:val="32"/>
          <w:szCs w:val="32"/>
        </w:rPr>
        <w:t>其中：</w:t>
      </w:r>
    </w:p>
    <w:p>
      <w:pPr>
        <w:spacing w:line="600" w:lineRule="exact"/>
        <w:ind w:firstLine="604" w:firstLineChars="189"/>
        <w:rPr>
          <w:rFonts w:ascii="仿宋" w:hAnsi="仿宋" w:eastAsia="仿宋" w:cs="仿宋"/>
          <w:sz w:val="30"/>
          <w:szCs w:val="30"/>
        </w:rPr>
      </w:pPr>
      <w:r>
        <w:rPr>
          <w:rFonts w:hint="eastAsia" w:ascii="仿宋" w:hAnsi="仿宋" w:eastAsia="仿宋" w:cs="仿宋"/>
          <w:sz w:val="32"/>
          <w:szCs w:val="32"/>
        </w:rPr>
        <w:t>因公出国（境）费0万元，比上年增（减）0万元。</w:t>
      </w:r>
      <w:r>
        <w:rPr>
          <w:rFonts w:hint="eastAsia" w:ascii="仿宋" w:hAnsi="仿宋" w:eastAsia="仿宋" w:cs="仿宋"/>
          <w:sz w:val="30"/>
          <w:szCs w:val="30"/>
        </w:rPr>
        <w:t>主要原因是：无因公出国安排。</w:t>
      </w:r>
    </w:p>
    <w:p>
      <w:pPr>
        <w:spacing w:line="600" w:lineRule="exact"/>
        <w:ind w:firstLine="604" w:firstLineChars="189"/>
        <w:rPr>
          <w:rFonts w:ascii="仿宋" w:hAnsi="仿宋" w:eastAsia="仿宋" w:cs="仿宋"/>
          <w:sz w:val="32"/>
          <w:szCs w:val="32"/>
        </w:rPr>
      </w:pPr>
      <w:r>
        <w:rPr>
          <w:rFonts w:hint="eastAsia" w:ascii="仿宋" w:hAnsi="仿宋" w:eastAsia="仿宋" w:cs="仿宋"/>
          <w:sz w:val="32"/>
          <w:szCs w:val="32"/>
        </w:rPr>
        <w:t>公务接待费2万元，比上年减少3万元，主要原因是：严格贯彻落实中央八项规定精神，减少公务接待费支出。</w:t>
      </w:r>
    </w:p>
    <w:p>
      <w:pPr>
        <w:spacing w:line="600" w:lineRule="exact"/>
        <w:ind w:firstLine="640" w:firstLineChars="200"/>
        <w:rPr>
          <w:rFonts w:hint="eastAsia" w:ascii="仿宋" w:hAnsi="仿宋" w:eastAsia="仿宋" w:cs="仿宋"/>
          <w:sz w:val="30"/>
          <w:szCs w:val="30"/>
        </w:rPr>
      </w:pPr>
      <w:r>
        <w:rPr>
          <w:rFonts w:hint="eastAsia" w:ascii="仿宋" w:hAnsi="仿宋" w:eastAsia="仿宋" w:cs="仿宋"/>
          <w:sz w:val="32"/>
          <w:szCs w:val="32"/>
        </w:rPr>
        <w:t>公务用车运行维护费0万元，比上年增（减）0万元。</w:t>
      </w:r>
      <w:r>
        <w:rPr>
          <w:rFonts w:hint="eastAsia" w:ascii="仿宋" w:hAnsi="仿宋" w:eastAsia="仿宋" w:cs="仿宋"/>
          <w:sz w:val="30"/>
          <w:szCs w:val="30"/>
        </w:rPr>
        <w:t>主要原因是：车辆已封存。</w:t>
      </w:r>
    </w:p>
    <w:p>
      <w:pPr>
        <w:spacing w:line="600" w:lineRule="exact"/>
        <w:ind w:firstLine="640" w:firstLineChars="200"/>
      </w:pPr>
      <w:r>
        <w:rPr>
          <w:rFonts w:hint="eastAsia" w:ascii="仿宋" w:hAnsi="仿宋" w:eastAsia="仿宋" w:cs="仿宋"/>
          <w:sz w:val="32"/>
          <w:szCs w:val="32"/>
        </w:rPr>
        <w:t>公务用车</w:t>
      </w:r>
      <w:r>
        <w:rPr>
          <w:rFonts w:hint="eastAsia" w:ascii="仿宋" w:hAnsi="仿宋" w:eastAsia="仿宋" w:cs="仿宋"/>
          <w:sz w:val="32"/>
          <w:szCs w:val="32"/>
          <w:lang w:eastAsia="zh-CN"/>
        </w:rPr>
        <w:t>购置</w:t>
      </w:r>
      <w:r>
        <w:rPr>
          <w:rFonts w:hint="eastAsia" w:ascii="仿宋" w:hAnsi="仿宋" w:eastAsia="仿宋" w:cs="仿宋"/>
          <w:sz w:val="32"/>
          <w:szCs w:val="32"/>
        </w:rPr>
        <w:t>0万元，比上年增（减）0万元。</w:t>
      </w:r>
      <w:r>
        <w:rPr>
          <w:rFonts w:hint="eastAsia" w:ascii="仿宋" w:hAnsi="仿宋" w:eastAsia="仿宋" w:cs="仿宋"/>
          <w:sz w:val="30"/>
          <w:szCs w:val="30"/>
        </w:rPr>
        <w:t>主要原因是：</w:t>
      </w:r>
      <w:r>
        <w:rPr>
          <w:rFonts w:hint="eastAsia" w:ascii="仿宋" w:hAnsi="仿宋" w:eastAsia="仿宋" w:cs="仿宋"/>
          <w:sz w:val="30"/>
          <w:szCs w:val="30"/>
          <w:lang w:eastAsia="zh-CN"/>
        </w:rPr>
        <w:t>无采购计划</w:t>
      </w:r>
      <w:r>
        <w:rPr>
          <w:rFonts w:hint="eastAsia" w:ascii="仿宋" w:hAnsi="仿宋" w:eastAsia="仿宋" w:cs="仿宋"/>
          <w:sz w:val="30"/>
          <w:szCs w:val="30"/>
        </w:rPr>
        <w:t>。</w:t>
      </w:r>
      <w:bookmarkStart w:id="0" w:name="_GoBack"/>
      <w:bookmarkEnd w:id="0"/>
    </w:p>
    <w:p>
      <w:pPr>
        <w:pStyle w:val="2"/>
      </w:pPr>
    </w:p>
    <w:p>
      <w:pPr>
        <w:pStyle w:val="2"/>
      </w:pP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第三部分 兴国县融媒体中心单位预算表</w:t>
      </w:r>
    </w:p>
    <w:p>
      <w:pPr>
        <w:pStyle w:val="2"/>
      </w:pPr>
      <w:r>
        <w:drawing>
          <wp:inline distT="0" distB="0" distL="0" distR="0">
            <wp:extent cx="5274310" cy="5988685"/>
            <wp:effectExtent l="19050" t="0" r="254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4" cstate="print"/>
                    <a:srcRect/>
                    <a:stretch>
                      <a:fillRect/>
                    </a:stretch>
                  </pic:blipFill>
                  <pic:spPr>
                    <a:xfrm>
                      <a:off x="0" y="0"/>
                      <a:ext cx="5274310" cy="5989118"/>
                    </a:xfrm>
                    <a:prstGeom prst="rect">
                      <a:avLst/>
                    </a:prstGeom>
                    <a:noFill/>
                    <a:ln w="9525">
                      <a:noFill/>
                      <a:miter lim="800000"/>
                      <a:headEnd/>
                      <a:tailEnd/>
                    </a:ln>
                  </pic:spPr>
                </pic:pic>
              </a:graphicData>
            </a:graphic>
          </wp:inline>
        </w:drawing>
      </w:r>
    </w:p>
    <w:p>
      <w:pPr>
        <w:pStyle w:val="2"/>
      </w:pPr>
      <w:r>
        <w:drawing>
          <wp:inline distT="0" distB="0" distL="0" distR="0">
            <wp:extent cx="5274310" cy="5753100"/>
            <wp:effectExtent l="19050" t="0" r="254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noChangeArrowheads="1"/>
                    </pic:cNvPicPr>
                  </pic:nvPicPr>
                  <pic:blipFill>
                    <a:blip r:embed="rId5" cstate="print"/>
                    <a:srcRect/>
                    <a:stretch>
                      <a:fillRect/>
                    </a:stretch>
                  </pic:blipFill>
                  <pic:spPr>
                    <a:xfrm>
                      <a:off x="0" y="0"/>
                      <a:ext cx="5274310" cy="5753100"/>
                    </a:xfrm>
                    <a:prstGeom prst="rect">
                      <a:avLst/>
                    </a:prstGeom>
                    <a:noFill/>
                    <a:ln w="9525">
                      <a:noFill/>
                      <a:miter lim="800000"/>
                      <a:headEnd/>
                      <a:tailEnd/>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r>
        <w:drawing>
          <wp:inline distT="0" distB="0" distL="0" distR="0">
            <wp:extent cx="5274310" cy="7689215"/>
            <wp:effectExtent l="19050" t="0" r="254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noChangeArrowheads="1"/>
                    </pic:cNvPicPr>
                  </pic:nvPicPr>
                  <pic:blipFill>
                    <a:blip r:embed="rId6" cstate="print"/>
                    <a:srcRect/>
                    <a:stretch>
                      <a:fillRect/>
                    </a:stretch>
                  </pic:blipFill>
                  <pic:spPr>
                    <a:xfrm>
                      <a:off x="0" y="0"/>
                      <a:ext cx="5274310" cy="7689746"/>
                    </a:xfrm>
                    <a:prstGeom prst="rect">
                      <a:avLst/>
                    </a:prstGeom>
                    <a:noFill/>
                    <a:ln w="9525">
                      <a:noFill/>
                      <a:miter lim="800000"/>
                      <a:headEnd/>
                      <a:tailEnd/>
                    </a:ln>
                  </pic:spPr>
                </pic:pic>
              </a:graphicData>
            </a:graphic>
          </wp:inline>
        </w:drawing>
      </w:r>
    </w:p>
    <w:p>
      <w:pPr>
        <w:pStyle w:val="2"/>
      </w:pPr>
    </w:p>
    <w:p>
      <w:pPr>
        <w:pStyle w:val="2"/>
      </w:pPr>
    </w:p>
    <w:p>
      <w:pPr>
        <w:pStyle w:val="2"/>
      </w:pPr>
    </w:p>
    <w:p>
      <w:pPr>
        <w:pStyle w:val="2"/>
      </w:pPr>
    </w:p>
    <w:p>
      <w:pPr>
        <w:pStyle w:val="2"/>
      </w:pPr>
      <w:r>
        <w:drawing>
          <wp:inline distT="0" distB="0" distL="0" distR="0">
            <wp:extent cx="5274310" cy="6537960"/>
            <wp:effectExtent l="19050" t="0" r="254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noChangeArrowheads="1"/>
                    </pic:cNvPicPr>
                  </pic:nvPicPr>
                  <pic:blipFill>
                    <a:blip r:embed="rId7" cstate="print"/>
                    <a:srcRect/>
                    <a:stretch>
                      <a:fillRect/>
                    </a:stretch>
                  </pic:blipFill>
                  <pic:spPr>
                    <a:xfrm>
                      <a:off x="0" y="0"/>
                      <a:ext cx="5274310" cy="6537960"/>
                    </a:xfrm>
                    <a:prstGeom prst="rect">
                      <a:avLst/>
                    </a:prstGeom>
                    <a:noFill/>
                    <a:ln w="9525">
                      <a:noFill/>
                      <a:miter lim="800000"/>
                      <a:headEnd/>
                      <a:tailEnd/>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r>
        <w:drawing>
          <wp:inline distT="0" distB="0" distL="0" distR="0">
            <wp:extent cx="5273040" cy="7117080"/>
            <wp:effectExtent l="19050" t="0" r="3633" b="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noChangeArrowheads="1"/>
                    </pic:cNvPicPr>
                  </pic:nvPicPr>
                  <pic:blipFill>
                    <a:blip r:embed="rId8" cstate="print"/>
                    <a:srcRect/>
                    <a:stretch>
                      <a:fillRect/>
                    </a:stretch>
                  </pic:blipFill>
                  <pic:spPr>
                    <a:xfrm>
                      <a:off x="0" y="0"/>
                      <a:ext cx="5274310" cy="7118555"/>
                    </a:xfrm>
                    <a:prstGeom prst="rect">
                      <a:avLst/>
                    </a:prstGeom>
                    <a:noFill/>
                    <a:ln w="9525">
                      <a:noFill/>
                      <a:miter lim="800000"/>
                      <a:headEnd/>
                      <a:tailEnd/>
                    </a:ln>
                  </pic:spPr>
                </pic:pic>
              </a:graphicData>
            </a:graphic>
          </wp:inline>
        </w:drawing>
      </w:r>
    </w:p>
    <w:p>
      <w:pPr>
        <w:pStyle w:val="2"/>
      </w:pPr>
    </w:p>
    <w:p>
      <w:pPr>
        <w:pStyle w:val="2"/>
      </w:pPr>
    </w:p>
    <w:p>
      <w:pPr>
        <w:pStyle w:val="2"/>
      </w:pPr>
    </w:p>
    <w:p>
      <w:pPr>
        <w:pStyle w:val="2"/>
      </w:pPr>
    </w:p>
    <w:p>
      <w:pPr>
        <w:pStyle w:val="2"/>
      </w:pPr>
    </w:p>
    <w:p>
      <w:pPr>
        <w:pStyle w:val="2"/>
      </w:pPr>
    </w:p>
    <w:p>
      <w:pPr>
        <w:pStyle w:val="2"/>
      </w:pPr>
      <w:r>
        <w:drawing>
          <wp:inline distT="0" distB="0" distL="0" distR="0">
            <wp:extent cx="5274310" cy="7802880"/>
            <wp:effectExtent l="19050" t="0" r="2540" b="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noChangeArrowheads="1"/>
                    </pic:cNvPicPr>
                  </pic:nvPicPr>
                  <pic:blipFill>
                    <a:blip r:embed="rId9" cstate="print"/>
                    <a:srcRect/>
                    <a:stretch>
                      <a:fillRect/>
                    </a:stretch>
                  </pic:blipFill>
                  <pic:spPr>
                    <a:xfrm>
                      <a:off x="0" y="0"/>
                      <a:ext cx="5274310" cy="7802880"/>
                    </a:xfrm>
                    <a:prstGeom prst="rect">
                      <a:avLst/>
                    </a:prstGeom>
                    <a:noFill/>
                    <a:ln w="9525">
                      <a:noFill/>
                      <a:miter lim="800000"/>
                      <a:headEnd/>
                      <a:tailEnd/>
                    </a:ln>
                  </pic:spPr>
                </pic:pic>
              </a:graphicData>
            </a:graphic>
          </wp:inline>
        </w:drawing>
      </w:r>
    </w:p>
    <w:p>
      <w:pPr>
        <w:pStyle w:val="2"/>
      </w:pPr>
    </w:p>
    <w:p>
      <w:pPr>
        <w:pStyle w:val="2"/>
      </w:pPr>
    </w:p>
    <w:p>
      <w:pPr>
        <w:pStyle w:val="2"/>
      </w:pPr>
    </w:p>
    <w:p>
      <w:pPr>
        <w:pStyle w:val="2"/>
      </w:pPr>
      <w:r>
        <w:drawing>
          <wp:inline distT="0" distB="0" distL="0" distR="0">
            <wp:extent cx="5274310" cy="1395730"/>
            <wp:effectExtent l="19050" t="0" r="2540" b="0"/>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noChangeArrowheads="1"/>
                    </pic:cNvPicPr>
                  </pic:nvPicPr>
                  <pic:blipFill>
                    <a:blip r:embed="rId10" cstate="print"/>
                    <a:srcRect/>
                    <a:stretch>
                      <a:fillRect/>
                    </a:stretch>
                  </pic:blipFill>
                  <pic:spPr>
                    <a:xfrm>
                      <a:off x="0" y="0"/>
                      <a:ext cx="5274310" cy="1396141"/>
                    </a:xfrm>
                    <a:prstGeom prst="rect">
                      <a:avLst/>
                    </a:prstGeom>
                    <a:noFill/>
                    <a:ln w="9525">
                      <a:noFill/>
                      <a:miter lim="800000"/>
                      <a:headEnd/>
                      <a:tailEnd/>
                    </a:ln>
                  </pic:spPr>
                </pic:pic>
              </a:graphicData>
            </a:graphic>
          </wp:inline>
        </w:drawing>
      </w:r>
    </w:p>
    <w:p>
      <w:pPr>
        <w:pStyle w:val="2"/>
      </w:pPr>
    </w:p>
    <w:p>
      <w:pPr>
        <w:pStyle w:val="2"/>
      </w:pPr>
    </w:p>
    <w:p>
      <w:pPr>
        <w:pStyle w:val="2"/>
      </w:pPr>
      <w:r>
        <w:drawing>
          <wp:inline distT="0" distB="0" distL="0" distR="0">
            <wp:extent cx="5274310" cy="1362710"/>
            <wp:effectExtent l="19050" t="0" r="2540" b="0"/>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pic:cNvPicPr>
                      <a:picLocks noChangeAspect="1" noChangeArrowheads="1"/>
                    </pic:cNvPicPr>
                  </pic:nvPicPr>
                  <pic:blipFill>
                    <a:blip r:embed="rId11" cstate="print"/>
                    <a:srcRect/>
                    <a:stretch>
                      <a:fillRect/>
                    </a:stretch>
                  </pic:blipFill>
                  <pic:spPr>
                    <a:xfrm>
                      <a:off x="0" y="0"/>
                      <a:ext cx="5274310" cy="1362858"/>
                    </a:xfrm>
                    <a:prstGeom prst="rect">
                      <a:avLst/>
                    </a:prstGeom>
                    <a:noFill/>
                    <a:ln w="9525">
                      <a:noFill/>
                      <a:miter lim="800000"/>
                      <a:headEnd/>
                      <a:tailEnd/>
                    </a:ln>
                  </pic:spPr>
                </pic:pic>
              </a:graphicData>
            </a:graphic>
          </wp:inline>
        </w:drawing>
      </w:r>
    </w:p>
    <w:p>
      <w:pPr>
        <w:pStyle w:val="2"/>
      </w:pPr>
    </w:p>
    <w:p>
      <w:pPr>
        <w:pStyle w:val="2"/>
      </w:pPr>
    </w:p>
    <w:p>
      <w:pPr>
        <w:pStyle w:val="2"/>
      </w:pPr>
      <w:r>
        <w:drawing>
          <wp:inline distT="0" distB="0" distL="0" distR="0">
            <wp:extent cx="5274310" cy="1339850"/>
            <wp:effectExtent l="19050" t="0" r="0" b="0"/>
            <wp:docPr id="1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9"/>
                    <pic:cNvPicPr>
                      <a:picLocks noChangeAspect="1" noChangeArrowheads="1"/>
                    </pic:cNvPicPr>
                  </pic:nvPicPr>
                  <pic:blipFill>
                    <a:blip r:embed="rId12" cstate="print"/>
                    <a:srcRect/>
                    <a:stretch>
                      <a:fillRect/>
                    </a:stretch>
                  </pic:blipFill>
                  <pic:spPr>
                    <a:xfrm>
                      <a:off x="0" y="0"/>
                      <a:ext cx="5274310" cy="1340082"/>
                    </a:xfrm>
                    <a:prstGeom prst="rect">
                      <a:avLst/>
                    </a:prstGeom>
                    <a:noFill/>
                    <a:ln w="9525">
                      <a:noFill/>
                      <a:miter lim="800000"/>
                      <a:headEnd/>
                      <a:tailEnd/>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jc w:val="center"/>
        <w:rPr>
          <w:rFonts w:ascii="仿宋" w:hAnsi="仿宋" w:eastAsia="仿宋"/>
          <w:sz w:val="32"/>
          <w:szCs w:val="32"/>
        </w:rPr>
      </w:pPr>
      <w:r>
        <w:rPr>
          <w:rFonts w:hint="eastAsia" w:ascii="仿宋" w:hAnsi="仿宋" w:eastAsia="仿宋" w:cs="仿宋"/>
          <w:sz w:val="32"/>
          <w:szCs w:val="32"/>
        </w:rPr>
        <w:t>《项目支出绩效目标表》</w:t>
      </w:r>
    </w:p>
    <w:p>
      <w:pPr>
        <w:pStyle w:val="2"/>
        <w:rPr>
          <w:rFonts w:ascii="仿宋" w:hAnsi="仿宋" w:eastAsia="仿宋" w:cs="仿宋"/>
          <w:sz w:val="32"/>
          <w:szCs w:val="32"/>
        </w:rPr>
      </w:pPr>
      <w:r>
        <w:rPr>
          <w:rFonts w:hint="eastAsia" w:ascii="仿宋" w:hAnsi="仿宋" w:eastAsia="仿宋" w:cs="仿宋"/>
          <w:sz w:val="32"/>
          <w:szCs w:val="32"/>
        </w:rPr>
        <w:t>1、新时代文明实践经费</w:t>
      </w:r>
    </w:p>
    <w:p>
      <w:pPr>
        <w:pStyle w:val="2"/>
        <w:rPr>
          <w:rFonts w:ascii="仿宋" w:hAnsi="仿宋" w:eastAsia="仿宋"/>
          <w:sz w:val="32"/>
          <w:szCs w:val="32"/>
        </w:rPr>
      </w:pPr>
      <w:r>
        <w:rPr>
          <w:szCs w:val="32"/>
        </w:rPr>
        <w:drawing>
          <wp:inline distT="0" distB="0" distL="0" distR="0">
            <wp:extent cx="5274310" cy="6283960"/>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3" cstate="print"/>
                    <a:srcRect/>
                    <a:stretch>
                      <a:fillRect/>
                    </a:stretch>
                  </pic:blipFill>
                  <pic:spPr>
                    <a:xfrm>
                      <a:off x="0" y="0"/>
                      <a:ext cx="5274310" cy="6284017"/>
                    </a:xfrm>
                    <a:prstGeom prst="rect">
                      <a:avLst/>
                    </a:prstGeom>
                    <a:noFill/>
                    <a:ln w="9525">
                      <a:noFill/>
                      <a:miter lim="800000"/>
                      <a:headEnd/>
                      <a:tailEnd/>
                    </a:ln>
                  </pic:spPr>
                </pic:pic>
              </a:graphicData>
            </a:graphic>
          </wp:inline>
        </w:drawing>
      </w: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p>
    <w:p>
      <w:pPr>
        <w:pStyle w:val="2"/>
        <w:rPr>
          <w:rFonts w:ascii="仿宋" w:hAnsi="仿宋" w:eastAsia="仿宋" w:cs="仿宋"/>
          <w:sz w:val="32"/>
          <w:szCs w:val="32"/>
        </w:rPr>
      </w:pPr>
      <w:r>
        <w:rPr>
          <w:rFonts w:hint="eastAsia" w:ascii="仿宋" w:hAnsi="仿宋" w:eastAsia="仿宋" w:cs="仿宋"/>
          <w:sz w:val="32"/>
          <w:szCs w:val="32"/>
        </w:rPr>
        <w:t>2、2022年中央支持地方公共文化服务体系建设</w:t>
      </w:r>
    </w:p>
    <w:p>
      <w:pPr>
        <w:pStyle w:val="2"/>
        <w:rPr>
          <w:rFonts w:ascii="仿宋" w:hAnsi="仿宋" w:eastAsia="仿宋"/>
          <w:sz w:val="32"/>
          <w:szCs w:val="32"/>
        </w:rPr>
      </w:pPr>
      <w:r>
        <w:rPr>
          <w:szCs w:val="32"/>
        </w:rPr>
        <w:drawing>
          <wp:inline distT="0" distB="0" distL="0" distR="0">
            <wp:extent cx="5274310" cy="7550785"/>
            <wp:effectExtent l="19050" t="0" r="254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14" cstate="print"/>
                    <a:srcRect/>
                    <a:stretch>
                      <a:fillRect/>
                    </a:stretch>
                  </pic:blipFill>
                  <pic:spPr>
                    <a:xfrm>
                      <a:off x="0" y="0"/>
                      <a:ext cx="5274310" cy="7550855"/>
                    </a:xfrm>
                    <a:prstGeom prst="rect">
                      <a:avLst/>
                    </a:prstGeom>
                    <a:noFill/>
                    <a:ln w="9525">
                      <a:noFill/>
                      <a:miter lim="800000"/>
                      <a:headEnd/>
                      <a:tailEnd/>
                    </a:ln>
                  </pic:spPr>
                </pic:pic>
              </a:graphicData>
            </a:graphic>
          </wp:inline>
        </w:drawing>
      </w:r>
    </w:p>
    <w:p>
      <w:pPr>
        <w:pStyle w:val="2"/>
        <w:rPr>
          <w:rFonts w:ascii="仿宋" w:hAnsi="仿宋" w:eastAsia="仿宋"/>
          <w:sz w:val="32"/>
          <w:szCs w:val="32"/>
        </w:rPr>
      </w:pPr>
    </w:p>
    <w:p>
      <w:pPr>
        <w:pStyle w:val="2"/>
        <w:rPr>
          <w:rFonts w:ascii="仿宋" w:hAnsi="仿宋" w:eastAsia="仿宋"/>
          <w:sz w:val="32"/>
          <w:szCs w:val="32"/>
        </w:rPr>
      </w:pPr>
      <w:r>
        <w:rPr>
          <w:rFonts w:hint="eastAsia" w:ascii="仿宋" w:hAnsi="仿宋" w:eastAsia="仿宋"/>
          <w:sz w:val="32"/>
          <w:szCs w:val="32"/>
        </w:rPr>
        <w:t>3、</w:t>
      </w:r>
      <w:r>
        <w:rPr>
          <w:rFonts w:hint="eastAsia" w:ascii="仿宋" w:hAnsi="仿宋" w:eastAsia="仿宋" w:cs="仿宋"/>
          <w:sz w:val="32"/>
          <w:szCs w:val="32"/>
        </w:rPr>
        <w:t>融媒体中心运营经费</w:t>
      </w:r>
    </w:p>
    <w:p>
      <w:pPr>
        <w:pStyle w:val="2"/>
      </w:pPr>
      <w:r>
        <w:drawing>
          <wp:inline distT="0" distB="0" distL="0" distR="0">
            <wp:extent cx="5274310" cy="8214360"/>
            <wp:effectExtent l="19050" t="0" r="2540" b="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noChangeArrowheads="1"/>
                    </pic:cNvPicPr>
                  </pic:nvPicPr>
                  <pic:blipFill>
                    <a:blip r:embed="rId15" cstate="print"/>
                    <a:srcRect/>
                    <a:stretch>
                      <a:fillRect/>
                    </a:stretch>
                  </pic:blipFill>
                  <pic:spPr>
                    <a:xfrm>
                      <a:off x="0" y="0"/>
                      <a:ext cx="5274310" cy="8214360"/>
                    </a:xfrm>
                    <a:prstGeom prst="rect">
                      <a:avLst/>
                    </a:prstGeom>
                    <a:noFill/>
                    <a:ln w="9525">
                      <a:noFill/>
                      <a:miter lim="800000"/>
                      <a:headEnd/>
                      <a:tailEnd/>
                    </a:ln>
                  </pic:spPr>
                </pic:pic>
              </a:graphicData>
            </a:graphic>
          </wp:inline>
        </w:drawing>
      </w: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 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各单位结合实际进行解释。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（六）上级补助收入：反映事业单位从主管单位和上级单位取得的非财政补助收入。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（七）使用非财政拨款结余：填列历年滚存的非限定用途的非统计财政拨款结余弥补2021年收支差额的数额。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（八）上年结转和结余：填列2020年全部结转和结余的资金数，包括当年结转结余资金和历年滚存结转结余资金。</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对单位或单位预算中涉及的支出功能分类科目（明细到项级），结合单位实际，参照《XX年政府收支分类科目》的规范说明行解释。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（五）事业单位医疗：反映财政单位集中安排的事业单位基本医疗保险缴费经费。</w:t>
      </w:r>
    </w:p>
    <w:p>
      <w:pPr>
        <w:spacing w:line="560" w:lineRule="exact"/>
        <w:ind w:firstLine="643" w:firstLineChars="200"/>
        <w:rPr>
          <w:rFonts w:ascii="宋体" w:hAnsi="宋体" w:cstheme="minorEastAsia"/>
          <w:b/>
          <w:bCs/>
          <w:color w:val="000000" w:themeColor="text1"/>
          <w:sz w:val="32"/>
          <w:szCs w:val="32"/>
        </w:rPr>
      </w:pPr>
    </w:p>
    <w:p>
      <w:pPr>
        <w:spacing w:line="560" w:lineRule="exact"/>
        <w:rPr>
          <w:rFonts w:ascii="宋体" w:hAnsi="宋体" w:eastAsia="楷体_GB2312" w:cs="楷体_GB2312"/>
          <w:b/>
          <w:bCs/>
          <w:color w:val="000000" w:themeColor="text1"/>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xM2RmNGFhYmMzMGE2NTQ3MWFlYjQzZmZlMTkyZjkifQ=="/>
  </w:docVars>
  <w:rsids>
    <w:rsidRoot w:val="00813A22"/>
    <w:rsid w:val="0001184F"/>
    <w:rsid w:val="000269BD"/>
    <w:rsid w:val="00044B47"/>
    <w:rsid w:val="00093787"/>
    <w:rsid w:val="001211F7"/>
    <w:rsid w:val="001C56E5"/>
    <w:rsid w:val="002642A7"/>
    <w:rsid w:val="00290F23"/>
    <w:rsid w:val="002C0689"/>
    <w:rsid w:val="002C3411"/>
    <w:rsid w:val="00300A3E"/>
    <w:rsid w:val="0031611B"/>
    <w:rsid w:val="003216D9"/>
    <w:rsid w:val="0033041C"/>
    <w:rsid w:val="00355ED6"/>
    <w:rsid w:val="00365395"/>
    <w:rsid w:val="00394D13"/>
    <w:rsid w:val="003B7489"/>
    <w:rsid w:val="003C1A9D"/>
    <w:rsid w:val="00405F99"/>
    <w:rsid w:val="0041066A"/>
    <w:rsid w:val="00436E43"/>
    <w:rsid w:val="00487558"/>
    <w:rsid w:val="00497758"/>
    <w:rsid w:val="004B047E"/>
    <w:rsid w:val="00525F92"/>
    <w:rsid w:val="005757E9"/>
    <w:rsid w:val="00575DFC"/>
    <w:rsid w:val="005815BE"/>
    <w:rsid w:val="005A6A24"/>
    <w:rsid w:val="005A7F5F"/>
    <w:rsid w:val="00621AE4"/>
    <w:rsid w:val="006252A7"/>
    <w:rsid w:val="006B0558"/>
    <w:rsid w:val="006F3D65"/>
    <w:rsid w:val="00710AEE"/>
    <w:rsid w:val="0079286D"/>
    <w:rsid w:val="007F61DB"/>
    <w:rsid w:val="00813A22"/>
    <w:rsid w:val="009060CD"/>
    <w:rsid w:val="009358E4"/>
    <w:rsid w:val="00974223"/>
    <w:rsid w:val="009747C8"/>
    <w:rsid w:val="0098642D"/>
    <w:rsid w:val="009D3B27"/>
    <w:rsid w:val="009F3CD2"/>
    <w:rsid w:val="00A43AE7"/>
    <w:rsid w:val="00A47583"/>
    <w:rsid w:val="00A87AC3"/>
    <w:rsid w:val="00AB7B43"/>
    <w:rsid w:val="00AE269A"/>
    <w:rsid w:val="00AE30E6"/>
    <w:rsid w:val="00B06C99"/>
    <w:rsid w:val="00B54460"/>
    <w:rsid w:val="00B579E4"/>
    <w:rsid w:val="00BE15B3"/>
    <w:rsid w:val="00C100A9"/>
    <w:rsid w:val="00C36C37"/>
    <w:rsid w:val="00C61710"/>
    <w:rsid w:val="00C62BDB"/>
    <w:rsid w:val="00C65BB1"/>
    <w:rsid w:val="00C93348"/>
    <w:rsid w:val="00CA2497"/>
    <w:rsid w:val="00CC779F"/>
    <w:rsid w:val="00CE35BB"/>
    <w:rsid w:val="00DC51D8"/>
    <w:rsid w:val="00DD579E"/>
    <w:rsid w:val="00E22155"/>
    <w:rsid w:val="00E87E0F"/>
    <w:rsid w:val="00ED5E35"/>
    <w:rsid w:val="00EF2017"/>
    <w:rsid w:val="00F41A0D"/>
    <w:rsid w:val="00F56CEC"/>
    <w:rsid w:val="00F93229"/>
    <w:rsid w:val="00FC46DE"/>
    <w:rsid w:val="0DE167A5"/>
    <w:rsid w:val="763A60E9"/>
    <w:rsid w:val="7AB85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semiHidden/>
    <w:unhideWhenUsed/>
    <w:qFormat/>
    <w:uiPriority w:val="99"/>
    <w:pPr>
      <w:spacing w:after="120"/>
    </w:pPr>
  </w:style>
  <w:style w:type="paragraph" w:styleId="3">
    <w:name w:val="Balloon Text"/>
    <w:basedOn w:val="1"/>
    <w:link w:val="13"/>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font21"/>
    <w:basedOn w:val="7"/>
    <w:qFormat/>
    <w:uiPriority w:val="0"/>
    <w:rPr>
      <w:rFonts w:hint="eastAsia" w:ascii="宋体" w:hAnsi="宋体" w:eastAsia="宋体" w:cs="宋体"/>
      <w:color w:val="000000"/>
      <w:sz w:val="24"/>
      <w:szCs w:val="24"/>
      <w:u w:val="none"/>
    </w:rPr>
  </w:style>
  <w:style w:type="character" w:customStyle="1" w:styleId="9">
    <w:name w:val="font01"/>
    <w:basedOn w:val="7"/>
    <w:qFormat/>
    <w:uiPriority w:val="0"/>
    <w:rPr>
      <w:rFonts w:hint="default" w:ascii="Times New Roman" w:hAnsi="Times New Roman" w:cs="Times New Roman"/>
      <w:color w:val="000000"/>
      <w:sz w:val="24"/>
      <w:szCs w:val="24"/>
      <w:u w:val="none"/>
    </w:rPr>
  </w:style>
  <w:style w:type="character" w:customStyle="1" w:styleId="10">
    <w:name w:val="正文文本 Char"/>
    <w:basedOn w:val="7"/>
    <w:link w:val="2"/>
    <w:semiHidden/>
    <w:qFormat/>
    <w:uiPriority w:val="99"/>
    <w:rPr>
      <w:szCs w:val="24"/>
    </w:rPr>
  </w:style>
  <w:style w:type="character" w:customStyle="1" w:styleId="11">
    <w:name w:val="页眉 Char"/>
    <w:basedOn w:val="7"/>
    <w:link w:val="5"/>
    <w:semiHidden/>
    <w:qFormat/>
    <w:uiPriority w:val="99"/>
    <w:rPr>
      <w:sz w:val="18"/>
      <w:szCs w:val="18"/>
    </w:rPr>
  </w:style>
  <w:style w:type="character" w:customStyle="1" w:styleId="12">
    <w:name w:val="页脚 Char"/>
    <w:basedOn w:val="7"/>
    <w:link w:val="4"/>
    <w:semiHidden/>
    <w:qFormat/>
    <w:uiPriority w:val="99"/>
    <w:rPr>
      <w:sz w:val="18"/>
      <w:szCs w:val="18"/>
    </w:rPr>
  </w:style>
  <w:style w:type="character" w:customStyle="1" w:styleId="13">
    <w:name w:val="批注框文本 Char"/>
    <w:basedOn w:val="7"/>
    <w:link w:val="3"/>
    <w:semiHidden/>
    <w:qFormat/>
    <w:uiPriority w:val="99"/>
    <w:rPr>
      <w:sz w:val="18"/>
      <w:szCs w:val="18"/>
    </w:rPr>
  </w:style>
  <w:style w:type="character" w:customStyle="1" w:styleId="14">
    <w:name w:val="row_tree_level_4"/>
    <w:basedOn w:val="7"/>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emf"/><Relationship Id="rId8" Type="http://schemas.openxmlformats.org/officeDocument/2006/relationships/image" Target="media/image5.emf"/><Relationship Id="rId7" Type="http://schemas.openxmlformats.org/officeDocument/2006/relationships/image" Target="media/image4.emf"/><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image" Target="media/image12.emf"/><Relationship Id="rId14" Type="http://schemas.openxmlformats.org/officeDocument/2006/relationships/image" Target="media/image11.emf"/><Relationship Id="rId13" Type="http://schemas.openxmlformats.org/officeDocument/2006/relationships/image" Target="media/image10.emf"/><Relationship Id="rId12" Type="http://schemas.openxmlformats.org/officeDocument/2006/relationships/image" Target="media/image9.emf"/><Relationship Id="rId11" Type="http://schemas.openxmlformats.org/officeDocument/2006/relationships/image" Target="media/image8.emf"/><Relationship Id="rId10" Type="http://schemas.openxmlformats.org/officeDocument/2006/relationships/image" Target="media/image7.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18</Pages>
  <Words>2920</Words>
  <Characters>3227</Characters>
  <Lines>24</Lines>
  <Paragraphs>6</Paragraphs>
  <TotalTime>0</TotalTime>
  <ScaleCrop>false</ScaleCrop>
  <LinksUpToDate>false</LinksUpToDate>
  <CharactersWithSpaces>3246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2023-07-19T07:58:00Z</dcterms:created>
  <dc:creator>user12</dc:creator>
  <cp:lastModifiedBy>李甘顺</cp:lastModifiedBy>
  <cp:lastPrinted>2023-07-19T07:21:00Z</cp:lastPrinted>
  <dcterms:modified xsi:type="dcterms:W3CDTF">2023-07-19T08:12:26Z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A2B9512D57384B03B9B4C383E555BAEB</vt:lpwstr>
  </property>
</Properties>
</file>