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2024年工作总结及2025年工作计划</w:t>
      </w:r>
    </w:p>
    <w:p>
      <w:pPr>
        <w:pStyle w:val="8"/>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val="0"/>
          <w:bCs/>
          <w:sz w:val="30"/>
          <w:szCs w:val="30"/>
          <w:lang w:val="en-US" w:eastAsia="zh-CN"/>
        </w:rPr>
      </w:pPr>
    </w:p>
    <w:p>
      <w:pPr>
        <w:pStyle w:val="8"/>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val="0"/>
          <w:bCs/>
          <w:sz w:val="30"/>
          <w:szCs w:val="30"/>
          <w:lang w:val="en-US" w:eastAsia="zh-CN"/>
        </w:rPr>
      </w:pPr>
      <w:r>
        <w:rPr>
          <w:rFonts w:hint="eastAsia" w:ascii="楷体" w:hAnsi="楷体" w:eastAsia="楷体" w:cs="楷体"/>
          <w:b w:val="0"/>
          <w:bCs/>
          <w:sz w:val="30"/>
          <w:szCs w:val="30"/>
          <w:lang w:val="en-US" w:eastAsia="zh-CN"/>
        </w:rPr>
        <w:t>兴国县财政局</w:t>
      </w:r>
    </w:p>
    <w:p>
      <w:pPr>
        <w:pStyle w:val="8"/>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val="0"/>
          <w:bCs/>
          <w:sz w:val="30"/>
          <w:szCs w:val="30"/>
          <w:lang w:val="en-US" w:eastAsia="zh-CN"/>
        </w:rPr>
      </w:pPr>
    </w:p>
    <w:p>
      <w:pPr>
        <w:pStyle w:val="14"/>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一、主要工作情况及特色亮点</w:t>
      </w:r>
    </w:p>
    <w:p>
      <w:pPr>
        <w:keepNext w:val="0"/>
        <w:keepLines w:val="0"/>
        <w:pageBreakBefore w:val="0"/>
        <w:widowControl w:val="0"/>
        <w:numPr>
          <w:ilvl w:val="0"/>
          <w:numId w:val="1"/>
        </w:numPr>
        <w:kinsoku/>
        <w:wordWrap/>
        <w:topLinePunct w:val="0"/>
        <w:autoSpaceDE/>
        <w:autoSpaceDN/>
        <w:bidi w:val="0"/>
        <w:adjustRightInd/>
        <w:snapToGrid/>
        <w:spacing w:line="560" w:lineRule="exact"/>
        <w:ind w:left="640" w:leftChars="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获得荣誉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2023年度财政衔接推进乡村振兴补助资金绩效评价考核“A级”等次，全省排名第一。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color w:val="000000"/>
          <w:spacing w:val="0"/>
          <w:kern w:val="0"/>
          <w:sz w:val="32"/>
          <w:szCs w:val="32"/>
          <w:lang w:val="en-US" w:eastAsia="zh-CN" w:bidi="ar"/>
        </w:rPr>
        <w:t>202</w:t>
      </w:r>
      <w:r>
        <w:rPr>
          <w:rFonts w:hint="eastAsia" w:ascii="仿宋_GB2312" w:hAnsi="仿宋_GB2312" w:cs="仿宋_GB2312"/>
          <w:b w:val="0"/>
          <w:bCs w:val="0"/>
          <w:color w:val="000000"/>
          <w:spacing w:val="0"/>
          <w:kern w:val="0"/>
          <w:sz w:val="32"/>
          <w:szCs w:val="32"/>
          <w:lang w:val="en-US" w:eastAsia="zh-CN" w:bidi="ar"/>
        </w:rPr>
        <w:t>3</w:t>
      </w:r>
      <w:r>
        <w:rPr>
          <w:rFonts w:hint="eastAsia" w:ascii="仿宋_GB2312" w:hAnsi="仿宋_GB2312" w:eastAsia="仿宋_GB2312" w:cs="仿宋_GB2312"/>
          <w:b w:val="0"/>
          <w:bCs w:val="0"/>
          <w:color w:val="000000"/>
          <w:spacing w:val="0"/>
          <w:kern w:val="0"/>
          <w:sz w:val="32"/>
          <w:szCs w:val="32"/>
          <w:lang w:val="en-US" w:eastAsia="zh-CN" w:bidi="ar"/>
        </w:rPr>
        <w:t>年度全省财政系统信息宣传工作优秀单位。</w:t>
      </w:r>
    </w:p>
    <w:p>
      <w:pPr>
        <w:keepNext w:val="0"/>
        <w:keepLines w:val="0"/>
        <w:pageBreakBefore w:val="0"/>
        <w:widowControl w:val="0"/>
        <w:numPr>
          <w:ilvl w:val="0"/>
          <w:numId w:val="1"/>
        </w:numPr>
        <w:kinsoku/>
        <w:wordWrap/>
        <w:topLinePunct w:val="0"/>
        <w:autoSpaceDE/>
        <w:autoSpaceDN/>
        <w:bidi w:val="0"/>
        <w:adjustRightInd/>
        <w:snapToGrid/>
        <w:spacing w:line="560" w:lineRule="exact"/>
        <w:ind w:left="640" w:leftChars="0" w:firstLine="0" w:firstLineChars="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主要工作情况及特色亮点</w:t>
      </w:r>
    </w:p>
    <w:p>
      <w:pPr>
        <w:pStyle w:val="15"/>
        <w:keepNext w:val="0"/>
        <w:keepLines w:val="0"/>
        <w:pageBreakBefore w:val="0"/>
        <w:widowControl w:val="0"/>
        <w:kinsoku/>
        <w:wordWrap/>
        <w:topLinePunct w:val="0"/>
        <w:autoSpaceDE/>
        <w:autoSpaceDN/>
        <w:bidi w:val="0"/>
        <w:snapToGrid/>
        <w:spacing w:line="560" w:lineRule="exact"/>
        <w:ind w:firstLine="640"/>
        <w:rPr>
          <w:rFonts w:hint="eastAsia" w:ascii="仿宋_GB2312" w:hAnsi="仿宋_GB2312" w:eastAsia="仿宋_GB2312" w:cs="仿宋_GB2312"/>
          <w:kern w:val="0"/>
          <w:sz w:val="32"/>
          <w:szCs w:val="32"/>
        </w:rPr>
      </w:pPr>
      <w:r>
        <w:rPr>
          <w:rFonts w:hint="eastAsia" w:ascii="楷体" w:hAnsi="楷体" w:eastAsia="楷体" w:cs="楷体"/>
          <w:b/>
          <w:bCs/>
          <w:kern w:val="0"/>
          <w:sz w:val="32"/>
          <w:szCs w:val="32"/>
          <w:highlight w:val="none"/>
          <w:lang w:val="en-US" w:eastAsia="zh-CN"/>
        </w:rPr>
        <w:t>1.挖潜增收，财政收入保持平稳增长。</w:t>
      </w:r>
      <w:r>
        <w:rPr>
          <w:rFonts w:hint="eastAsia" w:ascii="仿宋_GB2312" w:hAnsi="仿宋_GB2312" w:eastAsia="仿宋_GB2312" w:cs="仿宋_GB2312"/>
          <w:kern w:val="0"/>
          <w:sz w:val="32"/>
          <w:szCs w:val="32"/>
        </w:rPr>
        <w:t>1-11月，一般公共预算收入完成10.61亿元，占年初预算的93.7%，同比增收0.22亿元、增长2.1%，全市二类县排名第三，一般公共预算收入税收占比58.5%。一般公共预算支出67.42亿元，占年初预算的112.2%，同比增长17.2%。民生类支出57.53亿元，占一般公共预算支出的85.3%。</w:t>
      </w:r>
    </w:p>
    <w:p>
      <w:pPr>
        <w:pStyle w:val="15"/>
        <w:keepNext w:val="0"/>
        <w:keepLines w:val="0"/>
        <w:pageBreakBefore w:val="0"/>
        <w:widowControl w:val="0"/>
        <w:kinsoku/>
        <w:wordWrap/>
        <w:topLinePunct w:val="0"/>
        <w:autoSpaceDE/>
        <w:autoSpaceDN/>
        <w:bidi w:val="0"/>
        <w:snapToGrid/>
        <w:spacing w:line="560" w:lineRule="exact"/>
        <w:ind w:firstLine="64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全年预测一般公共预算收入11.32亿元，完成年初预算11.32亿元的100%。一般公共预算支出71.26亿元，比年初预算60.08亿元增支11.18亿元，完成年初预算的118.6%，其中：民生类支出占一般公共预算支出达83%以上。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bottom"/>
        <w:rPr>
          <w:rFonts w:hint="eastAsia" w:ascii="仿宋_GB2312" w:hAnsi="仿宋_GB2312" w:eastAsia="仿宋_GB2312" w:cs="仿宋_GB2312"/>
          <w:kern w:val="0"/>
          <w:sz w:val="32"/>
          <w:szCs w:val="32"/>
          <w:highlight w:val="yellow"/>
          <w:lang w:val="en-US" w:eastAsia="zh-CN"/>
        </w:rPr>
      </w:pPr>
      <w:r>
        <w:rPr>
          <w:rFonts w:hint="eastAsia" w:ascii="楷体" w:hAnsi="楷体" w:eastAsia="楷体" w:cs="楷体"/>
          <w:b/>
          <w:bCs/>
          <w:kern w:val="0"/>
          <w:sz w:val="32"/>
          <w:szCs w:val="32"/>
          <w:highlight w:val="none"/>
          <w:lang w:val="en-US" w:eastAsia="zh-CN"/>
        </w:rPr>
        <w:t>2.精准调度，积极财政政策落地见效。</w:t>
      </w:r>
      <w:r>
        <w:rPr>
          <w:rFonts w:hint="eastAsia" w:ascii="仿宋_GB2312" w:hAnsi="仿宋_GB2312" w:eastAsia="仿宋_GB2312" w:cs="仿宋_GB2312"/>
          <w:b/>
          <w:bCs/>
          <w:i w:val="0"/>
          <w:iCs w:val="0"/>
          <w:kern w:val="0"/>
          <w:sz w:val="32"/>
          <w:szCs w:val="32"/>
          <w:highlight w:val="none"/>
          <w:lang w:val="en-US" w:eastAsia="zh-CN"/>
        </w:rPr>
        <w:t>用好地方政府债券、增发国债、超长期特别国债等政策</w:t>
      </w:r>
      <w:r>
        <w:rPr>
          <w:rFonts w:hint="eastAsia" w:ascii="仿宋_GB2312" w:hAnsi="仿宋_GB2312" w:eastAsia="仿宋_GB2312" w:cs="仿宋_GB2312"/>
          <w:b w:val="0"/>
          <w:bCs w:val="0"/>
          <w:i w:val="0"/>
          <w:iCs w:val="0"/>
          <w:kern w:val="0"/>
          <w:sz w:val="32"/>
          <w:szCs w:val="32"/>
          <w:highlight w:val="none"/>
          <w:lang w:val="en-US" w:eastAsia="zh-CN"/>
        </w:rPr>
        <w:t>，</w:t>
      </w:r>
      <w:r>
        <w:rPr>
          <w:rFonts w:hint="eastAsia" w:ascii="仿宋_GB2312" w:hAnsi="仿宋_GB2312" w:eastAsia="仿宋_GB2312" w:cs="仿宋_GB2312"/>
          <w:b w:val="0"/>
          <w:bCs w:val="0"/>
          <w:kern w:val="0"/>
          <w:sz w:val="32"/>
          <w:szCs w:val="32"/>
          <w:highlight w:val="none"/>
          <w:lang w:val="en-US" w:eastAsia="zh-CN"/>
        </w:rPr>
        <w:t>2024年</w:t>
      </w:r>
      <w:r>
        <w:rPr>
          <w:rFonts w:hint="eastAsia" w:ascii="仿宋_GB2312" w:hAnsi="仿宋_GB2312" w:eastAsia="仿宋_GB2312" w:cs="仿宋_GB2312"/>
          <w:b w:val="0"/>
          <w:bCs w:val="0"/>
          <w:i w:val="0"/>
          <w:iCs w:val="0"/>
          <w:kern w:val="0"/>
          <w:sz w:val="32"/>
          <w:szCs w:val="32"/>
          <w:highlight w:val="none"/>
          <w:lang w:val="en-US" w:eastAsia="zh-CN"/>
        </w:rPr>
        <w:t>，全县共向上争取各类财政资金75亿元，同比增长21%，其中：新增一般债券2.1万元、新增专项债券9.7亿元、增发国债资金9.39亿元、超长期特别国债资金2.44亿元，其他转移支付资金51.37亿元,有力支持县域重大项目建设。</w:t>
      </w:r>
      <w:r>
        <w:rPr>
          <w:rFonts w:hint="eastAsia" w:ascii="仿宋_GB2312" w:hAnsi="仿宋_GB2312" w:eastAsia="仿宋_GB2312" w:cs="仿宋_GB2312"/>
          <w:b/>
          <w:bCs/>
          <w:i w:val="0"/>
          <w:iCs w:val="0"/>
          <w:kern w:val="0"/>
          <w:sz w:val="32"/>
          <w:szCs w:val="32"/>
          <w:highlight w:val="none"/>
          <w:lang w:val="en-US" w:eastAsia="zh-CN"/>
        </w:rPr>
        <w:t>积极推进财政政策与金融、产业等政策协同发力</w:t>
      </w:r>
      <w:r>
        <w:rPr>
          <w:rFonts w:hint="eastAsia" w:ascii="仿宋_GB2312" w:hAnsi="仿宋_GB2312" w:eastAsia="仿宋_GB2312" w:cs="仿宋_GB2312"/>
          <w:kern w:val="0"/>
          <w:sz w:val="32"/>
          <w:szCs w:val="32"/>
          <w:highlight w:val="none"/>
          <w:lang w:val="en-US" w:eastAsia="zh-CN"/>
        </w:rPr>
        <w:t>，截至11月底，</w:t>
      </w:r>
      <w:r>
        <w:rPr>
          <w:rFonts w:hint="eastAsia" w:ascii="仿宋_GB2312" w:hAnsi="仿宋_GB2312" w:eastAsia="仿宋_GB2312" w:cs="仿宋_GB2312"/>
          <w:kern w:val="0"/>
          <w:sz w:val="32"/>
          <w:szCs w:val="32"/>
          <w:highlight w:val="none"/>
        </w:rPr>
        <w:t>“财园信贷通”</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小微信贷通</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创业担保贷款</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发放贷款8.07亿元，同比增长13.5%。</w:t>
      </w:r>
      <w:r>
        <w:rPr>
          <w:rFonts w:hint="eastAsia" w:ascii="仿宋_GB2312" w:hAnsi="仿宋_GB2312" w:eastAsia="仿宋_GB2312" w:cs="仿宋_GB2312"/>
          <w:b w:val="0"/>
          <w:bCs w:val="0"/>
          <w:sz w:val="32"/>
          <w:szCs w:val="40"/>
          <w:lang w:val="en-US" w:eastAsia="zh-CN"/>
        </w:rPr>
        <w:t>通过“惠企资金池”兑现3187家企业及个人各类奖补资金2.92亿元，同比增长45%，</w:t>
      </w:r>
      <w:r>
        <w:rPr>
          <w:rFonts w:hint="eastAsia" w:ascii="仿宋_GB2312" w:hAnsi="仿宋_GB2312" w:eastAsia="仿宋_GB2312" w:cs="仿宋_GB2312"/>
          <w:kern w:val="0"/>
          <w:sz w:val="32"/>
          <w:szCs w:val="32"/>
          <w:highlight w:val="none"/>
          <w:lang w:val="en-US" w:eastAsia="zh-CN"/>
        </w:rPr>
        <w:t>为市场主体</w:t>
      </w:r>
      <w:r>
        <w:rPr>
          <w:rFonts w:hint="eastAsia" w:ascii="仿宋_GB2312" w:hAnsi="仿宋_GB2312" w:eastAsia="仿宋_GB2312" w:cs="仿宋_GB2312"/>
          <w:kern w:val="0"/>
          <w:sz w:val="32"/>
          <w:szCs w:val="32"/>
          <w:highlight w:val="none"/>
        </w:rPr>
        <w:t>增添发展动力。</w:t>
      </w:r>
      <w:r>
        <w:rPr>
          <w:rFonts w:hint="eastAsia" w:ascii="仿宋_GB2312" w:hAnsi="仿宋_GB2312" w:eastAsia="仿宋_GB2312" w:cs="仿宋_GB2312"/>
          <w:b/>
          <w:bCs/>
          <w:kern w:val="0"/>
          <w:sz w:val="32"/>
          <w:szCs w:val="32"/>
          <w:highlight w:val="none"/>
          <w:lang w:val="en-US" w:eastAsia="zh-CN"/>
        </w:rPr>
        <w:t>加力实施商贸消费提级政策</w:t>
      </w:r>
      <w:r>
        <w:rPr>
          <w:rFonts w:hint="eastAsia" w:ascii="仿宋_GB2312" w:hAnsi="仿宋_GB2312" w:eastAsia="仿宋_GB2312" w:cs="仿宋_GB2312"/>
          <w:b w:val="0"/>
          <w:bCs w:val="0"/>
          <w:kern w:val="0"/>
          <w:sz w:val="32"/>
          <w:szCs w:val="32"/>
          <w:highlight w:val="none"/>
          <w:lang w:val="en-US" w:eastAsia="zh-CN"/>
        </w:rPr>
        <w:t>，春节、五一、端午、中秋等假期累计</w:t>
      </w:r>
      <w:r>
        <w:rPr>
          <w:rFonts w:hint="eastAsia" w:ascii="仿宋_GB2312" w:hAnsi="仿宋_GB2312" w:eastAsia="仿宋_GB2312" w:cs="仿宋_GB2312"/>
          <w:color w:val="000000"/>
          <w:spacing w:val="6"/>
          <w:sz w:val="32"/>
          <w:szCs w:val="32"/>
          <w:highlight w:val="none"/>
        </w:rPr>
        <w:t>拨付</w:t>
      </w:r>
      <w:r>
        <w:rPr>
          <w:rFonts w:hint="eastAsia" w:ascii="仿宋_GB2312" w:hAnsi="仿宋_GB2312" w:eastAsia="仿宋_GB2312" w:cs="仿宋_GB2312"/>
          <w:kern w:val="0"/>
          <w:sz w:val="32"/>
          <w:szCs w:val="32"/>
          <w:highlight w:val="none"/>
        </w:rPr>
        <w:t>促</w:t>
      </w:r>
      <w:r>
        <w:rPr>
          <w:rFonts w:hint="eastAsia" w:ascii="仿宋_GB2312" w:hAnsi="仿宋_GB2312" w:eastAsia="仿宋_GB2312" w:cs="仿宋_GB2312"/>
          <w:kern w:val="0"/>
          <w:sz w:val="32"/>
          <w:szCs w:val="32"/>
          <w:highlight w:val="none"/>
          <w:lang w:val="en-US" w:eastAsia="zh-CN"/>
        </w:rPr>
        <w:t>消</w:t>
      </w:r>
      <w:r>
        <w:rPr>
          <w:rFonts w:hint="eastAsia" w:ascii="仿宋_GB2312" w:hAnsi="仿宋_GB2312" w:eastAsia="仿宋_GB2312" w:cs="仿宋_GB2312"/>
          <w:kern w:val="0"/>
          <w:sz w:val="32"/>
          <w:szCs w:val="32"/>
          <w:highlight w:val="none"/>
        </w:rPr>
        <w:t>费</w:t>
      </w:r>
      <w:r>
        <w:rPr>
          <w:rFonts w:hint="eastAsia" w:ascii="仿宋_GB2312" w:hAnsi="仿宋_GB2312" w:eastAsia="仿宋_GB2312" w:cs="仿宋_GB2312"/>
          <w:kern w:val="0"/>
          <w:sz w:val="32"/>
          <w:szCs w:val="32"/>
          <w:highlight w:val="none"/>
          <w:lang w:val="en-US" w:eastAsia="zh-CN"/>
        </w:rPr>
        <w:t>奖补</w:t>
      </w:r>
      <w:r>
        <w:rPr>
          <w:rFonts w:hint="eastAsia" w:ascii="仿宋_GB2312" w:hAnsi="仿宋_GB2312" w:eastAsia="仿宋_GB2312" w:cs="仿宋_GB2312"/>
          <w:kern w:val="0"/>
          <w:sz w:val="32"/>
          <w:szCs w:val="32"/>
          <w:highlight w:val="none"/>
        </w:rPr>
        <w:t>资金</w:t>
      </w:r>
      <w:r>
        <w:rPr>
          <w:rFonts w:hint="eastAsia" w:ascii="仿宋_GB2312" w:hAnsi="仿宋_GB2312" w:eastAsia="仿宋_GB2312" w:cs="仿宋_GB2312"/>
          <w:kern w:val="0"/>
          <w:sz w:val="32"/>
          <w:szCs w:val="32"/>
          <w:highlight w:val="none"/>
          <w:lang w:val="en-US" w:eastAsia="zh-CN"/>
        </w:rPr>
        <w:t>548</w:t>
      </w:r>
      <w:r>
        <w:rPr>
          <w:rFonts w:hint="eastAsia" w:ascii="仿宋_GB2312" w:hAnsi="仿宋_GB2312" w:eastAsia="仿宋_GB2312" w:cs="仿宋_GB2312"/>
          <w:kern w:val="0"/>
          <w:sz w:val="32"/>
          <w:szCs w:val="32"/>
          <w:highlight w:val="none"/>
        </w:rPr>
        <w:t>万元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发放汽车、摩托车、电动车、家装厨卫等消费品补贴0.2亿元，为消费市场企稳回升提供有力支撑。</w:t>
      </w:r>
    </w:p>
    <w:p>
      <w:pPr>
        <w:pStyle w:val="9"/>
        <w:keepNext w:val="0"/>
        <w:keepLines w:val="0"/>
        <w:pageBreakBefore w:val="0"/>
        <w:widowControl w:val="0"/>
        <w:numPr>
          <w:ilvl w:val="-1"/>
          <w:numId w:val="0"/>
        </w:numPr>
        <w:kinsoku/>
        <w:wordWrap/>
        <w:overflowPunct w:val="0"/>
        <w:topLinePunct w:val="0"/>
        <w:autoSpaceDE/>
        <w:autoSpaceDN/>
        <w:bidi w:val="0"/>
        <w:adjustRightInd/>
        <w:snapToGrid/>
        <w:spacing w:line="560" w:lineRule="exact"/>
        <w:ind w:left="0" w:leftChars="0" w:firstLine="642" w:firstLineChars="200"/>
        <w:textAlignment w:val="auto"/>
        <w:rPr>
          <w:rFonts w:hint="default" w:ascii="仿宋_GB2312" w:hAnsi="仿宋_GB2312" w:eastAsia="仿宋_GB2312" w:cs="仿宋_GB2312"/>
          <w:bCs/>
          <w:sz w:val="32"/>
          <w:szCs w:val="32"/>
          <w:highlight w:val="none"/>
          <w:lang w:val="en-US" w:eastAsia="zh-CN"/>
        </w:rPr>
      </w:pPr>
      <w:r>
        <w:rPr>
          <w:rFonts w:hint="eastAsia" w:ascii="楷体" w:hAnsi="楷体" w:eastAsia="楷体" w:cs="楷体"/>
          <w:b/>
          <w:bCs/>
          <w:kern w:val="0"/>
          <w:sz w:val="32"/>
          <w:szCs w:val="32"/>
          <w:highlight w:val="none"/>
          <w:lang w:val="en-US" w:eastAsia="zh-CN"/>
        </w:rPr>
        <w:t>3.聚焦重点，民生领域支出有力有效。</w:t>
      </w:r>
      <w:r>
        <w:rPr>
          <w:rFonts w:hint="eastAsia" w:ascii="仿宋_GB2312" w:hAnsi="仿宋_GB2312" w:eastAsia="仿宋_GB2312" w:cs="仿宋_GB2312"/>
          <w:b/>
          <w:bCs w:val="0"/>
          <w:sz w:val="32"/>
          <w:szCs w:val="32"/>
          <w:highlight w:val="none"/>
          <w:lang w:val="en-US" w:eastAsia="zh-CN"/>
        </w:rPr>
        <w:t>坚持就业优先战略</w:t>
      </w:r>
      <w:r>
        <w:rPr>
          <w:rFonts w:hint="eastAsia" w:ascii="仿宋_GB2312" w:hAnsi="仿宋_GB2312" w:eastAsia="仿宋_GB2312" w:cs="仿宋_GB2312"/>
          <w:bCs/>
          <w:sz w:val="32"/>
          <w:szCs w:val="32"/>
          <w:highlight w:val="none"/>
          <w:lang w:val="en-US" w:eastAsia="zh-CN"/>
        </w:rPr>
        <w:t>，发放创业担保贷款4.42亿元，同比增长25.2%，发放职业培训补贴、社会保险补贴、公益性岗位补贴等就业相关补贴0.43亿元。</w:t>
      </w:r>
      <w:r>
        <w:rPr>
          <w:rFonts w:hint="eastAsia" w:ascii="仿宋_GB2312" w:hAnsi="仿宋_GB2312" w:eastAsia="仿宋_GB2312" w:cs="仿宋_GB2312"/>
          <w:b/>
          <w:bCs/>
          <w:kern w:val="0"/>
          <w:sz w:val="32"/>
          <w:szCs w:val="32"/>
          <w:highlight w:val="none"/>
          <w:lang w:val="en-US" w:eastAsia="zh-CN"/>
        </w:rPr>
        <w:t>持续推进乡村振兴</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截至11月底，扶贫832平台销售额达979万元，同比增长13.7%。</w:t>
      </w:r>
      <w:r>
        <w:rPr>
          <w:rFonts w:hint="eastAsia" w:ascii="仿宋" w:hAnsi="仿宋" w:eastAsia="仿宋" w:cs="仿宋"/>
          <w:spacing w:val="0"/>
          <w:kern w:val="2"/>
          <w:sz w:val="32"/>
          <w:szCs w:val="32"/>
          <w:lang w:val="en-US" w:eastAsia="zh-CN" w:bidi="ar-SA"/>
        </w:rPr>
        <w:t>围绕“135”现代农业产业发展布局，聚焦扩面、提质、补链，</w:t>
      </w:r>
      <w:r>
        <w:rPr>
          <w:rFonts w:hint="eastAsia" w:ascii="仿宋" w:hAnsi="仿宋" w:eastAsia="仿宋" w:cs="仿宋"/>
          <w:b w:val="0"/>
          <w:bCs w:val="0"/>
          <w:spacing w:val="0"/>
          <w:sz w:val="32"/>
          <w:szCs w:val="32"/>
          <w:lang w:val="en-US" w:eastAsia="zh-CN"/>
        </w:rPr>
        <w:t>筹集并拨付</w:t>
      </w:r>
      <w:r>
        <w:rPr>
          <w:rFonts w:hint="eastAsia" w:ascii="仿宋" w:hAnsi="仿宋" w:eastAsia="仿宋" w:cs="仿宋"/>
          <w:b w:val="0"/>
          <w:bCs w:val="0"/>
          <w:kern w:val="2"/>
          <w:sz w:val="32"/>
          <w:szCs w:val="32"/>
          <w:lang w:val="en-US" w:eastAsia="zh-CN" w:bidi="ar-SA"/>
        </w:rPr>
        <w:t>资金2805.8万元，</w:t>
      </w:r>
      <w:r>
        <w:rPr>
          <w:rFonts w:hint="eastAsia" w:ascii="仿宋" w:hAnsi="仿宋" w:eastAsia="仿宋" w:cs="仿宋"/>
          <w:spacing w:val="0"/>
          <w:kern w:val="2"/>
          <w:sz w:val="32"/>
          <w:szCs w:val="32"/>
          <w:lang w:val="en-US" w:eastAsia="zh-CN" w:bidi="ar-SA"/>
        </w:rPr>
        <w:t>助力富硒蔬菜、灰鹅、油菜、脐橙等特色产业高质量发展。</w:t>
      </w:r>
      <w:r>
        <w:rPr>
          <w:rFonts w:hint="eastAsia" w:ascii="仿宋_GB2312" w:hAnsi="仿宋_GB2312" w:eastAsia="仿宋_GB2312" w:cs="仿宋_GB2312"/>
          <w:b/>
          <w:bCs/>
          <w:kern w:val="0"/>
          <w:sz w:val="32"/>
          <w:szCs w:val="32"/>
          <w:highlight w:val="none"/>
          <w:lang w:val="en-US" w:eastAsia="zh-CN"/>
        </w:rPr>
        <w:t>加快养老服务体系建设</w:t>
      </w:r>
      <w:r>
        <w:rPr>
          <w:rFonts w:hint="eastAsia" w:ascii="仿宋_GB2312" w:hAnsi="仿宋_GB2312" w:eastAsia="仿宋_GB2312" w:cs="仿宋_GB2312"/>
          <w:kern w:val="0"/>
          <w:sz w:val="32"/>
          <w:szCs w:val="32"/>
          <w:highlight w:val="none"/>
          <w:lang w:val="en-US" w:eastAsia="zh-CN"/>
        </w:rPr>
        <w:t>，截至11月底，城乡居民基础养老金总支出2.6亿元，发放高龄失能老年人福利补贴0.23亿元，投入0.1亿元政府专项债券用于乡镇养老设施建设。安排居家养老站点建设经费、民办养老机构床位运营补贴、县级集中照护机构护理补贴资金451余万元。</w:t>
      </w:r>
      <w:r>
        <w:rPr>
          <w:rFonts w:hint="eastAsia" w:ascii="仿宋_GB2312" w:hAnsi="仿宋_GB2312" w:eastAsia="仿宋_GB2312" w:cs="仿宋_GB2312"/>
          <w:b/>
          <w:bCs/>
          <w:kern w:val="0"/>
          <w:sz w:val="32"/>
          <w:szCs w:val="32"/>
          <w:highlight w:val="none"/>
          <w:lang w:val="en-US" w:eastAsia="zh-CN"/>
        </w:rPr>
        <w:t>抓好特殊、困难群众兜底保障</w:t>
      </w:r>
      <w:r>
        <w:rPr>
          <w:rFonts w:hint="eastAsia" w:ascii="仿宋_GB2312" w:hAnsi="仿宋_GB2312" w:eastAsia="仿宋_GB2312" w:cs="仿宋_GB2312"/>
          <w:b w:val="0"/>
          <w:bCs w:val="0"/>
          <w:kern w:val="0"/>
          <w:sz w:val="32"/>
          <w:szCs w:val="32"/>
          <w:highlight w:val="none"/>
          <w:lang w:val="en-US" w:eastAsia="zh-CN"/>
        </w:rPr>
        <w:t>，</w:t>
      </w:r>
      <w:r>
        <w:rPr>
          <w:rFonts w:hint="eastAsia" w:ascii="仿宋_GB2312" w:hAnsi="仿宋_GB2312" w:eastAsia="仿宋_GB2312" w:cs="仿宋_GB2312"/>
          <w:sz w:val="32"/>
          <w:szCs w:val="32"/>
          <w:highlight w:val="none"/>
        </w:rPr>
        <w:t>拨付</w:t>
      </w:r>
      <w:r>
        <w:rPr>
          <w:rFonts w:hint="eastAsia" w:ascii="仿宋_GB2312" w:hAnsi="仿宋_GB2312" w:eastAsia="仿宋_GB2312" w:cs="仿宋_GB2312"/>
          <w:sz w:val="32"/>
          <w:szCs w:val="32"/>
          <w:highlight w:val="none"/>
          <w:lang w:val="en-US" w:eastAsia="zh-CN"/>
        </w:rPr>
        <w:t>城乡居民、特殊儿童群体最低生活保障金1.93亿元、特困人员救助供养补助0.4亿元、残疾人补贴0.22亿元，</w:t>
      </w:r>
      <w:r>
        <w:rPr>
          <w:rFonts w:hint="eastAsia" w:ascii="仿宋_GB2312" w:hAnsi="仿宋_GB2312" w:eastAsia="仿宋_GB2312" w:cs="仿宋_GB2312"/>
          <w:bCs/>
          <w:sz w:val="32"/>
          <w:szCs w:val="32"/>
          <w:highlight w:val="none"/>
        </w:rPr>
        <w:t>安排优抚对象抚恤补助资金</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义务兵家庭优待金、退役安置支出等资金0.82亿元。</w:t>
      </w:r>
      <w:r>
        <w:rPr>
          <w:rFonts w:hint="eastAsia" w:ascii="仿宋_GB2312" w:hAnsi="仿宋_GB2312" w:eastAsia="仿宋_GB2312" w:cs="仿宋_GB2312"/>
          <w:b/>
          <w:bCs w:val="0"/>
          <w:sz w:val="32"/>
          <w:szCs w:val="32"/>
          <w:highlight w:val="none"/>
          <w:lang w:val="en-US" w:eastAsia="zh-CN"/>
        </w:rPr>
        <w:t>支持教育高质量发展</w:t>
      </w:r>
      <w:r>
        <w:rPr>
          <w:rFonts w:hint="eastAsia" w:ascii="仿宋_GB2312" w:hAnsi="仿宋_GB2312" w:eastAsia="仿宋_GB2312" w:cs="仿宋_GB2312"/>
          <w:bCs/>
          <w:sz w:val="32"/>
          <w:szCs w:val="32"/>
          <w:highlight w:val="none"/>
          <w:lang w:val="en-US" w:eastAsia="zh-CN"/>
        </w:rPr>
        <w:t>，为学前教育、义务教育、普通高中、中职教育学生提供生活补助及免除学杂费0.56亿元，农村义务教育学生营养餐补助支出0.43亿元。</w:t>
      </w:r>
    </w:p>
    <w:p>
      <w:pPr>
        <w:keepNext w:val="0"/>
        <w:keepLines w:val="0"/>
        <w:pageBreakBefore w:val="0"/>
        <w:widowControl w:val="0"/>
        <w:kinsoku/>
        <w:wordWrap/>
        <w:topLinePunct w:val="0"/>
        <w:autoSpaceDE/>
        <w:autoSpaceDN/>
        <w:bidi w:val="0"/>
        <w:spacing w:line="560" w:lineRule="exact"/>
        <w:ind w:firstLine="803" w:firstLineChars="250"/>
        <w:jc w:val="left"/>
        <w:rPr>
          <w:rFonts w:hint="eastAsia" w:ascii="仿宋" w:hAnsi="仿宋" w:eastAsia="仿宋" w:cs="仿宋"/>
          <w:sz w:val="32"/>
          <w:szCs w:val="32"/>
          <w:lang w:val="en-US" w:eastAsia="zh-CN"/>
        </w:rPr>
      </w:pPr>
      <w:r>
        <w:rPr>
          <w:rFonts w:hint="eastAsia" w:ascii="楷体" w:hAnsi="楷体" w:eastAsia="楷体" w:cs="楷体"/>
          <w:b/>
          <w:bCs/>
          <w:kern w:val="0"/>
          <w:sz w:val="32"/>
          <w:szCs w:val="32"/>
          <w:highlight w:val="none"/>
          <w:lang w:val="en-US" w:eastAsia="zh-CN"/>
        </w:rPr>
        <w:t>4.强化监管，财政管理更加科学规范。</w:t>
      </w:r>
      <w:r>
        <w:rPr>
          <w:rFonts w:hint="eastAsia" w:ascii="仿宋_GB2312" w:hAnsi="仿宋_GB2312" w:eastAsia="仿宋_GB2312" w:cs="仿宋_GB2312"/>
          <w:b/>
          <w:bCs/>
          <w:kern w:val="0"/>
          <w:sz w:val="32"/>
          <w:szCs w:val="32"/>
          <w:lang w:eastAsia="zh-CN"/>
        </w:rPr>
        <w:t>抓牢</w:t>
      </w:r>
      <w:r>
        <w:rPr>
          <w:rFonts w:hint="eastAsia" w:ascii="仿宋_GB2312" w:hAnsi="仿宋_GB2312" w:eastAsia="仿宋_GB2312" w:cs="仿宋_GB2312"/>
          <w:b/>
          <w:bCs/>
          <w:kern w:val="0"/>
          <w:sz w:val="32"/>
          <w:szCs w:val="32"/>
        </w:rPr>
        <w:t>“三保”</w:t>
      </w:r>
      <w:r>
        <w:rPr>
          <w:rFonts w:hint="eastAsia" w:ascii="仿宋_GB2312" w:hAnsi="仿宋_GB2312" w:eastAsia="仿宋_GB2312" w:cs="仿宋_GB2312"/>
          <w:b/>
          <w:bCs/>
          <w:kern w:val="0"/>
          <w:sz w:val="32"/>
          <w:szCs w:val="32"/>
          <w:lang w:eastAsia="zh-CN"/>
        </w:rPr>
        <w:t>兜底线，</w:t>
      </w:r>
      <w:r>
        <w:rPr>
          <w:rFonts w:hint="eastAsia" w:ascii="仿宋_GB2312" w:hAnsi="仿宋_GB2312" w:eastAsia="仿宋_GB2312" w:cs="仿宋_GB2312"/>
          <w:kern w:val="0"/>
          <w:sz w:val="32"/>
          <w:szCs w:val="32"/>
          <w:highlight w:val="none"/>
        </w:rPr>
        <w:t>1-11月，全县“三保”支出27.03亿元，占一般公共预算支出的40.1%，其中：保工资15.2亿元、保运转0.92亿元、保民生10.91亿元。</w:t>
      </w:r>
      <w:r>
        <w:rPr>
          <w:rFonts w:hint="eastAsia" w:ascii="仿宋_GB2312" w:hAnsi="仿宋_GB2312" w:eastAsia="仿宋_GB2312" w:cs="仿宋_GB2312"/>
          <w:b/>
          <w:bCs/>
          <w:kern w:val="0"/>
          <w:sz w:val="32"/>
          <w:szCs w:val="32"/>
          <w:lang w:val="en-US" w:eastAsia="zh-CN"/>
        </w:rPr>
        <w:t>加强项目预结算评审</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val="0"/>
          <w:bCs w:val="0"/>
          <w:kern w:val="0"/>
          <w:sz w:val="32"/>
          <w:szCs w:val="32"/>
          <w:lang w:eastAsia="zh-CN"/>
        </w:rPr>
        <w:t>截至</w:t>
      </w:r>
      <w:r>
        <w:rPr>
          <w:rFonts w:hint="eastAsia" w:ascii="仿宋_GB2312" w:hAnsi="仿宋_GB2312" w:eastAsia="仿宋_GB2312" w:cs="仿宋_GB2312"/>
          <w:b w:val="0"/>
          <w:bCs w:val="0"/>
          <w:kern w:val="0"/>
          <w:sz w:val="32"/>
          <w:szCs w:val="32"/>
          <w:lang w:val="en-US" w:eastAsia="zh-CN"/>
        </w:rPr>
        <w:t>11月，</w:t>
      </w:r>
      <w:r>
        <w:rPr>
          <w:rFonts w:hint="eastAsia" w:ascii="仿宋" w:hAnsi="仿宋" w:eastAsia="仿宋" w:cs="仿宋"/>
          <w:sz w:val="32"/>
          <w:szCs w:val="32"/>
        </w:rPr>
        <w:t>完成投资</w:t>
      </w:r>
      <w:r>
        <w:rPr>
          <w:rFonts w:hint="eastAsia" w:ascii="仿宋" w:hAnsi="仿宋" w:eastAsia="仿宋" w:cs="仿宋"/>
          <w:sz w:val="32"/>
          <w:szCs w:val="32"/>
          <w:lang w:val="en-US" w:eastAsia="zh-CN"/>
        </w:rPr>
        <w:t>项目282个</w:t>
      </w:r>
      <w:r>
        <w:rPr>
          <w:rFonts w:hint="eastAsia" w:ascii="仿宋" w:hAnsi="仿宋" w:eastAsia="仿宋" w:cs="仿宋"/>
          <w:sz w:val="32"/>
          <w:szCs w:val="32"/>
        </w:rPr>
        <w:t>，其中:预算评审</w:t>
      </w:r>
      <w:r>
        <w:rPr>
          <w:rFonts w:hint="eastAsia" w:ascii="仿宋" w:hAnsi="仿宋" w:eastAsia="仿宋" w:cs="仿宋"/>
          <w:sz w:val="32"/>
          <w:szCs w:val="32"/>
          <w:lang w:val="en-US" w:eastAsia="zh-CN"/>
        </w:rPr>
        <w:t>131个</w:t>
      </w:r>
      <w:r>
        <w:rPr>
          <w:rFonts w:hint="eastAsia" w:ascii="仿宋" w:hAnsi="仿宋" w:eastAsia="仿宋" w:cs="仿宋"/>
          <w:sz w:val="32"/>
          <w:szCs w:val="32"/>
        </w:rPr>
        <w:t>，送审预算总价</w:t>
      </w:r>
      <w:r>
        <w:rPr>
          <w:rFonts w:hint="eastAsia" w:ascii="仿宋" w:hAnsi="仿宋" w:eastAsia="仿宋" w:cs="仿宋"/>
          <w:sz w:val="32"/>
          <w:szCs w:val="32"/>
          <w:lang w:val="en-US" w:eastAsia="zh-CN"/>
        </w:rPr>
        <w:t>32.70</w:t>
      </w:r>
      <w:r>
        <w:rPr>
          <w:rFonts w:hint="eastAsia" w:ascii="仿宋" w:hAnsi="仿宋" w:eastAsia="仿宋" w:cs="仿宋"/>
          <w:sz w:val="32"/>
          <w:szCs w:val="32"/>
        </w:rPr>
        <w:t>亿元，审核后财审控制价</w:t>
      </w:r>
      <w:r>
        <w:rPr>
          <w:rFonts w:hint="eastAsia" w:ascii="仿宋" w:hAnsi="仿宋" w:eastAsia="仿宋" w:cs="仿宋"/>
          <w:sz w:val="32"/>
          <w:szCs w:val="32"/>
          <w:lang w:val="en-US" w:eastAsia="zh-CN"/>
        </w:rPr>
        <w:t>28.62</w:t>
      </w:r>
      <w:r>
        <w:rPr>
          <w:rFonts w:hint="eastAsia" w:ascii="仿宋" w:hAnsi="仿宋" w:eastAsia="仿宋" w:cs="仿宋"/>
          <w:sz w:val="32"/>
          <w:szCs w:val="32"/>
        </w:rPr>
        <w:t>亿元，平均节约率1</w:t>
      </w:r>
      <w:r>
        <w:rPr>
          <w:rFonts w:hint="eastAsia" w:ascii="仿宋" w:hAnsi="仿宋" w:eastAsia="仿宋" w:cs="仿宋"/>
          <w:sz w:val="32"/>
          <w:szCs w:val="32"/>
          <w:lang w:val="en-US" w:eastAsia="zh-CN"/>
        </w:rPr>
        <w:t>2.47</w:t>
      </w:r>
      <w:r>
        <w:rPr>
          <w:rFonts w:hint="eastAsia" w:ascii="仿宋" w:hAnsi="仿宋" w:eastAsia="仿宋" w:cs="仿宋"/>
          <w:sz w:val="32"/>
          <w:szCs w:val="32"/>
        </w:rPr>
        <w:t>%；完成结算</w:t>
      </w:r>
      <w:r>
        <w:rPr>
          <w:rFonts w:hint="eastAsia" w:ascii="仿宋" w:hAnsi="仿宋" w:eastAsia="仿宋" w:cs="仿宋"/>
          <w:sz w:val="32"/>
          <w:szCs w:val="32"/>
          <w:lang w:val="en-US" w:eastAsia="zh-CN"/>
        </w:rPr>
        <w:t>项目88个</w:t>
      </w:r>
      <w:r>
        <w:rPr>
          <w:rFonts w:hint="eastAsia" w:ascii="仿宋" w:hAnsi="仿宋" w:eastAsia="仿宋" w:cs="仿宋"/>
          <w:sz w:val="32"/>
          <w:szCs w:val="32"/>
        </w:rPr>
        <w:t>，送审结算总价</w:t>
      </w:r>
      <w:r>
        <w:rPr>
          <w:rFonts w:hint="eastAsia" w:ascii="仿宋" w:hAnsi="仿宋" w:eastAsia="仿宋" w:cs="仿宋"/>
          <w:sz w:val="32"/>
          <w:szCs w:val="32"/>
          <w:lang w:val="en-US" w:eastAsia="zh-CN"/>
        </w:rPr>
        <w:t>5.83</w:t>
      </w:r>
      <w:r>
        <w:rPr>
          <w:rFonts w:hint="eastAsia" w:ascii="仿宋" w:hAnsi="仿宋" w:eastAsia="仿宋" w:cs="仿宋"/>
          <w:sz w:val="32"/>
          <w:szCs w:val="32"/>
        </w:rPr>
        <w:t>亿元，审核后财审结算总价</w:t>
      </w:r>
      <w:r>
        <w:rPr>
          <w:rFonts w:hint="eastAsia" w:ascii="仿宋" w:hAnsi="仿宋" w:eastAsia="仿宋" w:cs="仿宋"/>
          <w:sz w:val="32"/>
          <w:szCs w:val="32"/>
          <w:lang w:val="en-US" w:eastAsia="zh-CN"/>
        </w:rPr>
        <w:t>5.17</w:t>
      </w:r>
      <w:r>
        <w:rPr>
          <w:rFonts w:hint="eastAsia" w:ascii="仿宋" w:hAnsi="仿宋" w:eastAsia="仿宋" w:cs="仿宋"/>
          <w:sz w:val="32"/>
          <w:szCs w:val="32"/>
        </w:rPr>
        <w:t>亿元，平均核减率</w:t>
      </w:r>
      <w:r>
        <w:rPr>
          <w:rFonts w:hint="eastAsia" w:ascii="仿宋" w:hAnsi="仿宋" w:eastAsia="仿宋" w:cs="仿宋"/>
          <w:sz w:val="32"/>
          <w:szCs w:val="32"/>
          <w:lang w:val="en-US" w:eastAsia="zh-CN"/>
        </w:rPr>
        <w:t>11.32</w:t>
      </w:r>
      <w:r>
        <w:rPr>
          <w:rFonts w:hint="eastAsia" w:ascii="仿宋" w:hAnsi="仿宋" w:eastAsia="仿宋" w:cs="仿宋"/>
          <w:sz w:val="32"/>
          <w:szCs w:val="32"/>
        </w:rPr>
        <w:t>%。</w:t>
      </w:r>
      <w:r>
        <w:rPr>
          <w:rFonts w:hint="eastAsia" w:ascii="仿宋_GB2312" w:hAnsi="仿宋_GB2312" w:eastAsia="仿宋_GB2312" w:cs="仿宋_GB2312"/>
          <w:b/>
          <w:bCs/>
          <w:kern w:val="0"/>
          <w:sz w:val="32"/>
          <w:szCs w:val="32"/>
          <w:highlight w:val="none"/>
          <w:lang w:val="en-US" w:eastAsia="zh-CN"/>
        </w:rPr>
        <w:t>加大财会监督力度，</w:t>
      </w:r>
      <w:r>
        <w:rPr>
          <w:rFonts w:hint="eastAsia" w:ascii="仿宋" w:hAnsi="仿宋" w:eastAsia="仿宋" w:cs="仿宋"/>
          <w:sz w:val="32"/>
          <w:szCs w:val="32"/>
          <w:lang w:val="en-US" w:eastAsia="zh-CN"/>
        </w:rPr>
        <w:t>集中整治乡镇财政资金领域不正之风和腐败问题，推动问题整改，完善了全县差旅费、会议费、培训费等经费管理办法，成立财政监管组对各乡镇及县直机关开展全覆盖监督检查。</w:t>
      </w:r>
      <w:r>
        <w:rPr>
          <w:rFonts w:hint="eastAsia" w:ascii="仿宋_GB2312" w:hAnsi="仿宋_GB2312" w:eastAsia="仿宋_GB2312" w:cs="仿宋_GB2312"/>
          <w:b/>
          <w:bCs/>
          <w:kern w:val="0"/>
          <w:sz w:val="32"/>
          <w:szCs w:val="32"/>
        </w:rPr>
        <w:t>强化债务风险</w:t>
      </w:r>
      <w:r>
        <w:rPr>
          <w:rFonts w:hint="eastAsia" w:ascii="仿宋_GB2312" w:hAnsi="仿宋_GB2312" w:eastAsia="仿宋_GB2312" w:cs="仿宋_GB2312"/>
          <w:b/>
          <w:bCs/>
          <w:kern w:val="0"/>
          <w:sz w:val="32"/>
          <w:szCs w:val="32"/>
          <w:lang w:val="en-US" w:eastAsia="zh-CN"/>
        </w:rPr>
        <w:t>管控</w:t>
      </w:r>
      <w:r>
        <w:rPr>
          <w:rFonts w:hint="eastAsia" w:ascii="仿宋_GB2312" w:hAnsi="仿宋_GB2312" w:eastAsia="仿宋_GB2312" w:cs="仿宋_GB2312"/>
          <w:b/>
          <w:bCs/>
          <w:kern w:val="0"/>
          <w:sz w:val="32"/>
          <w:szCs w:val="32"/>
          <w:lang w:eastAsia="zh-CN"/>
        </w:rPr>
        <w:t>，</w:t>
      </w:r>
      <w:r>
        <w:rPr>
          <w:rFonts w:hint="eastAsia" w:ascii="仿宋" w:hAnsi="仿宋" w:eastAsia="仿宋" w:cs="仿宋"/>
          <w:sz w:val="32"/>
          <w:szCs w:val="32"/>
          <w:lang w:val="en-US" w:eastAsia="zh-CN"/>
        </w:rPr>
        <w:t>通过预算安排资金、盘活存量资源资产、置换存量隐性债务、利用企业经营性收入偿还等方式，稳妥有序化解存量债务，我县政府债务安全可控，风险处于合理区间。</w:t>
      </w:r>
    </w:p>
    <w:p>
      <w:pPr>
        <w:pStyle w:val="4"/>
        <w:keepNext w:val="0"/>
        <w:keepLines w:val="0"/>
        <w:pageBreakBefore w:val="0"/>
        <w:widowControl w:val="0"/>
        <w:numPr>
          <w:ilvl w:val="0"/>
          <w:numId w:val="0"/>
        </w:numPr>
        <w:kinsoku/>
        <w:wordWrap/>
        <w:topLinePunct w:val="0"/>
        <w:autoSpaceDE/>
        <w:autoSpaceDN/>
        <w:bidi w:val="0"/>
        <w:snapToGrid/>
        <w:spacing w:line="560" w:lineRule="exact"/>
        <w:ind w:left="640" w:leftChars="0"/>
        <w:jc w:val="both"/>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val="en-US" w:eastAsia="zh-CN"/>
        </w:rPr>
        <w:t>二、存在的困难及问题</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lang w:val="en-US" w:eastAsia="zh-CN" w:bidi="ar"/>
        </w:rPr>
      </w:pPr>
      <w:r>
        <w:rPr>
          <w:rFonts w:hint="eastAsia" w:ascii="楷体" w:hAnsi="楷体" w:eastAsia="楷体" w:cs="楷体"/>
          <w:b/>
          <w:bCs/>
          <w:sz w:val="32"/>
          <w:szCs w:val="32"/>
          <w:highlight w:val="none"/>
          <w:lang w:val="en-US" w:eastAsia="zh-CN" w:bidi="ar"/>
        </w:rPr>
        <w:t>（一）稳增长压力较大。</w:t>
      </w:r>
      <w:r>
        <w:rPr>
          <w:rFonts w:hint="eastAsia" w:ascii="仿宋_GB2312" w:hAnsi="仿宋_GB2312" w:eastAsia="仿宋_GB2312" w:cs="仿宋_GB2312"/>
          <w:sz w:val="32"/>
          <w:szCs w:val="32"/>
          <w:highlight w:val="none"/>
          <w:lang w:val="en-US" w:eastAsia="zh-CN" w:bidi="ar"/>
        </w:rPr>
        <w:t>去年保障房过户、疫情缓缴政策到期等一次性税收因素对今年形成较高的收入基数。1-11月，地方税收收入完成6.21亿元，距年初预算目标约有1亿元缺口，同比下降6.3%，一般公共预算收入税收占比（小税比）仅58.5%，较去年同期下降5.3个百分点，收入质量不高的问题较为突出。同时，省财政厅已将部分非税收入占一般公共预算收入的比重纳入考核，限制非税收入入库，保持财政收入持续平稳增长的压力较大。</w:t>
      </w:r>
    </w:p>
    <w:p>
      <w:pPr>
        <w:keepNext w:val="0"/>
        <w:keepLines w:val="0"/>
        <w:pageBreakBefore w:val="0"/>
        <w:widowControl w:val="0"/>
        <w:kinsoku/>
        <w:wordWrap/>
        <w:overflowPunct/>
        <w:topLinePunct w:val="0"/>
        <w:autoSpaceDE/>
        <w:autoSpaceDN/>
        <w:bidi w:val="0"/>
        <w:adjustRightInd/>
        <w:snapToGrid/>
        <w:spacing w:line="560" w:lineRule="exact"/>
        <w:ind w:left="0" w:right="0" w:firstLine="639"/>
        <w:textAlignment w:val="bottom"/>
        <w:rPr>
          <w:rFonts w:hint="eastAsia" w:ascii="仿宋_GB2312" w:hAnsi="仿宋_GB2312" w:eastAsia="仿宋_GB2312" w:cs="仿宋_GB2312"/>
          <w:color w:val="auto"/>
          <w:spacing w:val="0"/>
          <w:kern w:val="2"/>
          <w:sz w:val="32"/>
          <w:szCs w:val="32"/>
          <w:highlight w:val="yellow"/>
          <w:lang w:val="zh-CN" w:eastAsia="zh-CN" w:bidi="ar-SA"/>
        </w:rPr>
      </w:pPr>
      <w:r>
        <w:rPr>
          <w:rFonts w:hint="eastAsia" w:ascii="楷体" w:hAnsi="楷体" w:eastAsia="楷体" w:cs="楷体"/>
          <w:b/>
          <w:bCs/>
          <w:sz w:val="32"/>
          <w:szCs w:val="32"/>
          <w:highlight w:val="none"/>
          <w:lang w:val="en-US" w:eastAsia="zh-CN" w:bidi="ar"/>
        </w:rPr>
        <w:t>（二）市场预期仍然偏弱。</w:t>
      </w:r>
      <w:r>
        <w:rPr>
          <w:rFonts w:hint="eastAsia" w:ascii="仿宋_GB2312" w:hAnsi="仿宋_GB2312" w:eastAsia="仿宋_GB2312" w:cs="仿宋_GB2312"/>
          <w:b/>
          <w:bCs/>
          <w:color w:val="auto"/>
          <w:spacing w:val="0"/>
          <w:kern w:val="2"/>
          <w:sz w:val="32"/>
          <w:szCs w:val="32"/>
          <w:lang w:val="en-US" w:eastAsia="zh-CN" w:bidi="ar-SA"/>
        </w:rPr>
        <w:t>一是</w:t>
      </w:r>
      <w:r>
        <w:rPr>
          <w:rFonts w:hint="eastAsia" w:ascii="仿宋_GB2312" w:hAnsi="仿宋_GB2312" w:eastAsia="仿宋_GB2312" w:cs="仿宋_GB2312"/>
          <w:b w:val="0"/>
          <w:bCs w:val="0"/>
          <w:color w:val="auto"/>
          <w:spacing w:val="0"/>
          <w:kern w:val="2"/>
          <w:sz w:val="32"/>
          <w:szCs w:val="32"/>
          <w:lang w:val="en-US" w:eastAsia="zh-CN" w:bidi="ar-SA"/>
        </w:rPr>
        <w:t>土地市场需求疲乏无力。1-11月，全县土地出让收入完成4.2亿元，仅完成年初预算目标的70%</w:t>
      </w:r>
      <w:r>
        <w:rPr>
          <w:rFonts w:hint="eastAsia" w:ascii="仿宋_GB2312" w:hAnsi="仿宋_GB2312" w:eastAsia="仿宋_GB2312" w:cs="仿宋_GB2312"/>
          <w:color w:val="auto"/>
          <w:spacing w:val="0"/>
          <w:kern w:val="2"/>
          <w:sz w:val="32"/>
          <w:szCs w:val="32"/>
          <w:highlight w:val="none"/>
          <w:lang w:val="en-US" w:eastAsia="zh-CN" w:bidi="ar-SA"/>
        </w:rPr>
        <w:t>；房地产开发投资额12.87亿元，同比下降5.2%；新建商品房销售面积30.03万㎡，同比下降13.7%；房地产业税收完成1.79亿元，同比下降43.5%。</w:t>
      </w:r>
      <w:r>
        <w:rPr>
          <w:rFonts w:hint="eastAsia" w:ascii="仿宋_GB2312" w:hAnsi="仿宋_GB2312" w:eastAsia="仿宋_GB2312" w:cs="仿宋_GB2312"/>
          <w:b/>
          <w:bCs/>
          <w:color w:val="auto"/>
          <w:spacing w:val="0"/>
          <w:kern w:val="2"/>
          <w:sz w:val="32"/>
          <w:szCs w:val="32"/>
          <w:lang w:val="en-US" w:eastAsia="zh-CN" w:bidi="ar-SA"/>
        </w:rPr>
        <w:t>二是</w:t>
      </w:r>
      <w:r>
        <w:rPr>
          <w:rFonts w:hint="eastAsia" w:ascii="仿宋_GB2312" w:hAnsi="仿宋_GB2312" w:eastAsia="仿宋_GB2312" w:cs="仿宋_GB2312"/>
          <w:color w:val="auto"/>
          <w:spacing w:val="0"/>
          <w:kern w:val="2"/>
          <w:sz w:val="32"/>
          <w:szCs w:val="32"/>
          <w:lang w:val="en-US" w:eastAsia="zh-CN" w:bidi="ar-SA"/>
        </w:rPr>
        <w:t>实体企业市场活跃不够。</w:t>
      </w:r>
      <w:r>
        <w:rPr>
          <w:rFonts w:hint="eastAsia" w:ascii="仿宋_GB2312" w:hAnsi="仿宋_GB2312" w:eastAsia="仿宋_GB2312" w:cs="仿宋_GB2312"/>
          <w:sz w:val="32"/>
          <w:szCs w:val="32"/>
          <w:highlight w:val="none"/>
          <w:lang w:val="en-US" w:eastAsia="zh-CN" w:bidi="ar"/>
        </w:rPr>
        <w:t>1-11月，全县新登记经营主体4981户，同比下降21.6%；注（吊）销经营主体4981户，同比增长3.8%；小微信贷通发放贷款0.38亿元，同比下降7.7%，反映小微企业和个体市场表现低迷。</w:t>
      </w:r>
    </w:p>
    <w:p>
      <w:pPr>
        <w:keepNext w:val="0"/>
        <w:keepLines w:val="0"/>
        <w:pageBreakBefore w:val="0"/>
        <w:widowControl w:val="0"/>
        <w:kinsoku/>
        <w:wordWrap/>
        <w:topLinePunct w:val="0"/>
        <w:autoSpaceDE/>
        <w:autoSpaceDN/>
        <w:bidi w:val="0"/>
        <w:spacing w:line="560" w:lineRule="exact"/>
        <w:ind w:firstLine="642" w:firstLineChars="200"/>
        <w:rPr>
          <w:rFonts w:hint="eastAsia" w:ascii="仿宋_GB2312" w:hAnsi="仿宋_GB2312" w:eastAsia="仿宋_GB2312" w:cs="仿宋_GB2312"/>
          <w:sz w:val="32"/>
          <w:szCs w:val="32"/>
          <w:highlight w:val="none"/>
          <w:lang w:val="en-US" w:eastAsia="zh-CN" w:bidi="ar"/>
        </w:rPr>
      </w:pPr>
      <w:r>
        <w:rPr>
          <w:rFonts w:hint="eastAsia" w:ascii="楷体" w:hAnsi="楷体" w:eastAsia="楷体" w:cs="楷体"/>
          <w:b/>
          <w:bCs/>
          <w:sz w:val="32"/>
          <w:szCs w:val="32"/>
          <w:highlight w:val="none"/>
          <w:lang w:val="en-US" w:eastAsia="zh-CN" w:bidi="ar"/>
        </w:rPr>
        <w:t>（三）财政紧平衡状态仍将持续。</w:t>
      </w:r>
      <w:r>
        <w:rPr>
          <w:rFonts w:hint="eastAsia" w:ascii="仿宋_GB2312" w:hAnsi="仿宋_GB2312" w:eastAsia="仿宋_GB2312" w:cs="仿宋_GB2312"/>
          <w:sz w:val="32"/>
          <w:szCs w:val="32"/>
          <w:highlight w:val="none"/>
          <w:lang w:val="en-US" w:eastAsia="zh-CN" w:bidi="ar"/>
        </w:rPr>
        <w:t>财政收入增速放缓，政府债务进入还本高峰期，“三保”、民生投入、债务还本等刚性支出需求持续增长。我县一般公共预算收入11亿元左右，上级下达的财力性转移支付约20亿元，只能堪堪覆盖“三保”支出需求。因财力有限，隐性债务化解及PPP政府付费等支出需要，极易形成财政支出硬缺口。考虑到中央转移支付增量有限、土地市场低迷、盘活存量空间缩减等因素，全县财政收支矛盾依然较为突出。</w:t>
      </w:r>
    </w:p>
    <w:p>
      <w:pPr>
        <w:pStyle w:val="15"/>
        <w:keepNext w:val="0"/>
        <w:keepLines w:val="0"/>
        <w:pageBreakBefore w:val="0"/>
        <w:widowControl w:val="0"/>
        <w:kinsoku/>
        <w:wordWrap/>
        <w:topLinePunct w:val="0"/>
        <w:autoSpaceDE/>
        <w:autoSpaceDN/>
        <w:bidi w:val="0"/>
        <w:snapToGrid/>
        <w:spacing w:line="560" w:lineRule="exact"/>
        <w:ind w:firstLine="640" w:firstLineChars="200"/>
        <w:rPr>
          <w:rFonts w:hint="default"/>
          <w:lang w:val="en-US" w:eastAsia="zh-CN"/>
        </w:rPr>
      </w:pPr>
      <w:r>
        <w:rPr>
          <w:rFonts w:hint="eastAsia" w:ascii="黑体" w:hAnsi="黑体" w:eastAsia="黑体" w:cs="黑体"/>
          <w:kern w:val="0"/>
          <w:sz w:val="32"/>
          <w:szCs w:val="32"/>
          <w:highlight w:val="none"/>
          <w:lang w:val="en-US" w:eastAsia="zh-CN" w:bidi="ar-SA"/>
        </w:rPr>
        <w:t>三、2025年工作计划</w:t>
      </w:r>
    </w:p>
    <w:p>
      <w:pPr>
        <w:pStyle w:val="15"/>
        <w:keepNext w:val="0"/>
        <w:keepLines w:val="0"/>
        <w:pageBreakBefore w:val="0"/>
        <w:widowControl w:val="0"/>
        <w:numPr>
          <w:ilvl w:val="0"/>
          <w:numId w:val="0"/>
        </w:numPr>
        <w:kinsoku/>
        <w:wordWrap/>
        <w:overflowPunct/>
        <w:topLinePunct w:val="0"/>
        <w:autoSpaceDE/>
        <w:autoSpaceDN/>
        <w:bidi w:val="0"/>
        <w:snapToGrid/>
        <w:spacing w:line="560" w:lineRule="exact"/>
        <w:ind w:firstLine="642" w:firstLineChars="200"/>
        <w:rPr>
          <w:rFonts w:hint="default" w:ascii="仿宋_GB2312" w:hAnsi="仿宋_GB2312" w:eastAsia="仿宋_GB2312" w:cs="仿宋_GB2312"/>
          <w:kern w:val="0"/>
          <w:sz w:val="32"/>
          <w:szCs w:val="32"/>
          <w:lang w:val="en-US" w:eastAsia="zh-CN"/>
        </w:rPr>
      </w:pPr>
      <w:r>
        <w:rPr>
          <w:rFonts w:hint="eastAsia" w:ascii="楷体" w:hAnsi="楷体" w:eastAsia="楷体" w:cs="楷体"/>
          <w:b/>
          <w:bCs/>
          <w:kern w:val="0"/>
          <w:sz w:val="32"/>
          <w:szCs w:val="32"/>
          <w:lang w:val="en-US" w:eastAsia="zh-CN" w:bidi="ar-SA"/>
        </w:rPr>
        <w:t>（一）全力推动财政平稳运行。</w:t>
      </w:r>
      <w:r>
        <w:rPr>
          <w:rFonts w:hint="eastAsia" w:ascii="仿宋_GB2312" w:hAnsi="仿宋_GB2312" w:eastAsia="仿宋_GB2312" w:cs="仿宋_GB2312"/>
          <w:b/>
          <w:bCs/>
          <w:kern w:val="0"/>
          <w:sz w:val="32"/>
          <w:szCs w:val="32"/>
          <w:lang w:val="en-US" w:eastAsia="zh-CN" w:bidi="ar-SA"/>
        </w:rPr>
        <w:t>一是加大综合治税力度。</w:t>
      </w:r>
      <w:r>
        <w:rPr>
          <w:rFonts w:hint="eastAsia" w:ascii="仿宋_GB2312" w:hAnsi="仿宋_GB2312" w:eastAsia="仿宋_GB2312" w:cs="仿宋_GB2312"/>
          <w:kern w:val="0"/>
          <w:sz w:val="32"/>
          <w:szCs w:val="32"/>
        </w:rPr>
        <w:t>强化部门配合，进一步拓宽涉税信息采集范围，做好重点项目、重点行业的税源监测分析，</w:t>
      </w:r>
      <w:r>
        <w:rPr>
          <w:rFonts w:hint="eastAsia" w:ascii="仿宋_GB2312" w:hAnsi="仿宋_GB2312" w:eastAsia="仿宋_GB2312" w:cs="仿宋_GB2312"/>
          <w:kern w:val="0"/>
          <w:sz w:val="32"/>
          <w:szCs w:val="32"/>
          <w:lang w:val="en-US" w:eastAsia="zh-CN"/>
        </w:rPr>
        <w:t>持续加强非税收入征缴管理，不断优化收入结构，力争达到省市一般公共预算收入平均增长目标。</w:t>
      </w:r>
      <w:r>
        <w:rPr>
          <w:rFonts w:hint="eastAsia" w:ascii="仿宋_GB2312" w:hAnsi="仿宋_GB2312" w:eastAsia="仿宋_GB2312" w:cs="仿宋_GB2312"/>
          <w:b/>
          <w:bCs/>
          <w:kern w:val="0"/>
          <w:sz w:val="32"/>
          <w:szCs w:val="32"/>
          <w:lang w:val="en-US" w:eastAsia="zh-CN"/>
        </w:rPr>
        <w:t>二是持续培植壮大财源。</w:t>
      </w:r>
      <w:r>
        <w:rPr>
          <w:rFonts w:hint="eastAsia" w:ascii="仿宋_GB2312" w:hAnsi="仿宋_GB2312" w:eastAsia="仿宋_GB2312" w:cs="仿宋_GB2312"/>
          <w:kern w:val="0"/>
          <w:sz w:val="32"/>
          <w:szCs w:val="32"/>
          <w:lang w:val="en-US" w:eastAsia="zh-CN"/>
        </w:rPr>
        <w:t>全面落实市“7510”行动计划、县“6313”行动计划，</w:t>
      </w:r>
      <w:r>
        <w:rPr>
          <w:rFonts w:hint="eastAsia" w:ascii="仿宋_GB2312" w:hAnsi="仿宋_GB2312" w:eastAsia="仿宋_GB2312" w:cs="仿宋_GB2312"/>
          <w:b w:val="0"/>
          <w:bCs w:val="0"/>
          <w:kern w:val="0"/>
          <w:sz w:val="32"/>
          <w:szCs w:val="32"/>
          <w:lang w:val="en-US" w:eastAsia="zh-CN"/>
        </w:rPr>
        <w:t>优化企业奖补扶持政策，提高招商引资实效，持续做好延链、补链、强链文章，加快推动工业扩量提质，培植新的税源增长点。</w:t>
      </w:r>
      <w:r>
        <w:rPr>
          <w:rFonts w:hint="eastAsia" w:ascii="仿宋_GB2312" w:hAnsi="仿宋_GB2312" w:eastAsia="仿宋_GB2312" w:cs="仿宋_GB2312"/>
          <w:b/>
          <w:bCs/>
          <w:kern w:val="0"/>
          <w:sz w:val="32"/>
          <w:szCs w:val="32"/>
          <w:lang w:val="en-US" w:eastAsia="zh-CN"/>
        </w:rPr>
        <w:t>三是抢抓机遇争资争项。</w:t>
      </w:r>
      <w:r>
        <w:rPr>
          <w:rFonts w:hint="eastAsia" w:ascii="仿宋_GB2312" w:hAnsi="仿宋_GB2312" w:eastAsia="仿宋_GB2312" w:cs="仿宋_GB2312"/>
          <w:b w:val="0"/>
          <w:bCs w:val="0"/>
          <w:kern w:val="0"/>
          <w:sz w:val="32"/>
          <w:szCs w:val="32"/>
          <w:lang w:val="en-US" w:eastAsia="zh-CN"/>
        </w:rPr>
        <w:t>聚焦上级政策支持领域，做好项目包装、储备、申报、实施工作，</w:t>
      </w:r>
      <w:r>
        <w:rPr>
          <w:rFonts w:hint="eastAsia" w:ascii="仿宋_GB2312" w:hAnsi="仿宋_GB2312" w:eastAsia="仿宋_GB2312" w:cs="仿宋_GB2312"/>
          <w:kern w:val="0"/>
          <w:sz w:val="32"/>
          <w:szCs w:val="32"/>
          <w:lang w:val="en-US" w:eastAsia="zh-CN"/>
        </w:rPr>
        <w:t>积极争取并管好用好中央预算内投资、超长期特别国债和政府专项债券，高质量支持城乡基础设施等领域重大项目建设。</w:t>
      </w:r>
    </w:p>
    <w:p>
      <w:pPr>
        <w:pStyle w:val="3"/>
        <w:keepNext w:val="0"/>
        <w:keepLines w:val="0"/>
        <w:pageBreakBefore w:val="0"/>
        <w:widowControl w:val="0"/>
        <w:numPr>
          <w:ilvl w:val="0"/>
          <w:numId w:val="0"/>
        </w:numPr>
        <w:kinsoku/>
        <w:wordWrap/>
        <w:overflowPunct/>
        <w:topLinePunct w:val="0"/>
        <w:autoSpaceDE/>
        <w:autoSpaceDN/>
        <w:bidi w:val="0"/>
        <w:snapToGrid/>
        <w:spacing w:line="560" w:lineRule="exact"/>
        <w:ind w:left="0" w:firstLine="642" w:firstLineChars="200"/>
        <w:rPr>
          <w:rFonts w:hint="default" w:ascii="仿宋_GB2312" w:hAnsi="仿宋_GB2312" w:eastAsia="仿宋_GB2312" w:cs="仿宋_GB2312"/>
          <w:kern w:val="0"/>
          <w:sz w:val="32"/>
          <w:szCs w:val="32"/>
          <w:lang w:val="en-US" w:eastAsia="zh-CN"/>
        </w:rPr>
      </w:pPr>
      <w:r>
        <w:rPr>
          <w:rFonts w:hint="eastAsia" w:ascii="楷体" w:hAnsi="楷体" w:eastAsia="楷体" w:cs="楷体"/>
          <w:b/>
          <w:bCs/>
          <w:kern w:val="0"/>
          <w:sz w:val="32"/>
          <w:szCs w:val="32"/>
          <w:lang w:val="en-US" w:eastAsia="zh-CN" w:bidi="ar-SA"/>
        </w:rPr>
        <w:t>（二）加力保障重点领域支出。</w:t>
      </w:r>
      <w:r>
        <w:rPr>
          <w:rFonts w:hint="eastAsia" w:ascii="仿宋_GB2312" w:hAnsi="仿宋_GB2312" w:eastAsia="仿宋_GB2312" w:cs="仿宋_GB2312"/>
          <w:b/>
          <w:bCs/>
          <w:kern w:val="0"/>
          <w:sz w:val="32"/>
          <w:szCs w:val="32"/>
          <w:lang w:val="en-US" w:eastAsia="zh-CN" w:bidi="ar-SA"/>
        </w:rPr>
        <w:t>一是落实“两重”“两新”政策。</w:t>
      </w:r>
      <w:r>
        <w:rPr>
          <w:rFonts w:hint="eastAsia" w:ascii="仿宋_GB2312" w:hAnsi="仿宋_GB2312" w:eastAsia="仿宋_GB2312" w:cs="仿宋_GB2312"/>
          <w:b w:val="0"/>
          <w:bCs w:val="0"/>
          <w:kern w:val="0"/>
          <w:sz w:val="32"/>
          <w:szCs w:val="32"/>
          <w:lang w:val="en-US" w:eastAsia="zh-CN" w:bidi="ar-SA"/>
        </w:rPr>
        <w:t>结合国家新一轮大规模设备更新和消费品以旧换新、科技创新和技术改造再贷款等政策，</w:t>
      </w:r>
      <w:r>
        <w:rPr>
          <w:rFonts w:hint="eastAsia" w:ascii="仿宋_GB2312" w:hAnsi="仿宋_GB2312" w:eastAsia="仿宋_GB2312" w:cs="仿宋_GB2312"/>
          <w:kern w:val="0"/>
          <w:sz w:val="32"/>
          <w:szCs w:val="32"/>
          <w:lang w:val="en-US" w:eastAsia="zh-CN"/>
        </w:rPr>
        <w:t>从争取项目支持、优化金融支持、强化要素保障等方面完善政策举措，进一步扩大有效投资、激发消费潜力。</w:t>
      </w:r>
      <w:r>
        <w:rPr>
          <w:rFonts w:hint="eastAsia" w:ascii="仿宋_GB2312" w:hAnsi="仿宋_GB2312" w:eastAsia="仿宋_GB2312" w:cs="仿宋_GB2312"/>
          <w:b/>
          <w:bCs/>
          <w:kern w:val="0"/>
          <w:sz w:val="32"/>
          <w:szCs w:val="32"/>
          <w:lang w:val="en-US" w:eastAsia="zh-CN"/>
        </w:rPr>
        <w:t>二是加快推进乡村振兴</w:t>
      </w:r>
      <w:r>
        <w:rPr>
          <w:rFonts w:hint="eastAsia" w:ascii="仿宋_GB2312" w:hAnsi="仿宋_GB2312" w:eastAsia="仿宋_GB2312" w:cs="仿宋_GB2312"/>
          <w:kern w:val="0"/>
          <w:sz w:val="32"/>
          <w:szCs w:val="32"/>
          <w:lang w:val="en-US" w:eastAsia="zh-CN"/>
        </w:rPr>
        <w:t>。用好“农业产业振兴信贷通”“财农信贷通”等支农信贷政策，加强农业保险和产业技术宣传支持力度，加快推动预制菜产业园、双胞胎集团20万头生猪养殖、芦笋精深加工等重点项目建设，加快以工促农、产业融合发展。</w:t>
      </w:r>
      <w:r>
        <w:rPr>
          <w:rFonts w:hint="eastAsia" w:ascii="仿宋_GB2312" w:hAnsi="仿宋_GB2312" w:eastAsia="仿宋_GB2312" w:cs="仿宋_GB2312"/>
          <w:b/>
          <w:bCs/>
          <w:kern w:val="0"/>
          <w:sz w:val="32"/>
          <w:szCs w:val="32"/>
          <w:lang w:val="en-US" w:eastAsia="zh-CN"/>
        </w:rPr>
        <w:t>三是提升基本公共服务均等化水平。</w:t>
      </w:r>
      <w:r>
        <w:rPr>
          <w:rFonts w:hint="eastAsia" w:ascii="仿宋_GB2312" w:hAnsi="仿宋_GB2312" w:eastAsia="仿宋_GB2312" w:cs="仿宋_GB2312"/>
          <w:b w:val="0"/>
          <w:bCs w:val="0"/>
          <w:kern w:val="0"/>
          <w:sz w:val="32"/>
          <w:szCs w:val="32"/>
          <w:lang w:val="en-US" w:eastAsia="zh-CN"/>
        </w:rPr>
        <w:t>推进义务教育优质均衡发展，</w:t>
      </w:r>
      <w:r>
        <w:rPr>
          <w:rFonts w:hint="eastAsia" w:ascii="仿宋_GB2312" w:hAnsi="仿宋_GB2312" w:eastAsia="仿宋_GB2312" w:cs="仿宋_GB2312"/>
          <w:kern w:val="0"/>
          <w:sz w:val="32"/>
          <w:szCs w:val="32"/>
          <w:lang w:val="en-US" w:eastAsia="zh-CN"/>
        </w:rPr>
        <w:t>改善农村办学条件、提升教学质量、建强教师队伍。加快推进紧密型县域医共体建设、中医药综合改革示范区建设，完善“一老一小”养老托育体系建设。支持城镇老旧小区改造、城市危旧房改造、保障性住房建设，改善居民居住条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bottom"/>
        <w:rPr>
          <w:rFonts w:hint="default" w:ascii="仿宋_GB2312" w:hAnsi="仿宋_GB2312" w:eastAsia="仿宋_GB2312" w:cs="仿宋_GB2312"/>
          <w:kern w:val="0"/>
          <w:sz w:val="32"/>
          <w:szCs w:val="32"/>
          <w:lang w:val="en-US" w:eastAsia="zh-CN"/>
        </w:rPr>
      </w:pPr>
      <w:r>
        <w:rPr>
          <w:rFonts w:hint="eastAsia"/>
          <w:lang w:val="en-US" w:eastAsia="zh-CN"/>
        </w:rPr>
        <w:t xml:space="preserve">  </w:t>
      </w:r>
      <w:r>
        <w:rPr>
          <w:rFonts w:hint="eastAsia" w:ascii="楷体" w:hAnsi="楷体" w:eastAsia="楷体" w:cs="楷体"/>
          <w:b/>
          <w:bCs/>
          <w:kern w:val="0"/>
          <w:sz w:val="32"/>
          <w:szCs w:val="32"/>
          <w:lang w:val="en-US" w:eastAsia="zh-CN" w:bidi="ar-SA"/>
        </w:rPr>
        <w:t>（三）加强财政管理和监督。</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cs="仿宋_GB2312"/>
          <w:b/>
          <w:bCs/>
          <w:kern w:val="0"/>
          <w:sz w:val="32"/>
          <w:szCs w:val="32"/>
          <w:lang w:eastAsia="zh-CN"/>
        </w:rPr>
        <w:t>是严把支出关口。</w:t>
      </w:r>
      <w:r>
        <w:rPr>
          <w:rFonts w:hint="eastAsia" w:ascii="仿宋_GB2312" w:hAnsi="仿宋_GB2312" w:eastAsia="仿宋_GB2312" w:cs="仿宋_GB2312"/>
          <w:kern w:val="0"/>
          <w:sz w:val="32"/>
          <w:szCs w:val="32"/>
        </w:rPr>
        <w:t>严格落实党政机关过紧日子要求，</w:t>
      </w:r>
      <w:r>
        <w:rPr>
          <w:rFonts w:hint="eastAsia" w:ascii="仿宋_GB2312" w:hAnsi="仿宋_GB2312" w:eastAsia="仿宋_GB2312" w:cs="仿宋_GB2312"/>
          <w:kern w:val="0"/>
          <w:sz w:val="32"/>
          <w:szCs w:val="32"/>
          <w:lang w:val="en-US" w:eastAsia="zh-CN"/>
        </w:rPr>
        <w:t>加强政府投资项目审批管理，</w:t>
      </w:r>
      <w:r>
        <w:rPr>
          <w:rFonts w:hint="eastAsia" w:ascii="仿宋_GB2312" w:hAnsi="仿宋_GB2312" w:eastAsia="仿宋_GB2312" w:cs="仿宋_GB2312"/>
          <w:kern w:val="0"/>
          <w:sz w:val="32"/>
          <w:szCs w:val="32"/>
        </w:rPr>
        <w:t>从严控制一般性支出，</w:t>
      </w:r>
      <w:bookmarkStart w:id="0" w:name="_GoBack"/>
      <w:bookmarkEnd w:id="0"/>
      <w:r>
        <w:rPr>
          <w:rFonts w:hint="default" w:ascii="仿宋_GB2312" w:hAnsi="仿宋_GB2312" w:eastAsia="仿宋_GB2312" w:cs="仿宋_GB2312"/>
          <w:kern w:val="0"/>
          <w:sz w:val="32"/>
          <w:szCs w:val="32"/>
          <w:lang w:val="en" w:eastAsia="zh-CN"/>
        </w:rPr>
        <w:t>“三公”经费</w:t>
      </w:r>
      <w:r>
        <w:rPr>
          <w:rFonts w:hint="eastAsia" w:ascii="仿宋_GB2312" w:hAnsi="仿宋_GB2312" w:eastAsia="仿宋_GB2312" w:cs="仿宋_GB2312"/>
          <w:kern w:val="0"/>
          <w:sz w:val="32"/>
          <w:szCs w:val="32"/>
          <w:lang w:eastAsia="zh-CN"/>
        </w:rPr>
        <w:t>只减不增，</w:t>
      </w:r>
      <w:r>
        <w:rPr>
          <w:rFonts w:hint="eastAsia" w:ascii="仿宋_GB2312" w:hAnsi="仿宋_GB2312" w:eastAsia="仿宋_GB2312" w:cs="仿宋_GB2312"/>
          <w:kern w:val="0"/>
          <w:sz w:val="32"/>
          <w:szCs w:val="32"/>
          <w:lang w:val="en-US" w:eastAsia="zh-CN"/>
        </w:rPr>
        <w:t>硬化预算执行约束，足额编制“三保”支出预算，</w:t>
      </w:r>
      <w:r>
        <w:rPr>
          <w:rFonts w:hint="eastAsia" w:ascii="仿宋_GB2312" w:hAnsi="仿宋_GB2312" w:eastAsia="仿宋_GB2312" w:cs="仿宋_GB2312"/>
          <w:kern w:val="0"/>
          <w:sz w:val="32"/>
          <w:szCs w:val="32"/>
        </w:rPr>
        <w:t>科学安排支付时序，坚决兜牢“三保”底线</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b/>
          <w:bCs/>
          <w:kern w:val="0"/>
          <w:sz w:val="32"/>
          <w:szCs w:val="32"/>
          <w:lang w:val="en-US" w:eastAsia="zh-CN"/>
        </w:rPr>
        <w:t>二是强化资金监管。</w:t>
      </w:r>
      <w:r>
        <w:rPr>
          <w:rFonts w:hint="eastAsia" w:ascii="仿宋_GB2312" w:hAnsi="仿宋_GB2312" w:eastAsia="仿宋_GB2312" w:cs="仿宋_GB2312"/>
          <w:kern w:val="0"/>
          <w:sz w:val="32"/>
          <w:szCs w:val="32"/>
          <w:lang w:val="en-US" w:eastAsia="zh-CN"/>
        </w:rPr>
        <w:t>强化预算执行动态监控，提高财政资金使用的安全性、规范性</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推进重点绩效评价，强化绩效评价结果运用，动态调整优化支出结构。加大财会监督力度，全面提升财政监管组工作成效，完善县级支出标准体系，规范各单位财务管理。</w:t>
      </w:r>
      <w:r>
        <w:rPr>
          <w:rFonts w:hint="eastAsia" w:ascii="仿宋_GB2312" w:hAnsi="仿宋_GB2312" w:eastAsia="仿宋_GB2312" w:cs="仿宋_GB2312"/>
          <w:b/>
          <w:bCs/>
          <w:kern w:val="0"/>
          <w:sz w:val="32"/>
          <w:szCs w:val="32"/>
          <w:lang w:val="en-US" w:eastAsia="zh-CN" w:bidi="ar-SA"/>
        </w:rPr>
        <w:t>三是精准化解风险。</w:t>
      </w:r>
      <w:r>
        <w:rPr>
          <w:rFonts w:hint="eastAsia" w:ascii="仿宋_GB2312" w:hAnsi="仿宋_GB2312" w:eastAsia="仿宋_GB2312" w:cs="仿宋_GB2312"/>
          <w:kern w:val="0"/>
          <w:sz w:val="32"/>
          <w:szCs w:val="32"/>
          <w:lang w:val="en-US" w:eastAsia="zh-CN"/>
        </w:rPr>
        <w:t>加大存量资源资产清理盘活力度</w:t>
      </w:r>
      <w:r>
        <w:rPr>
          <w:rFonts w:hint="eastAsia" w:ascii="仿宋_GB2312" w:hAnsi="仿宋_GB2312" w:eastAsia="仿宋_GB2312" w:cs="仿宋_GB2312"/>
          <w:kern w:val="0"/>
          <w:sz w:val="32"/>
          <w:szCs w:val="32"/>
        </w:rPr>
        <w:t>，合理合规用好政府法定债务再融资政策和金融支持化解融资平台债务风险政策，拓宽化债资金渠道，推动“1+9”化债方案落地见效，</w:t>
      </w:r>
      <w:r>
        <w:rPr>
          <w:rFonts w:hint="eastAsia" w:ascii="仿宋_GB2312" w:hAnsi="仿宋_GB2312" w:eastAsia="仿宋_GB2312" w:cs="仿宋_GB2312"/>
          <w:kern w:val="0"/>
          <w:sz w:val="32"/>
          <w:szCs w:val="32"/>
          <w:lang w:val="en-US" w:eastAsia="zh-CN"/>
        </w:rPr>
        <w:t>有力有序有效防范化解地方债务风险。</w:t>
      </w:r>
    </w:p>
    <w:p>
      <w:pPr>
        <w:pStyle w:val="8"/>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default" w:ascii="楷体" w:hAnsi="楷体" w:eastAsia="楷体" w:cs="楷体"/>
          <w:b w:val="0"/>
          <w:bCs/>
          <w:sz w:val="30"/>
          <w:szCs w:val="30"/>
          <w:lang w:val="en-US" w:eastAsia="zh-CN"/>
        </w:rPr>
      </w:pPr>
    </w:p>
    <w:p>
      <w:pPr>
        <w:keepNext w:val="0"/>
        <w:keepLines w:val="0"/>
        <w:pageBreakBefore w:val="0"/>
        <w:widowControl w:val="0"/>
        <w:kinsoku/>
        <w:wordWrap/>
        <w:topLinePunct w:val="0"/>
        <w:autoSpaceDE/>
        <w:autoSpaceDN/>
        <w:bidi w:val="0"/>
        <w:spacing w:line="560" w:lineRule="exact"/>
        <w:rPr>
          <w:rFonts w:hint="default" w:eastAsia="宋体"/>
          <w:lang w:val="en-US" w:eastAsia="zh-CN"/>
        </w:rPr>
      </w:pPr>
      <w:r>
        <w:rPr>
          <w:rFonts w:hint="eastAsia"/>
          <w:lang w:val="en-US" w:eastAsia="zh-CN"/>
        </w:rPr>
        <w:t xml:space="preserve">                                             </w:t>
      </w:r>
      <w:r>
        <w:rPr>
          <w:rFonts w:hint="eastAsia" w:ascii="仿宋_GB2312" w:hAnsi="仿宋_GB2312" w:eastAsia="仿宋_GB2312" w:cs="仿宋_GB2312"/>
          <w:kern w:val="0"/>
          <w:sz w:val="32"/>
          <w:szCs w:val="32"/>
          <w:lang w:val="en-US" w:eastAsia="zh-CN"/>
        </w:rPr>
        <w:t xml:space="preserve">   2024年12月13日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EDCF39"/>
    <w:multiLevelType w:val="singleLevel"/>
    <w:tmpl w:val="0DEDCF3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E2521"/>
    <w:rsid w:val="003D6E03"/>
    <w:rsid w:val="060C03A1"/>
    <w:rsid w:val="074A1AF4"/>
    <w:rsid w:val="0803562C"/>
    <w:rsid w:val="086230FE"/>
    <w:rsid w:val="09461AEC"/>
    <w:rsid w:val="0A407EA9"/>
    <w:rsid w:val="0CE9189A"/>
    <w:rsid w:val="0DAF15B7"/>
    <w:rsid w:val="0ED077D1"/>
    <w:rsid w:val="116C6490"/>
    <w:rsid w:val="11D3496D"/>
    <w:rsid w:val="12D6271E"/>
    <w:rsid w:val="14467938"/>
    <w:rsid w:val="150F1F18"/>
    <w:rsid w:val="1615355E"/>
    <w:rsid w:val="186935D1"/>
    <w:rsid w:val="208F316F"/>
    <w:rsid w:val="21535882"/>
    <w:rsid w:val="21C8031E"/>
    <w:rsid w:val="23093CC1"/>
    <w:rsid w:val="238E1D8A"/>
    <w:rsid w:val="240514D8"/>
    <w:rsid w:val="24C1455C"/>
    <w:rsid w:val="24F90B21"/>
    <w:rsid w:val="271A5338"/>
    <w:rsid w:val="27AE2521"/>
    <w:rsid w:val="2B54022C"/>
    <w:rsid w:val="2BD53384"/>
    <w:rsid w:val="2DC10001"/>
    <w:rsid w:val="301F5CDF"/>
    <w:rsid w:val="32580D2A"/>
    <w:rsid w:val="32C263F9"/>
    <w:rsid w:val="357D13D8"/>
    <w:rsid w:val="37AE09F0"/>
    <w:rsid w:val="39202096"/>
    <w:rsid w:val="3F3A3167"/>
    <w:rsid w:val="403F3C4D"/>
    <w:rsid w:val="467809F0"/>
    <w:rsid w:val="48180B08"/>
    <w:rsid w:val="49FB3149"/>
    <w:rsid w:val="4B964E90"/>
    <w:rsid w:val="4D9A1EB7"/>
    <w:rsid w:val="4ECF7A46"/>
    <w:rsid w:val="5454782E"/>
    <w:rsid w:val="57122BC6"/>
    <w:rsid w:val="5AFA4BFD"/>
    <w:rsid w:val="5BFD420E"/>
    <w:rsid w:val="5FCA17EC"/>
    <w:rsid w:val="60806793"/>
    <w:rsid w:val="626262C5"/>
    <w:rsid w:val="62932FBA"/>
    <w:rsid w:val="62D37B93"/>
    <w:rsid w:val="63984453"/>
    <w:rsid w:val="65BD406C"/>
    <w:rsid w:val="67034C17"/>
    <w:rsid w:val="706434B3"/>
    <w:rsid w:val="70810852"/>
    <w:rsid w:val="71F16917"/>
    <w:rsid w:val="76540C31"/>
    <w:rsid w:val="79073F5C"/>
    <w:rsid w:val="7AC32C6E"/>
    <w:rsid w:val="7BD4301E"/>
    <w:rsid w:val="FFFE4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sz w:val="28"/>
      <w:szCs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style>
  <w:style w:type="paragraph" w:styleId="4">
    <w:name w:val="Title"/>
    <w:basedOn w:val="1"/>
    <w:next w:val="1"/>
    <w:qFormat/>
    <w:uiPriority w:val="0"/>
    <w:pPr>
      <w:jc w:val="center"/>
      <w:outlineLvl w:val="0"/>
    </w:pPr>
    <w:rPr>
      <w:rFonts w:ascii="方正小标宋_GBK" w:eastAsia="方正小标宋_GBK" w:cs="方正小标宋_GBK"/>
      <w:sz w:val="44"/>
      <w:szCs w:val="44"/>
      <w:lang w:bidi="ar-SA"/>
    </w:rPr>
  </w:style>
  <w:style w:type="paragraph" w:styleId="5">
    <w:name w:val="Body Text Indent"/>
    <w:basedOn w:val="1"/>
    <w:unhideWhenUsed/>
    <w:qFormat/>
    <w:uiPriority w:val="0"/>
    <w:pPr>
      <w:spacing w:beforeLines="0" w:afterLines="0"/>
      <w:ind w:firstLine="540"/>
    </w:pPr>
    <w:rPr>
      <w:rFonts w:hint="default"/>
      <w:sz w:val="30"/>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next w:val="9"/>
    <w:qFormat/>
    <w:uiPriority w:val="99"/>
    <w:pPr>
      <w:snapToGrid w:val="0"/>
    </w:pPr>
    <w:rPr>
      <w:rFonts w:ascii="Calibri" w:hAnsi="Calibri"/>
      <w:sz w:val="18"/>
      <w:szCs w:val="18"/>
    </w:rPr>
  </w:style>
  <w:style w:type="paragraph" w:styleId="9">
    <w:name w:val="Body Text First Indent 2"/>
    <w:basedOn w:val="5"/>
    <w:unhideWhenUsed/>
    <w:qFormat/>
    <w:uiPriority w:val="0"/>
    <w:pPr>
      <w:spacing w:beforeLines="0" w:afterLines="0"/>
      <w:ind w:firstLine="420" w:firstLineChars="200"/>
    </w:pPr>
    <w:rPr>
      <w:rFonts w:hint="eastAsia" w:ascii="Times New Roman" w:hAnsi="Times New Roman" w:eastAsia="Times New Roman"/>
      <w:sz w:val="30"/>
      <w:szCs w:val="24"/>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w:basedOn w:val="3"/>
    <w:qFormat/>
    <w:uiPriority w:val="0"/>
    <w:pPr>
      <w:widowControl w:val="0"/>
      <w:spacing w:after="0" w:afterLines="0"/>
      <w:ind w:firstLine="420" w:firstLineChars="100"/>
      <w:jc w:val="both"/>
    </w:pPr>
    <w:rPr>
      <w:rFonts w:ascii="宋体" w:hAnsi="宋体" w:eastAsia="宋体" w:cs="Times New Roman"/>
      <w:kern w:val="0"/>
      <w:sz w:val="28"/>
      <w:szCs w:val="24"/>
      <w:lang w:val="en-US" w:eastAsia="zh-CN" w:bidi="ar-SA"/>
    </w:rPr>
  </w:style>
  <w:style w:type="paragraph" w:customStyle="1" w:styleId="14">
    <w:name w:val="Index5"/>
    <w:next w:val="1"/>
    <w:qFormat/>
    <w:uiPriority w:val="0"/>
    <w:pPr>
      <w:widowControl w:val="0"/>
      <w:overflowPunct w:val="0"/>
      <w:ind w:left="1680" w:firstLine="200" w:firstLineChars="200"/>
      <w:jc w:val="both"/>
      <w:textAlignment w:val="baseline"/>
    </w:pPr>
    <w:rPr>
      <w:rFonts w:ascii="宋体" w:hAnsi="宋体" w:eastAsia="仿宋_GB2312" w:cs="Times New Roman"/>
      <w:kern w:val="2"/>
      <w:sz w:val="36"/>
      <w:szCs w:val="36"/>
      <w:lang w:val="en-US" w:eastAsia="zh-CN" w:bidi="ar-SA"/>
    </w:rPr>
  </w:style>
  <w:style w:type="paragraph" w:customStyle="1" w:styleId="15">
    <w:name w:val="表格文字"/>
    <w:basedOn w:val="1"/>
    <w:next w:val="3"/>
    <w:qFormat/>
    <w:uiPriority w:val="99"/>
    <w:pPr>
      <w:adjustRightInd w:val="0"/>
      <w:spacing w:line="420" w:lineRule="atLeast"/>
      <w:jc w:val="left"/>
      <w:textAlignment w:val="baseline"/>
    </w:pPr>
    <w:rPr>
      <w:kern w:val="0"/>
    </w:rPr>
  </w:style>
  <w:style w:type="paragraph" w:customStyle="1" w:styleId="16">
    <w:name w:val="引用1"/>
    <w:basedOn w:val="1"/>
    <w:next w:val="1"/>
    <w:qFormat/>
    <w:uiPriority w:val="29"/>
    <w:rPr>
      <w:i/>
      <w:iCs/>
      <w:color w:val="000000"/>
    </w:rPr>
  </w:style>
  <w:style w:type="paragraph" w:customStyle="1" w:styleId="17">
    <w:name w:val="Body Text Indent1"/>
    <w:basedOn w:val="1"/>
    <w:qFormat/>
    <w:uiPriority w:val="0"/>
    <w:pPr>
      <w:ind w:left="420" w:left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3024</Words>
  <Characters>3338</Characters>
  <Lines>0</Lines>
  <Paragraphs>0</Paragraphs>
  <TotalTime>9</TotalTime>
  <ScaleCrop>false</ScaleCrop>
  <LinksUpToDate>false</LinksUpToDate>
  <CharactersWithSpaces>3340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2024-12-11T19:42:00Z</dcterms:created>
  <dc:creator>孤独的刈麦人</dc:creator>
  <cp:lastModifiedBy>bgs</cp:lastModifiedBy>
  <cp:lastPrinted>2024-12-13T10:34:00Z</cp:lastPrinted>
  <dcterms:modified xsi:type="dcterms:W3CDTF">2024-12-20T09:12:07Z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56E62C11CB144ADFBC337F69F0610156_11</vt:lpwstr>
  </property>
</Properties>
</file>