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E269B">
      <w:pPr>
        <w:spacing w:line="600" w:lineRule="exact"/>
        <w:jc w:val="center"/>
        <w:rPr>
          <w:rFonts w:ascii="方正小标宋简体" w:hAnsi="方正小标宋简体" w:eastAsia="方正小标宋简体" w:cs="方正小标宋简体"/>
          <w:bCs/>
          <w:color w:val="000000" w:themeColor="text1"/>
          <w:sz w:val="44"/>
          <w:szCs w:val="44"/>
          <w:highlight w:val="none"/>
          <w:u w:val="none"/>
        </w:rPr>
      </w:pPr>
      <w:r>
        <w:rPr>
          <w:rFonts w:hint="eastAsia" w:ascii="宋体" w:hAnsi="宋体" w:cs="宋体"/>
          <w:bCs/>
          <w:color w:val="000000" w:themeColor="text1"/>
          <w:sz w:val="44"/>
          <w:szCs w:val="44"/>
          <w:highlight w:val="none"/>
          <w:u w:val="none"/>
        </w:rPr>
        <w:t>兴国县公安局交通管理大队</w:t>
      </w:r>
    </w:p>
    <w:p w14:paraId="3124EB43">
      <w:pPr>
        <w:spacing w:line="600" w:lineRule="exact"/>
        <w:jc w:val="center"/>
        <w:rPr>
          <w:rFonts w:ascii="方正小标宋简体" w:hAnsi="方正小标宋简体" w:eastAsia="方正小标宋简体" w:cs="方正小标宋简体"/>
          <w:bCs/>
          <w:color w:val="000000" w:themeColor="text1"/>
          <w:sz w:val="44"/>
          <w:szCs w:val="44"/>
          <w:highlight w:val="none"/>
          <w:u w:val="none"/>
        </w:rPr>
      </w:pPr>
      <w:r>
        <w:rPr>
          <w:rFonts w:hint="eastAsia" w:ascii="方正小标宋简体" w:hAnsi="方正小标宋简体" w:eastAsia="方正小标宋简体" w:cs="方正小标宋简体"/>
          <w:bCs/>
          <w:color w:val="000000" w:themeColor="text1"/>
          <w:sz w:val="44"/>
          <w:szCs w:val="44"/>
          <w:highlight w:val="none"/>
          <w:u w:val="none"/>
        </w:rPr>
        <w:t>2025年单位预算编制说明</w:t>
      </w:r>
    </w:p>
    <w:p w14:paraId="060964C4">
      <w:pPr>
        <w:spacing w:line="600" w:lineRule="exact"/>
        <w:jc w:val="center"/>
        <w:rPr>
          <w:rFonts w:ascii="黑体" w:hAnsi="黑体" w:eastAsia="黑体" w:cs="黑体"/>
          <w:color w:val="000000" w:themeColor="text1"/>
          <w:sz w:val="36"/>
          <w:szCs w:val="36"/>
          <w:highlight w:val="none"/>
          <w:u w:val="none"/>
        </w:rPr>
      </w:pPr>
    </w:p>
    <w:p w14:paraId="7BC1B003">
      <w:pPr>
        <w:spacing w:line="600" w:lineRule="exact"/>
        <w:jc w:val="center"/>
        <w:rPr>
          <w:rFonts w:ascii="方正小标宋简体" w:hAnsi="方正小标宋简体" w:eastAsia="方正小标宋简体" w:cs="方正小标宋简体"/>
          <w:bCs/>
          <w:color w:val="000000" w:themeColor="text1"/>
          <w:sz w:val="44"/>
          <w:szCs w:val="44"/>
          <w:highlight w:val="none"/>
          <w:u w:val="none"/>
        </w:rPr>
      </w:pPr>
      <w:r>
        <w:rPr>
          <w:rFonts w:hint="eastAsia" w:ascii="方正小标宋简体" w:hAnsi="方正小标宋简体" w:eastAsia="方正小标宋简体" w:cs="方正小标宋简体"/>
          <w:bCs/>
          <w:color w:val="000000" w:themeColor="text1"/>
          <w:sz w:val="44"/>
          <w:szCs w:val="44"/>
          <w:highlight w:val="none"/>
          <w:u w:val="none"/>
        </w:rPr>
        <w:t>目录</w:t>
      </w:r>
    </w:p>
    <w:p w14:paraId="0FCB2A34">
      <w:pPr>
        <w:spacing w:line="600" w:lineRule="exact"/>
        <w:jc w:val="center"/>
        <w:rPr>
          <w:rFonts w:ascii="黑体" w:hAnsi="黑体" w:eastAsia="黑体" w:cs="黑体"/>
          <w:color w:val="000000" w:themeColor="text1"/>
          <w:sz w:val="32"/>
          <w:szCs w:val="32"/>
          <w:highlight w:val="none"/>
          <w:u w:val="none"/>
        </w:rPr>
      </w:pPr>
    </w:p>
    <w:p w14:paraId="4902AC56">
      <w:pPr>
        <w:spacing w:line="560" w:lineRule="exact"/>
        <w:ind w:left="684" w:hanging="684" w:hangingChars="213"/>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第一部分单位概况</w:t>
      </w:r>
    </w:p>
    <w:p w14:paraId="04923203">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一、单位主要职责</w:t>
      </w:r>
    </w:p>
    <w:p w14:paraId="39EA0452">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二、单位基本情况</w:t>
      </w:r>
    </w:p>
    <w:p w14:paraId="2264C7C5">
      <w:pPr>
        <w:spacing w:line="560" w:lineRule="exact"/>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第二部分2025年单位预算情况说明</w:t>
      </w:r>
    </w:p>
    <w:p w14:paraId="487783DC">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一、单位预算收支情况说明</w:t>
      </w:r>
    </w:p>
    <w:p w14:paraId="60F7AAB4">
      <w:pPr>
        <w:spacing w:line="560" w:lineRule="exact"/>
        <w:ind w:left="634" w:leftChars="284" w:hanging="38" w:hangingChars="12"/>
        <w:rPr>
          <w:rFonts w:ascii="仿宋" w:hAnsi="仿宋" w:eastAsia="仿宋" w:cs="仿宋"/>
          <w:b/>
          <w:bCs/>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二、“三公”经费预算情况说明</w:t>
      </w:r>
    </w:p>
    <w:p w14:paraId="3C6323E1">
      <w:pPr>
        <w:spacing w:line="560" w:lineRule="exact"/>
        <w:ind w:left="684" w:hanging="684" w:hangingChars="213"/>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第三部分2025年单位预算表</w:t>
      </w:r>
    </w:p>
    <w:p w14:paraId="0B27A142">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一、《收支预算总表》</w:t>
      </w:r>
    </w:p>
    <w:p w14:paraId="0DCF8606">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二、《单位收入总表》</w:t>
      </w:r>
    </w:p>
    <w:p w14:paraId="6667209C">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三、《单位支出总表》</w:t>
      </w:r>
    </w:p>
    <w:p w14:paraId="4F9F84E8">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四、《财政拨款收支总表》</w:t>
      </w:r>
    </w:p>
    <w:p w14:paraId="3CBC9BE7">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五、《一般公共预算支出表》</w:t>
      </w:r>
    </w:p>
    <w:p w14:paraId="28057ED6">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六、《一般公共预算基本支出表》</w:t>
      </w:r>
    </w:p>
    <w:p w14:paraId="34C43EDA">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七、《一般公共预算“三公”经费支出表》</w:t>
      </w:r>
    </w:p>
    <w:p w14:paraId="4D7B7EC9">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八、《政府性基金预算支出表》</w:t>
      </w:r>
    </w:p>
    <w:p w14:paraId="2FF1DD0E">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九、《国有资本经营预算支出表》</w:t>
      </w:r>
    </w:p>
    <w:p w14:paraId="60A42348">
      <w:pPr>
        <w:spacing w:line="560" w:lineRule="exact"/>
        <w:ind w:left="634" w:leftChars="284" w:hanging="38" w:hangingChars="12"/>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十、《项目支出绩效目标表》</w:t>
      </w:r>
    </w:p>
    <w:p w14:paraId="6BEB6C9F">
      <w:pPr>
        <w:spacing w:line="560" w:lineRule="exact"/>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第四部分名词解释</w:t>
      </w:r>
    </w:p>
    <w:p w14:paraId="28E5DD16">
      <w:pPr>
        <w:spacing w:line="600" w:lineRule="exact"/>
        <w:jc w:val="center"/>
        <w:rPr>
          <w:rFonts w:ascii="黑体" w:hAnsi="黑体" w:eastAsia="黑体" w:cs="黑体"/>
          <w:color w:val="000000" w:themeColor="text1"/>
          <w:sz w:val="32"/>
          <w:szCs w:val="32"/>
          <w:highlight w:val="none"/>
          <w:u w:val="none"/>
        </w:rPr>
      </w:pPr>
      <w:r>
        <w:rPr>
          <w:rFonts w:hint="eastAsia" w:ascii="黑体" w:hAnsi="黑体" w:eastAsia="黑体" w:cs="黑体"/>
          <w:color w:val="000000" w:themeColor="text1"/>
          <w:sz w:val="32"/>
          <w:szCs w:val="32"/>
          <w:highlight w:val="none"/>
          <w:u w:val="none"/>
        </w:rPr>
        <w:t>第一部分单位概况</w:t>
      </w:r>
    </w:p>
    <w:p w14:paraId="3488A9FB">
      <w:pPr>
        <w:spacing w:line="600" w:lineRule="exact"/>
        <w:jc w:val="center"/>
        <w:rPr>
          <w:rFonts w:ascii="仿宋" w:hAnsi="仿宋" w:eastAsia="仿宋" w:cs="仿宋"/>
          <w:b/>
          <w:bCs/>
          <w:color w:val="000000" w:themeColor="text1"/>
          <w:sz w:val="32"/>
          <w:szCs w:val="32"/>
          <w:highlight w:val="none"/>
          <w:u w:val="none"/>
        </w:rPr>
      </w:pPr>
    </w:p>
    <w:p w14:paraId="32B3E34F">
      <w:pPr>
        <w:spacing w:line="560" w:lineRule="exact"/>
        <w:ind w:left="10" w:leftChars="5" w:firstLine="643" w:firstLineChars="200"/>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一、单位主要职责</w:t>
      </w:r>
    </w:p>
    <w:p w14:paraId="24ED5283">
      <w:pPr>
        <w:widowControl/>
        <w:spacing w:line="560" w:lineRule="exact"/>
        <w:ind w:firstLine="640"/>
        <w:jc w:val="left"/>
        <w:rPr>
          <w:rFonts w:ascii="仿宋_GB2312" w:hAnsi="仿宋" w:eastAsia="仿宋_GB2312"/>
          <w:color w:val="000000" w:themeColor="text1"/>
          <w:sz w:val="32"/>
          <w:szCs w:val="32"/>
          <w:highlight w:val="none"/>
          <w:u w:val="none"/>
        </w:rPr>
      </w:pPr>
      <w:r>
        <w:rPr>
          <w:rFonts w:hint="eastAsia" w:ascii="仿宋" w:hAnsi="仿宋" w:eastAsia="仿宋" w:cs="宋体"/>
          <w:color w:val="000000" w:themeColor="text1"/>
          <w:kern w:val="0"/>
          <w:sz w:val="32"/>
          <w:szCs w:val="32"/>
          <w:highlight w:val="none"/>
          <w:u w:val="none"/>
        </w:rPr>
        <w:t>兴国县公安局交通管理大队是兴国县公安局下属部门，是全县道路交通管理执行机关。主要职责是：</w:t>
      </w:r>
      <w:r>
        <w:rPr>
          <w:rFonts w:ascii="仿宋" w:hAnsi="仿宋" w:eastAsia="仿宋" w:cs="宋体"/>
          <w:color w:val="000000" w:themeColor="text1"/>
          <w:kern w:val="0"/>
          <w:sz w:val="32"/>
          <w:szCs w:val="32"/>
          <w:highlight w:val="none"/>
          <w:u w:val="none"/>
        </w:rPr>
        <w:t>1.</w:t>
      </w:r>
      <w:r>
        <w:rPr>
          <w:rFonts w:hint="eastAsia" w:ascii="仿宋" w:hAnsi="仿宋" w:eastAsia="仿宋" w:cs="宋体"/>
          <w:color w:val="000000" w:themeColor="text1"/>
          <w:kern w:val="0"/>
          <w:sz w:val="32"/>
          <w:szCs w:val="32"/>
          <w:highlight w:val="none"/>
          <w:u w:val="none"/>
        </w:rPr>
        <w:t>依法对全县道路交通实行统一管理，维护全县道路交通秩序，预防和减少交通事故。</w:t>
      </w:r>
      <w:r>
        <w:rPr>
          <w:rFonts w:ascii="仿宋" w:hAnsi="仿宋" w:eastAsia="仿宋" w:cs="宋体"/>
          <w:color w:val="000000" w:themeColor="text1"/>
          <w:kern w:val="0"/>
          <w:sz w:val="32"/>
          <w:szCs w:val="32"/>
          <w:highlight w:val="none"/>
          <w:u w:val="none"/>
        </w:rPr>
        <w:t>2.</w:t>
      </w:r>
      <w:r>
        <w:rPr>
          <w:rFonts w:hint="eastAsia" w:ascii="仿宋" w:hAnsi="仿宋" w:eastAsia="仿宋" w:cs="宋体"/>
          <w:color w:val="000000" w:themeColor="text1"/>
          <w:kern w:val="0"/>
          <w:sz w:val="32"/>
          <w:szCs w:val="32"/>
          <w:highlight w:val="none"/>
          <w:u w:val="none"/>
        </w:rPr>
        <w:t>在上级部门指导下，根据本县道路交通情况，适时组织各种交通安全的专项治理。</w:t>
      </w:r>
      <w:r>
        <w:rPr>
          <w:rFonts w:ascii="仿宋" w:hAnsi="仿宋" w:eastAsia="仿宋" w:cs="宋体"/>
          <w:color w:val="000000" w:themeColor="text1"/>
          <w:kern w:val="0"/>
          <w:sz w:val="32"/>
          <w:szCs w:val="32"/>
          <w:highlight w:val="none"/>
          <w:u w:val="none"/>
        </w:rPr>
        <w:t>3.</w:t>
      </w:r>
      <w:r>
        <w:rPr>
          <w:rFonts w:hint="eastAsia" w:ascii="仿宋" w:hAnsi="仿宋" w:eastAsia="仿宋" w:cs="宋体"/>
          <w:color w:val="000000" w:themeColor="text1"/>
          <w:kern w:val="0"/>
          <w:sz w:val="32"/>
          <w:szCs w:val="32"/>
          <w:highlight w:val="none"/>
          <w:u w:val="none"/>
        </w:rPr>
        <w:t>具体负责全县机动车辆及驾驶员的管理业务。</w:t>
      </w:r>
      <w:r>
        <w:rPr>
          <w:rFonts w:ascii="仿宋" w:hAnsi="仿宋" w:eastAsia="仿宋" w:cs="宋体"/>
          <w:color w:val="000000" w:themeColor="text1"/>
          <w:kern w:val="0"/>
          <w:sz w:val="32"/>
          <w:szCs w:val="32"/>
          <w:highlight w:val="none"/>
          <w:u w:val="none"/>
        </w:rPr>
        <w:t>4.</w:t>
      </w:r>
      <w:r>
        <w:rPr>
          <w:rFonts w:hint="eastAsia" w:ascii="仿宋" w:hAnsi="仿宋" w:eastAsia="仿宋" w:cs="宋体"/>
          <w:color w:val="000000" w:themeColor="text1"/>
          <w:kern w:val="0"/>
          <w:sz w:val="32"/>
          <w:szCs w:val="32"/>
          <w:highlight w:val="none"/>
          <w:u w:val="none"/>
        </w:rPr>
        <w:t>负责境内各种交通事故的调查、分析、责任认定、调解处理、事故统计工作，并向有关领导和部门提出本县交通事故预防对策。</w:t>
      </w:r>
      <w:r>
        <w:rPr>
          <w:rFonts w:ascii="仿宋" w:hAnsi="仿宋" w:eastAsia="仿宋" w:cs="宋体"/>
          <w:color w:val="000000" w:themeColor="text1"/>
          <w:kern w:val="0"/>
          <w:sz w:val="32"/>
          <w:szCs w:val="32"/>
          <w:highlight w:val="none"/>
          <w:u w:val="none"/>
        </w:rPr>
        <w:t>5.</w:t>
      </w:r>
      <w:r>
        <w:rPr>
          <w:rFonts w:hint="eastAsia" w:ascii="仿宋" w:hAnsi="仿宋" w:eastAsia="仿宋" w:cs="宋体"/>
          <w:color w:val="000000" w:themeColor="text1"/>
          <w:kern w:val="0"/>
          <w:sz w:val="32"/>
          <w:szCs w:val="32"/>
          <w:highlight w:val="none"/>
          <w:u w:val="none"/>
        </w:rPr>
        <w:t>具体组织各项交通勤务，保证安全有序，畅通的道路交通环境。</w:t>
      </w:r>
    </w:p>
    <w:p w14:paraId="5CE1CAA3">
      <w:pPr>
        <w:spacing w:line="560" w:lineRule="exact"/>
        <w:ind w:left="10" w:leftChars="5" w:firstLine="643" w:firstLineChars="200"/>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二、单位基本情况</w:t>
      </w:r>
    </w:p>
    <w:p w14:paraId="4FEAF1BF">
      <w:pPr>
        <w:spacing w:line="560" w:lineRule="exact"/>
        <w:ind w:firstLine="640"/>
        <w:jc w:val="left"/>
        <w:rPr>
          <w:rFonts w:ascii="仿宋" w:hAnsi="仿宋" w:eastAsia="仿宋"/>
          <w:color w:val="000000" w:themeColor="text1"/>
          <w:sz w:val="32"/>
          <w:szCs w:val="32"/>
          <w:highlight w:val="none"/>
          <w:u w:val="none"/>
        </w:rPr>
      </w:pPr>
      <w:r>
        <w:rPr>
          <w:rFonts w:hint="eastAsia" w:ascii="仿宋" w:hAnsi="仿宋" w:eastAsia="仿宋"/>
          <w:color w:val="000000" w:themeColor="text1"/>
          <w:sz w:val="32"/>
          <w:szCs w:val="32"/>
          <w:highlight w:val="none"/>
          <w:u w:val="none"/>
        </w:rPr>
        <w:t>2025年本单位内设处室18个，分别是：办公室</w:t>
      </w:r>
      <w:r>
        <w:rPr>
          <w:rFonts w:hint="eastAsia" w:ascii="仿宋" w:hAnsi="仿宋" w:eastAsia="仿宋" w:cs="宋体"/>
          <w:color w:val="000000" w:themeColor="text1"/>
          <w:kern w:val="0"/>
          <w:sz w:val="32"/>
          <w:szCs w:val="32"/>
          <w:highlight w:val="none"/>
          <w:u w:val="none"/>
        </w:rPr>
        <w:t>、财务科、宣教科、信息中心、秩序科、违法处理中心、车辆管理所、事故处理中队、潋江中队、女警中队、长冈中队、高兴中队、城岗中队、埠头中队、永丰中队、红门中队、古龙岗中队、公路巡逻中队</w:t>
      </w:r>
      <w:r>
        <w:rPr>
          <w:rFonts w:hint="eastAsia" w:ascii="仿宋" w:hAnsi="仿宋" w:eastAsia="仿宋"/>
          <w:color w:val="000000" w:themeColor="text1"/>
          <w:sz w:val="32"/>
          <w:szCs w:val="32"/>
          <w:highlight w:val="none"/>
          <w:u w:val="none"/>
        </w:rPr>
        <w:t>。</w:t>
      </w:r>
    </w:p>
    <w:p w14:paraId="3475F815">
      <w:pPr>
        <w:spacing w:line="560" w:lineRule="exact"/>
        <w:ind w:firstLine="640" w:firstLineChars="200"/>
        <w:rPr>
          <w:rFonts w:ascii="楷体" w:hAnsi="楷体" w:eastAsia="楷体" w:cs="楷体"/>
          <w:color w:val="000000" w:themeColor="text1"/>
          <w:sz w:val="24"/>
          <w:szCs w:val="24"/>
          <w:highlight w:val="none"/>
          <w:u w:val="none"/>
        </w:rPr>
      </w:pPr>
      <w:r>
        <w:rPr>
          <w:rFonts w:hint="eastAsia" w:ascii="仿宋" w:hAnsi="仿宋" w:eastAsia="仿宋"/>
          <w:color w:val="000000" w:themeColor="text1"/>
          <w:sz w:val="32"/>
          <w:szCs w:val="32"/>
          <w:highlight w:val="none"/>
          <w:u w:val="none"/>
        </w:rPr>
        <w:t>2025年本单位编制人数小计71人,其中：行政编制人数71人,参照公务员管理的事业编制人数0人,全部补助事业编制人数0人,自收自支编制人数0人。实有人数小计79人,其中：在职人数小计71人</w:t>
      </w:r>
      <w:r>
        <w:rPr>
          <w:rFonts w:hint="eastAsia" w:ascii="楷体" w:hAnsi="楷体" w:eastAsia="楷体" w:cs="楷体"/>
          <w:color w:val="000000" w:themeColor="text1"/>
          <w:sz w:val="30"/>
          <w:szCs w:val="30"/>
          <w:highlight w:val="none"/>
          <w:u w:val="none"/>
        </w:rPr>
        <w:t>（行政在职人数71人,参照公务员管理的事业单位在职人数0人,全部补助事业在职人数0人）</w:t>
      </w:r>
      <w:r>
        <w:rPr>
          <w:rFonts w:hint="eastAsia" w:ascii="仿宋" w:hAnsi="仿宋" w:eastAsia="仿宋"/>
          <w:color w:val="000000" w:themeColor="text1"/>
          <w:sz w:val="32"/>
          <w:szCs w:val="32"/>
          <w:highlight w:val="none"/>
          <w:u w:val="none"/>
        </w:rPr>
        <w:t>；离休人数小计0人；退休人数小计8人。</w:t>
      </w:r>
    </w:p>
    <w:p w14:paraId="524DB1A3">
      <w:pPr>
        <w:spacing w:line="600" w:lineRule="exact"/>
        <w:jc w:val="center"/>
        <w:rPr>
          <w:rFonts w:ascii="黑体" w:hAnsi="黑体" w:eastAsia="黑体" w:cs="黑体"/>
          <w:color w:val="000000" w:themeColor="text1"/>
          <w:sz w:val="32"/>
          <w:szCs w:val="32"/>
          <w:highlight w:val="none"/>
          <w:u w:val="none"/>
        </w:rPr>
      </w:pPr>
      <w:r>
        <w:rPr>
          <w:rFonts w:hint="eastAsia" w:ascii="黑体" w:hAnsi="黑体" w:eastAsia="黑体" w:cs="黑体"/>
          <w:color w:val="000000" w:themeColor="text1"/>
          <w:sz w:val="32"/>
          <w:szCs w:val="32"/>
          <w:highlight w:val="none"/>
          <w:u w:val="none"/>
        </w:rPr>
        <w:t>第二部分2025年单位预算情况说明</w:t>
      </w:r>
    </w:p>
    <w:p w14:paraId="11ABED00">
      <w:pPr>
        <w:spacing w:line="600" w:lineRule="exact"/>
        <w:ind w:left="10" w:leftChars="5" w:firstLine="643" w:firstLineChars="200"/>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一、单位预算收支情况说明</w:t>
      </w:r>
    </w:p>
    <w:p w14:paraId="2CB1B361">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（一）收入预算情况</w:t>
      </w:r>
    </w:p>
    <w:p w14:paraId="148476C3">
      <w:pPr>
        <w:spacing w:line="600" w:lineRule="exact"/>
        <w:ind w:firstLine="640" w:firstLineChars="200"/>
        <w:rPr>
          <w:rFonts w:ascii="楷体" w:hAnsi="楷体" w:eastAsia="楷体" w:cs="楷体"/>
          <w:color w:val="000000" w:themeColor="text1"/>
          <w:sz w:val="24"/>
          <w:szCs w:val="24"/>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本单位收入预算总额7319.74万元，</w:t>
      </w:r>
      <w:r>
        <w:rPr>
          <w:rFonts w:hint="eastAsia" w:ascii="仿宋" w:hAnsi="仿宋" w:eastAsia="仿宋" w:cs="仿宋"/>
          <w:color w:val="000000" w:themeColor="text1"/>
          <w:sz w:val="32"/>
          <w:szCs w:val="32"/>
          <w:highlight w:val="none"/>
          <w:u w:val="none"/>
        </w:rPr>
        <w:t>较上年预算安排增加1185.6万元，增加19.32%。增减变化主要原因是：其他收入增加。</w:t>
      </w:r>
    </w:p>
    <w:p w14:paraId="6EECD82B">
      <w:pPr>
        <w:spacing w:line="600" w:lineRule="exact"/>
        <w:ind w:firstLine="644" w:firstLineChars="200"/>
        <w:rPr>
          <w:rFonts w:hint="eastAsia" w:ascii="仿宋" w:hAnsi="仿宋" w:eastAsia="仿宋" w:cs="仿宋"/>
          <w:color w:val="000000" w:themeColor="text1"/>
          <w:sz w:val="32"/>
          <w:szCs w:val="32"/>
          <w:highlight w:val="none"/>
          <w:u w:val="none"/>
          <w:lang w:eastAsia="zh-CN"/>
        </w:rPr>
      </w:pPr>
      <w:r>
        <w:rPr>
          <w:rFonts w:hint="eastAsia" w:ascii="仿宋" w:hAnsi="仿宋" w:eastAsia="仿宋" w:cs="仿宋"/>
          <w:color w:val="000000" w:themeColor="text1"/>
          <w:spacing w:val="11"/>
          <w:sz w:val="30"/>
          <w:szCs w:val="30"/>
          <w:highlight w:val="none"/>
          <w:u w:val="none"/>
        </w:rPr>
        <w:t>其中：一般公共预算收入1319.74万元,较</w:t>
      </w:r>
      <w:r>
        <w:rPr>
          <w:rFonts w:hint="eastAsia" w:ascii="仿宋" w:hAnsi="仿宋" w:eastAsia="仿宋" w:cs="仿宋"/>
          <w:color w:val="000000" w:themeColor="text1"/>
          <w:spacing w:val="23"/>
          <w:sz w:val="30"/>
          <w:szCs w:val="30"/>
          <w:highlight w:val="none"/>
          <w:u w:val="none"/>
        </w:rPr>
        <w:t>上年预算安排增加305.48万元;</w:t>
      </w:r>
      <w:r>
        <w:rPr>
          <w:rFonts w:hint="eastAsia" w:ascii="仿宋" w:hAnsi="仿宋" w:eastAsia="仿宋" w:cs="仿宋"/>
          <w:color w:val="000000" w:themeColor="text1"/>
          <w:spacing w:val="18"/>
          <w:sz w:val="30"/>
          <w:szCs w:val="30"/>
          <w:highlight w:val="none"/>
          <w:u w:val="none"/>
        </w:rPr>
        <w:t>其他收入6000万元，较上年预算安排增加880.12</w:t>
      </w:r>
      <w:r>
        <w:rPr>
          <w:rFonts w:hint="eastAsia" w:ascii="仿宋" w:hAnsi="仿宋" w:eastAsia="仿宋" w:cs="仿宋"/>
          <w:color w:val="000000" w:themeColor="text1"/>
          <w:spacing w:val="7"/>
          <w:sz w:val="30"/>
          <w:szCs w:val="30"/>
          <w:highlight w:val="none"/>
          <w:u w:val="none"/>
        </w:rPr>
        <w:t>万元。</w:t>
      </w:r>
    </w:p>
    <w:p w14:paraId="43E0F836">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（二）支出预算情况</w:t>
      </w:r>
    </w:p>
    <w:p w14:paraId="2C340E13">
      <w:pPr>
        <w:spacing w:line="600" w:lineRule="exact"/>
        <w:ind w:firstLine="640" w:firstLineChars="200"/>
        <w:rPr>
          <w:rFonts w:ascii="仿宋" w:hAnsi="仿宋" w:eastAsia="仿宋" w:cs="仿宋"/>
          <w:color w:val="000000" w:themeColor="text1"/>
          <w:sz w:val="30"/>
          <w:szCs w:val="30"/>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本单位支出预算总额7319.74万元，</w:t>
      </w:r>
      <w:r>
        <w:rPr>
          <w:rFonts w:hint="eastAsia" w:ascii="仿宋" w:hAnsi="仿宋" w:eastAsia="仿宋" w:cs="仿宋"/>
          <w:color w:val="000000" w:themeColor="text1"/>
          <w:sz w:val="32"/>
          <w:szCs w:val="32"/>
          <w:highlight w:val="none"/>
          <w:u w:val="none"/>
        </w:rPr>
        <w:t>较上年预算安排增加1185.6万元，增加19.32%。增减变化主要原因是：其他支出增加。</w:t>
      </w:r>
      <w:r>
        <w:rPr>
          <w:rFonts w:hint="eastAsia" w:ascii="仿宋" w:hAnsi="仿宋" w:eastAsia="仿宋" w:cs="仿宋"/>
          <w:color w:val="000000" w:themeColor="text1"/>
          <w:sz w:val="30"/>
          <w:szCs w:val="30"/>
          <w:highlight w:val="none"/>
          <w:u w:val="none"/>
        </w:rPr>
        <w:t>具体为：</w:t>
      </w:r>
    </w:p>
    <w:p w14:paraId="78F6F117">
      <w:pPr>
        <w:spacing w:line="600" w:lineRule="exact"/>
        <w:ind w:firstLine="600" w:firstLineChars="200"/>
        <w:rPr>
          <w:rFonts w:ascii="仿宋" w:hAnsi="仿宋" w:eastAsia="仿宋" w:cs="仿宋"/>
          <w:color w:val="000000" w:themeColor="text1"/>
          <w:spacing w:val="17"/>
          <w:sz w:val="30"/>
          <w:szCs w:val="30"/>
          <w:highlight w:val="none"/>
          <w:u w:val="none"/>
        </w:rPr>
      </w:pPr>
      <w:r>
        <w:rPr>
          <w:rFonts w:hint="eastAsia" w:ascii="仿宋" w:hAnsi="仿宋" w:eastAsia="仿宋" w:cs="仿宋"/>
          <w:color w:val="000000" w:themeColor="text1"/>
          <w:sz w:val="30"/>
          <w:szCs w:val="30"/>
          <w:highlight w:val="none"/>
          <w:u w:val="none"/>
        </w:rPr>
        <w:t>按支出功能分类科目划分：</w:t>
      </w:r>
      <w:r>
        <w:rPr>
          <w:rFonts w:hint="eastAsia" w:ascii="仿宋" w:hAnsi="仿宋" w:eastAsia="仿宋" w:cs="仿宋"/>
          <w:color w:val="000000" w:themeColor="text1"/>
          <w:spacing w:val="12"/>
          <w:sz w:val="30"/>
          <w:szCs w:val="30"/>
          <w:highlight w:val="none"/>
          <w:u w:val="none"/>
        </w:rPr>
        <w:t>公共</w:t>
      </w:r>
      <w:r>
        <w:rPr>
          <w:rFonts w:ascii="仿宋" w:hAnsi="仿宋" w:eastAsia="仿宋" w:cs="仿宋"/>
          <w:color w:val="000000" w:themeColor="text1"/>
          <w:spacing w:val="12"/>
          <w:sz w:val="30"/>
          <w:szCs w:val="30"/>
          <w:highlight w:val="none"/>
          <w:u w:val="none"/>
        </w:rPr>
        <w:t>安全</w:t>
      </w:r>
      <w:r>
        <w:rPr>
          <w:rFonts w:hint="eastAsia" w:ascii="仿宋" w:hAnsi="仿宋" w:eastAsia="仿宋" w:cs="仿宋"/>
          <w:color w:val="000000" w:themeColor="text1"/>
          <w:spacing w:val="12"/>
          <w:sz w:val="30"/>
          <w:szCs w:val="30"/>
          <w:highlight w:val="none"/>
          <w:u w:val="none"/>
        </w:rPr>
        <w:t>支出7303.12万元,较</w:t>
      </w:r>
      <w:r>
        <w:rPr>
          <w:rFonts w:hint="eastAsia" w:ascii="仿宋" w:hAnsi="仿宋" w:eastAsia="仿宋" w:cs="仿宋"/>
          <w:color w:val="000000" w:themeColor="text1"/>
          <w:spacing w:val="5"/>
          <w:sz w:val="30"/>
          <w:szCs w:val="30"/>
          <w:highlight w:val="none"/>
          <w:u w:val="none"/>
        </w:rPr>
        <w:t>上年预算安排增加1</w:t>
      </w:r>
      <w:r>
        <w:rPr>
          <w:rFonts w:hint="eastAsia" w:ascii="仿宋" w:hAnsi="仿宋" w:eastAsia="仿宋" w:cs="仿宋"/>
          <w:color w:val="000000" w:themeColor="text1"/>
          <w:spacing w:val="5"/>
          <w:sz w:val="30"/>
          <w:szCs w:val="30"/>
          <w:highlight w:val="none"/>
          <w:u w:val="none"/>
          <w:lang w:val="en-US" w:eastAsia="zh-CN"/>
        </w:rPr>
        <w:t>1</w:t>
      </w:r>
      <w:r>
        <w:rPr>
          <w:rFonts w:hint="eastAsia" w:ascii="仿宋" w:hAnsi="仿宋" w:eastAsia="仿宋" w:cs="仿宋"/>
          <w:color w:val="000000" w:themeColor="text1"/>
          <w:spacing w:val="5"/>
          <w:sz w:val="30"/>
          <w:szCs w:val="30"/>
          <w:highlight w:val="none"/>
          <w:u w:val="none"/>
        </w:rPr>
        <w:t>86.97万元;社会保障和就业支出10.41万元,较</w:t>
      </w:r>
      <w:r>
        <w:rPr>
          <w:rFonts w:hint="eastAsia" w:ascii="仿宋" w:hAnsi="仿宋" w:eastAsia="仿宋" w:cs="仿宋"/>
          <w:color w:val="000000" w:themeColor="text1"/>
          <w:spacing w:val="10"/>
          <w:sz w:val="30"/>
          <w:szCs w:val="30"/>
          <w:highlight w:val="none"/>
          <w:u w:val="none"/>
        </w:rPr>
        <w:t>上年预算安排增加1.69万元;卫生健康支出3.7万</w:t>
      </w:r>
      <w:r>
        <w:rPr>
          <w:rFonts w:hint="eastAsia" w:ascii="仿宋" w:hAnsi="仿宋" w:eastAsia="仿宋" w:cs="仿宋"/>
          <w:color w:val="000000" w:themeColor="text1"/>
          <w:spacing w:val="5"/>
          <w:sz w:val="30"/>
          <w:szCs w:val="30"/>
          <w:highlight w:val="none"/>
          <w:u w:val="none"/>
        </w:rPr>
        <w:t>元,较上年预算安排减少0.56万元;住房保障支出2.51万</w:t>
      </w:r>
      <w:r>
        <w:rPr>
          <w:rFonts w:hint="eastAsia" w:ascii="仿宋" w:hAnsi="仿宋" w:eastAsia="仿宋" w:cs="仿宋"/>
          <w:color w:val="000000" w:themeColor="text1"/>
          <w:spacing w:val="17"/>
          <w:sz w:val="30"/>
          <w:szCs w:val="30"/>
          <w:highlight w:val="none"/>
          <w:u w:val="none"/>
        </w:rPr>
        <w:t>元,较上年预算安排减少2.5万元。</w:t>
      </w:r>
    </w:p>
    <w:p w14:paraId="5B8EA861">
      <w:pPr>
        <w:pStyle w:val="2"/>
        <w:spacing w:line="600" w:lineRule="exact"/>
        <w:ind w:firstLine="600"/>
        <w:rPr>
          <w:rFonts w:hint="eastAsia" w:ascii="仿宋" w:hAnsi="仿宋" w:eastAsia="仿宋" w:cs="仿宋"/>
          <w:color w:val="000000" w:themeColor="text1"/>
          <w:sz w:val="30"/>
          <w:szCs w:val="30"/>
          <w:highlight w:val="none"/>
          <w:u w:val="none"/>
        </w:rPr>
      </w:pPr>
      <w:r>
        <w:rPr>
          <w:rFonts w:hint="eastAsia" w:ascii="仿宋" w:hAnsi="仿宋" w:eastAsia="仿宋" w:cs="仿宋"/>
          <w:color w:val="000000" w:themeColor="text1"/>
          <w:sz w:val="30"/>
          <w:szCs w:val="30"/>
          <w:highlight w:val="none"/>
          <w:u w:val="none"/>
        </w:rPr>
        <w:t>按支出项目类别划分：1、基本支出312.44万元，较上年预算安排减少32.24万元，其中：工资福利支出53.38万元，商品和服务支出191.49万元，对个人和家庭的补助7.57万元，资本性支出60万元。2、项目支出7007.3万元，较上年预算安排增1217.84万元，其中：工资福利支出947.3万元，商品和服务支出60万元，对个人和家庭的补助0万元，资本性支出0万元，其他相关支出0万元。</w:t>
      </w:r>
    </w:p>
    <w:p w14:paraId="4B3D7D8E">
      <w:pPr>
        <w:pStyle w:val="2"/>
        <w:spacing w:line="600" w:lineRule="exact"/>
        <w:ind w:firstLine="600"/>
        <w:rPr>
          <w:rFonts w:ascii="仿宋" w:hAnsi="仿宋" w:eastAsia="仿宋" w:cs="仿宋"/>
          <w:color w:val="000000" w:themeColor="text1"/>
          <w:sz w:val="30"/>
          <w:szCs w:val="30"/>
          <w:highlight w:val="none"/>
        </w:rPr>
      </w:pPr>
      <w:r>
        <w:rPr>
          <w:rFonts w:hint="eastAsia" w:ascii="仿宋" w:hAnsi="仿宋" w:eastAsia="仿宋" w:cs="仿宋"/>
          <w:color w:val="000000" w:themeColor="text1"/>
          <w:sz w:val="30"/>
          <w:szCs w:val="30"/>
          <w:highlight w:val="none"/>
        </w:rPr>
        <w:t>按支出经济分类科目划分：工资福利支出2595.68万元，</w:t>
      </w:r>
      <w:r>
        <w:rPr>
          <w:rFonts w:hint="eastAsia" w:ascii="仿宋" w:hAnsi="仿宋" w:eastAsia="仿宋" w:cs="仿宋"/>
          <w:color w:val="000000" w:themeColor="text1"/>
          <w:highlight w:val="none"/>
        </w:rPr>
        <w:t>较上年预算安排增加180.33万元；</w:t>
      </w:r>
      <w:r>
        <w:rPr>
          <w:rFonts w:hint="eastAsia" w:ascii="仿宋" w:hAnsi="仿宋" w:eastAsia="仿宋" w:cs="仿宋"/>
          <w:color w:val="000000" w:themeColor="text1"/>
          <w:sz w:val="30"/>
          <w:szCs w:val="30"/>
          <w:highlight w:val="none"/>
        </w:rPr>
        <w:t>商品和服务支出2156.49万元，</w:t>
      </w:r>
      <w:r>
        <w:rPr>
          <w:rFonts w:hint="eastAsia" w:ascii="仿宋" w:hAnsi="仿宋" w:eastAsia="仿宋" w:cs="仿宋"/>
          <w:color w:val="000000" w:themeColor="text1"/>
          <w:highlight w:val="none"/>
        </w:rPr>
        <w:t>较上年预算安排增加518.78万元；</w:t>
      </w:r>
      <w:r>
        <w:rPr>
          <w:rFonts w:hint="eastAsia" w:ascii="仿宋" w:hAnsi="仿宋" w:eastAsia="仿宋" w:cs="仿宋"/>
          <w:color w:val="000000" w:themeColor="text1"/>
          <w:sz w:val="30"/>
          <w:szCs w:val="30"/>
          <w:highlight w:val="none"/>
        </w:rPr>
        <w:t>对个人和家庭的补助7.57万元，</w:t>
      </w:r>
      <w:r>
        <w:rPr>
          <w:rFonts w:hint="eastAsia" w:ascii="仿宋" w:hAnsi="仿宋" w:eastAsia="仿宋" w:cs="仿宋"/>
          <w:color w:val="000000" w:themeColor="text1"/>
          <w:highlight w:val="none"/>
        </w:rPr>
        <w:t>较上年预算安排增加5.49万元；</w:t>
      </w:r>
      <w:r>
        <w:rPr>
          <w:rFonts w:hint="eastAsia" w:ascii="仿宋" w:hAnsi="仿宋" w:eastAsia="仿宋" w:cs="仿宋"/>
          <w:color w:val="000000" w:themeColor="text1"/>
          <w:sz w:val="30"/>
          <w:szCs w:val="30"/>
          <w:highlight w:val="none"/>
        </w:rPr>
        <w:t>资本性支出1560万元，</w:t>
      </w:r>
      <w:r>
        <w:rPr>
          <w:rFonts w:hint="eastAsia" w:ascii="仿宋" w:hAnsi="仿宋" w:eastAsia="仿宋" w:cs="仿宋"/>
          <w:color w:val="000000" w:themeColor="text1"/>
          <w:highlight w:val="none"/>
        </w:rPr>
        <w:t>较上年预算安排增加81万元；</w:t>
      </w:r>
      <w:r>
        <w:rPr>
          <w:rFonts w:hint="eastAsia" w:ascii="仿宋" w:hAnsi="仿宋" w:eastAsia="仿宋" w:cs="仿宋"/>
          <w:color w:val="000000" w:themeColor="text1"/>
          <w:sz w:val="30"/>
          <w:szCs w:val="30"/>
          <w:highlight w:val="none"/>
        </w:rPr>
        <w:t>其他相关支出1000万元，</w:t>
      </w:r>
      <w:r>
        <w:rPr>
          <w:rFonts w:hint="eastAsia" w:ascii="仿宋" w:hAnsi="仿宋" w:eastAsia="仿宋" w:cs="仿宋"/>
          <w:color w:val="000000" w:themeColor="text1"/>
          <w:highlight w:val="none"/>
        </w:rPr>
        <w:t>较上年预算安排增加400万元。</w:t>
      </w:r>
    </w:p>
    <w:p w14:paraId="31797EC2">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（三）财政拨款支出情况</w:t>
      </w:r>
    </w:p>
    <w:p w14:paraId="32DF510E">
      <w:pPr>
        <w:pStyle w:val="2"/>
        <w:spacing w:line="600" w:lineRule="exact"/>
        <w:ind w:firstLine="640" w:firstLineChars="200"/>
        <w:rPr>
          <w:rFonts w:ascii="仿宋" w:hAnsi="仿宋" w:eastAsia="仿宋" w:cs="仿宋"/>
          <w:color w:val="000000" w:themeColor="text1"/>
          <w:sz w:val="30"/>
          <w:szCs w:val="30"/>
          <w:highlight w:val="none"/>
          <w:u w:val="none"/>
        </w:rPr>
      </w:pPr>
      <w:r>
        <w:rPr>
          <w:rFonts w:hint="eastAsia" w:ascii="仿宋" w:hAnsi="仿宋" w:eastAsia="仿宋" w:cs="仿宋"/>
          <w:color w:val="000000" w:themeColor="text1"/>
          <w:highlight w:val="none"/>
          <w:u w:val="none"/>
          <w:lang w:val="en-US"/>
        </w:rPr>
        <w:t>2025年</w:t>
      </w:r>
      <w:r>
        <w:rPr>
          <w:rFonts w:hint="eastAsia" w:ascii="仿宋" w:hAnsi="仿宋" w:eastAsia="仿宋" w:cs="仿宋"/>
          <w:color w:val="000000" w:themeColor="text1"/>
          <w:sz w:val="30"/>
          <w:szCs w:val="30"/>
          <w:highlight w:val="none"/>
          <w:u w:val="none"/>
        </w:rPr>
        <w:t>本单位财政拨款（补助）支出预算1319.74万元，占本年支出预算额的18.03%，</w:t>
      </w:r>
      <w:r>
        <w:rPr>
          <w:rFonts w:hint="eastAsia" w:ascii="仿宋" w:hAnsi="仿宋" w:eastAsia="仿宋" w:cs="仿宋"/>
          <w:color w:val="000000" w:themeColor="text1"/>
          <w:highlight w:val="none"/>
          <w:u w:val="none"/>
        </w:rPr>
        <w:t>较上年预算安排增加305.</w:t>
      </w:r>
      <w:r>
        <w:rPr>
          <w:rFonts w:hint="eastAsia" w:ascii="仿宋" w:hAnsi="仿宋" w:eastAsia="仿宋" w:cs="仿宋"/>
          <w:color w:val="000000" w:themeColor="text1"/>
          <w:highlight w:val="none"/>
          <w:u w:val="none"/>
          <w:lang w:val="en-US" w:eastAsia="zh-CN"/>
        </w:rPr>
        <w:t>83</w:t>
      </w:r>
      <w:r>
        <w:rPr>
          <w:rFonts w:hint="eastAsia" w:ascii="仿宋" w:hAnsi="仿宋" w:eastAsia="仿宋" w:cs="仿宋"/>
          <w:color w:val="000000" w:themeColor="text1"/>
          <w:highlight w:val="none"/>
          <w:u w:val="none"/>
        </w:rPr>
        <w:t>万元，增加30</w:t>
      </w:r>
      <w:r>
        <w:rPr>
          <w:rFonts w:hint="eastAsia" w:ascii="仿宋" w:hAnsi="仿宋" w:eastAsia="仿宋" w:cs="仿宋"/>
          <w:color w:val="000000" w:themeColor="text1"/>
          <w:sz w:val="30"/>
          <w:szCs w:val="30"/>
          <w:highlight w:val="none"/>
          <w:u w:val="none"/>
        </w:rPr>
        <w:t>%</w:t>
      </w:r>
      <w:r>
        <w:rPr>
          <w:rFonts w:hint="eastAsia" w:ascii="仿宋" w:hAnsi="仿宋" w:eastAsia="仿宋" w:cs="仿宋"/>
          <w:color w:val="000000" w:themeColor="text1"/>
          <w:highlight w:val="none"/>
          <w:u w:val="none"/>
        </w:rPr>
        <w:t>。增减变化主要原因是：人员增加。</w:t>
      </w:r>
      <w:r>
        <w:rPr>
          <w:rFonts w:hint="eastAsia" w:ascii="仿宋" w:hAnsi="仿宋" w:eastAsia="仿宋" w:cs="仿宋"/>
          <w:color w:val="000000" w:themeColor="text1"/>
          <w:sz w:val="30"/>
          <w:szCs w:val="30"/>
          <w:highlight w:val="none"/>
          <w:u w:val="none"/>
        </w:rPr>
        <w:t>具体为：</w:t>
      </w:r>
    </w:p>
    <w:p w14:paraId="0F753346">
      <w:pPr>
        <w:spacing w:line="600" w:lineRule="exact"/>
        <w:ind w:firstLine="600" w:firstLineChars="200"/>
        <w:rPr>
          <w:rFonts w:ascii="仿宋" w:hAnsi="仿宋" w:eastAsia="仿宋" w:cs="仿宋"/>
          <w:color w:val="000000" w:themeColor="text1"/>
          <w:spacing w:val="17"/>
          <w:sz w:val="30"/>
          <w:szCs w:val="30"/>
          <w:highlight w:val="none"/>
          <w:u w:val="none"/>
        </w:rPr>
      </w:pPr>
      <w:r>
        <w:rPr>
          <w:rFonts w:hint="eastAsia" w:ascii="仿宋" w:hAnsi="仿宋" w:eastAsia="仿宋" w:cs="仿宋"/>
          <w:color w:val="000000" w:themeColor="text1"/>
          <w:sz w:val="30"/>
          <w:szCs w:val="30"/>
          <w:highlight w:val="none"/>
          <w:u w:val="none"/>
        </w:rPr>
        <w:t>按支出功能分类科目划分：</w:t>
      </w:r>
      <w:r>
        <w:rPr>
          <w:rFonts w:hint="eastAsia" w:ascii="仿宋" w:hAnsi="仿宋" w:eastAsia="仿宋" w:cs="仿宋"/>
          <w:color w:val="000000" w:themeColor="text1"/>
          <w:spacing w:val="12"/>
          <w:sz w:val="30"/>
          <w:szCs w:val="30"/>
          <w:highlight w:val="none"/>
          <w:u w:val="none"/>
        </w:rPr>
        <w:t>公共</w:t>
      </w:r>
      <w:r>
        <w:rPr>
          <w:rFonts w:ascii="仿宋" w:hAnsi="仿宋" w:eastAsia="仿宋" w:cs="仿宋"/>
          <w:color w:val="000000" w:themeColor="text1"/>
          <w:spacing w:val="12"/>
          <w:sz w:val="30"/>
          <w:szCs w:val="30"/>
          <w:highlight w:val="none"/>
          <w:u w:val="none"/>
        </w:rPr>
        <w:t>安全</w:t>
      </w:r>
      <w:r>
        <w:rPr>
          <w:rFonts w:hint="eastAsia" w:ascii="仿宋" w:hAnsi="仿宋" w:eastAsia="仿宋" w:cs="仿宋"/>
          <w:color w:val="000000" w:themeColor="text1"/>
          <w:spacing w:val="12"/>
          <w:sz w:val="30"/>
          <w:szCs w:val="30"/>
          <w:highlight w:val="none"/>
          <w:u w:val="none"/>
        </w:rPr>
        <w:t>支出1303.12万元,较</w:t>
      </w:r>
      <w:r>
        <w:rPr>
          <w:rFonts w:hint="eastAsia" w:ascii="仿宋" w:hAnsi="仿宋" w:eastAsia="仿宋" w:cs="仿宋"/>
          <w:color w:val="000000" w:themeColor="text1"/>
          <w:spacing w:val="5"/>
          <w:sz w:val="30"/>
          <w:szCs w:val="30"/>
          <w:highlight w:val="none"/>
          <w:u w:val="none"/>
        </w:rPr>
        <w:t>上年预算安排</w:t>
      </w:r>
      <w:r>
        <w:rPr>
          <w:rFonts w:hint="eastAsia" w:ascii="仿宋" w:hAnsi="仿宋" w:eastAsia="仿宋" w:cs="仿宋"/>
          <w:color w:val="000000" w:themeColor="text1"/>
          <w:sz w:val="32"/>
          <w:szCs w:val="32"/>
          <w:highlight w:val="none"/>
          <w:u w:val="none"/>
        </w:rPr>
        <w:t>增加306.75</w:t>
      </w:r>
      <w:r>
        <w:rPr>
          <w:rFonts w:hint="eastAsia" w:ascii="仿宋" w:hAnsi="仿宋" w:eastAsia="仿宋" w:cs="仿宋"/>
          <w:color w:val="000000" w:themeColor="text1"/>
          <w:spacing w:val="5"/>
          <w:sz w:val="30"/>
          <w:szCs w:val="30"/>
          <w:highlight w:val="none"/>
          <w:u w:val="none"/>
        </w:rPr>
        <w:t>万元;社会保障和就业支出10.41万元,较</w:t>
      </w:r>
      <w:r>
        <w:rPr>
          <w:rFonts w:hint="eastAsia" w:ascii="仿宋" w:hAnsi="仿宋" w:eastAsia="仿宋" w:cs="仿宋"/>
          <w:color w:val="000000" w:themeColor="text1"/>
          <w:spacing w:val="10"/>
          <w:sz w:val="30"/>
          <w:szCs w:val="30"/>
          <w:highlight w:val="none"/>
          <w:u w:val="none"/>
        </w:rPr>
        <w:t>上年预算安排</w:t>
      </w:r>
      <w:r>
        <w:rPr>
          <w:rFonts w:hint="eastAsia" w:ascii="仿宋" w:hAnsi="仿宋" w:eastAsia="仿宋" w:cs="仿宋"/>
          <w:color w:val="000000" w:themeColor="text1"/>
          <w:sz w:val="32"/>
          <w:szCs w:val="32"/>
          <w:highlight w:val="none"/>
          <w:u w:val="none"/>
        </w:rPr>
        <w:t>增加1.69</w:t>
      </w:r>
      <w:r>
        <w:rPr>
          <w:rFonts w:hint="eastAsia" w:ascii="仿宋" w:hAnsi="仿宋" w:eastAsia="仿宋" w:cs="仿宋"/>
          <w:color w:val="000000" w:themeColor="text1"/>
          <w:spacing w:val="10"/>
          <w:sz w:val="30"/>
          <w:szCs w:val="30"/>
          <w:highlight w:val="none"/>
          <w:u w:val="none"/>
        </w:rPr>
        <w:t>万元;卫生健康支出3.7万</w:t>
      </w:r>
      <w:r>
        <w:rPr>
          <w:rFonts w:hint="eastAsia" w:ascii="仿宋" w:hAnsi="仿宋" w:eastAsia="仿宋" w:cs="仿宋"/>
          <w:color w:val="000000" w:themeColor="text1"/>
          <w:spacing w:val="5"/>
          <w:sz w:val="30"/>
          <w:szCs w:val="30"/>
          <w:highlight w:val="none"/>
          <w:u w:val="none"/>
        </w:rPr>
        <w:t>元,较上年预算安排</w:t>
      </w:r>
      <w:r>
        <w:rPr>
          <w:rFonts w:hint="eastAsia" w:ascii="仿宋" w:hAnsi="仿宋" w:eastAsia="仿宋" w:cs="仿宋"/>
          <w:color w:val="000000" w:themeColor="text1"/>
          <w:sz w:val="32"/>
          <w:szCs w:val="32"/>
          <w:highlight w:val="none"/>
          <w:u w:val="none"/>
        </w:rPr>
        <w:t>减少0.56</w:t>
      </w:r>
      <w:r>
        <w:rPr>
          <w:rFonts w:hint="eastAsia" w:ascii="仿宋" w:hAnsi="仿宋" w:eastAsia="仿宋" w:cs="仿宋"/>
          <w:color w:val="000000" w:themeColor="text1"/>
          <w:spacing w:val="5"/>
          <w:sz w:val="30"/>
          <w:szCs w:val="30"/>
          <w:highlight w:val="none"/>
          <w:u w:val="none"/>
        </w:rPr>
        <w:t>万元;住房保障支出2.51万</w:t>
      </w:r>
      <w:r>
        <w:rPr>
          <w:rFonts w:hint="eastAsia" w:ascii="仿宋" w:hAnsi="仿宋" w:eastAsia="仿宋" w:cs="仿宋"/>
          <w:color w:val="000000" w:themeColor="text1"/>
          <w:spacing w:val="17"/>
          <w:sz w:val="30"/>
          <w:szCs w:val="30"/>
          <w:highlight w:val="none"/>
          <w:u w:val="none"/>
        </w:rPr>
        <w:t>元,较上年预算安排</w:t>
      </w:r>
      <w:r>
        <w:rPr>
          <w:rFonts w:hint="eastAsia" w:ascii="仿宋" w:hAnsi="仿宋" w:eastAsia="仿宋" w:cs="仿宋"/>
          <w:color w:val="000000" w:themeColor="text1"/>
          <w:sz w:val="32"/>
          <w:szCs w:val="32"/>
          <w:highlight w:val="none"/>
          <w:u w:val="none"/>
        </w:rPr>
        <w:t>减少2.05</w:t>
      </w:r>
      <w:r>
        <w:rPr>
          <w:rFonts w:hint="eastAsia" w:ascii="仿宋" w:hAnsi="仿宋" w:eastAsia="仿宋" w:cs="仿宋"/>
          <w:color w:val="000000" w:themeColor="text1"/>
          <w:spacing w:val="17"/>
          <w:sz w:val="30"/>
          <w:szCs w:val="30"/>
          <w:highlight w:val="none"/>
          <w:u w:val="none"/>
        </w:rPr>
        <w:t>万元;其他支出0</w:t>
      </w:r>
      <w:r>
        <w:rPr>
          <w:rFonts w:hint="eastAsia" w:ascii="仿宋" w:hAnsi="仿宋" w:eastAsia="仿宋" w:cs="仿宋"/>
          <w:color w:val="000000" w:themeColor="text1"/>
          <w:spacing w:val="5"/>
          <w:sz w:val="30"/>
          <w:szCs w:val="30"/>
          <w:highlight w:val="none"/>
          <w:u w:val="none"/>
        </w:rPr>
        <w:t>万</w:t>
      </w:r>
      <w:r>
        <w:rPr>
          <w:rFonts w:hint="eastAsia" w:ascii="仿宋" w:hAnsi="仿宋" w:eastAsia="仿宋" w:cs="仿宋"/>
          <w:color w:val="000000" w:themeColor="text1"/>
          <w:spacing w:val="17"/>
          <w:sz w:val="30"/>
          <w:szCs w:val="30"/>
          <w:highlight w:val="none"/>
          <w:u w:val="none"/>
        </w:rPr>
        <w:t>元,较上年持平。</w:t>
      </w:r>
    </w:p>
    <w:p w14:paraId="03EB82B5">
      <w:pPr>
        <w:spacing w:line="600" w:lineRule="exact"/>
        <w:ind w:firstLine="600" w:firstLineChars="200"/>
        <w:rPr>
          <w:rFonts w:ascii="仿宋" w:hAnsi="仿宋" w:eastAsia="仿宋" w:cs="仿宋"/>
          <w:color w:val="000000" w:themeColor="text1"/>
          <w:sz w:val="30"/>
          <w:szCs w:val="30"/>
          <w:highlight w:val="none"/>
          <w:u w:val="none"/>
        </w:rPr>
      </w:pPr>
      <w:r>
        <w:rPr>
          <w:rFonts w:hint="eastAsia" w:ascii="仿宋" w:hAnsi="仿宋" w:eastAsia="仿宋" w:cs="仿宋"/>
          <w:color w:val="000000" w:themeColor="text1"/>
          <w:sz w:val="30"/>
          <w:szCs w:val="30"/>
          <w:highlight w:val="none"/>
          <w:u w:val="none"/>
        </w:rPr>
        <w:t>按支出项目类别划分：1、基本支出312.44万元，</w:t>
      </w:r>
      <w:r>
        <w:rPr>
          <w:rFonts w:hint="eastAsia" w:ascii="仿宋" w:hAnsi="仿宋" w:eastAsia="仿宋" w:cs="仿宋"/>
          <w:color w:val="000000" w:themeColor="text1"/>
          <w:sz w:val="32"/>
          <w:szCs w:val="32"/>
          <w:highlight w:val="none"/>
          <w:u w:val="none"/>
        </w:rPr>
        <w:t>较上年预算安排减少32.24万元，</w:t>
      </w:r>
      <w:r>
        <w:rPr>
          <w:rFonts w:hint="eastAsia" w:ascii="仿宋" w:hAnsi="仿宋" w:eastAsia="仿宋" w:cs="仿宋"/>
          <w:color w:val="000000" w:themeColor="text1"/>
          <w:sz w:val="30"/>
          <w:szCs w:val="30"/>
          <w:highlight w:val="none"/>
          <w:u w:val="none"/>
        </w:rPr>
        <w:t>其中：工资福利支出53.38万元，商品和服务支出191.49万元，对个人和家庭的补助7.57万元，资本性支出60万元。2、项目支出1007.3万元，</w:t>
      </w:r>
      <w:r>
        <w:rPr>
          <w:rFonts w:hint="eastAsia" w:ascii="仿宋" w:hAnsi="仿宋" w:eastAsia="仿宋" w:cs="仿宋"/>
          <w:color w:val="000000" w:themeColor="text1"/>
          <w:sz w:val="32"/>
          <w:szCs w:val="32"/>
          <w:highlight w:val="none"/>
          <w:u w:val="none"/>
        </w:rPr>
        <w:t>较上年预算安排增</w:t>
      </w:r>
      <w:r>
        <w:rPr>
          <w:rFonts w:hint="eastAsia" w:ascii="仿宋" w:hAnsi="仿宋" w:eastAsia="仿宋" w:cs="仿宋"/>
          <w:color w:val="000000" w:themeColor="text1"/>
          <w:sz w:val="32"/>
          <w:szCs w:val="32"/>
          <w:highlight w:val="none"/>
          <w:u w:val="none"/>
          <w:lang w:val="en-US" w:eastAsia="zh-CN"/>
        </w:rPr>
        <w:t>338.07</w:t>
      </w:r>
      <w:r>
        <w:rPr>
          <w:rFonts w:hint="eastAsia" w:ascii="仿宋" w:hAnsi="仿宋" w:eastAsia="仿宋" w:cs="仿宋"/>
          <w:color w:val="000000" w:themeColor="text1"/>
          <w:sz w:val="32"/>
          <w:szCs w:val="32"/>
          <w:highlight w:val="none"/>
          <w:u w:val="none"/>
        </w:rPr>
        <w:t>万元，</w:t>
      </w:r>
      <w:r>
        <w:rPr>
          <w:rFonts w:hint="eastAsia" w:ascii="仿宋" w:hAnsi="仿宋" w:eastAsia="仿宋" w:cs="仿宋"/>
          <w:color w:val="000000" w:themeColor="text1"/>
          <w:sz w:val="30"/>
          <w:szCs w:val="30"/>
          <w:highlight w:val="none"/>
          <w:u w:val="none"/>
        </w:rPr>
        <w:t>其中：工资福利支出947.3万元，商品和服务支出60万元，</w:t>
      </w:r>
      <w:r>
        <w:rPr>
          <w:rFonts w:hint="eastAsia" w:ascii="仿宋" w:hAnsi="仿宋" w:eastAsia="仿宋" w:cs="仿宋"/>
          <w:color w:val="000000" w:themeColor="text1"/>
          <w:sz w:val="30"/>
          <w:szCs w:val="30"/>
          <w:highlight w:val="none"/>
          <w:u w:val="none"/>
        </w:rPr>
        <w:t>对个人和家庭的补助0万元，资本性支出0万元，其他相关支出0万元。</w:t>
      </w:r>
    </w:p>
    <w:p w14:paraId="423E6C21">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（四）政府性基金情况</w:t>
      </w:r>
    </w:p>
    <w:p w14:paraId="06B7466A">
      <w:pPr>
        <w:spacing w:line="600" w:lineRule="exact"/>
        <w:ind w:firstLine="640" w:firstLineChars="200"/>
        <w:rPr>
          <w:rFonts w:ascii="仿宋" w:hAnsi="仿宋" w:eastAsia="仿宋" w:cs="仿宋"/>
          <w:color w:val="000000" w:themeColor="text1"/>
          <w:sz w:val="30"/>
          <w:szCs w:val="30"/>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政府性基金</w:t>
      </w:r>
      <w:r>
        <w:rPr>
          <w:rFonts w:hint="eastAsia" w:ascii="仿宋" w:hAnsi="仿宋" w:eastAsia="仿宋" w:cs="仿宋"/>
          <w:color w:val="000000" w:themeColor="text1"/>
          <w:sz w:val="30"/>
          <w:szCs w:val="30"/>
          <w:highlight w:val="none"/>
          <w:u w:val="none"/>
        </w:rPr>
        <w:t>无使用政府性基金预算拨款安排的支出。</w:t>
      </w:r>
    </w:p>
    <w:p w14:paraId="137FAE1F">
      <w:pPr>
        <w:numPr>
          <w:ilvl w:val="0"/>
          <w:numId w:val="1"/>
        </w:num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国有资本经营情况</w:t>
      </w:r>
    </w:p>
    <w:p w14:paraId="63060C22">
      <w:pPr>
        <w:spacing w:line="600" w:lineRule="exact"/>
        <w:ind w:firstLine="640" w:firstLineChars="200"/>
        <w:rPr>
          <w:rFonts w:ascii="仿宋" w:hAnsi="仿宋" w:eastAsia="仿宋" w:cs="仿宋"/>
          <w:color w:val="000000" w:themeColor="text1"/>
          <w:sz w:val="28"/>
          <w:szCs w:val="28"/>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无使用国有资本经营预算拨款安排的支出。</w:t>
      </w:r>
    </w:p>
    <w:p w14:paraId="20D2793D">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（六）机关运行经费等重要事项的说明</w:t>
      </w:r>
    </w:p>
    <w:p w14:paraId="1FB9C89A">
      <w:pPr>
        <w:spacing w:line="600" w:lineRule="exact"/>
        <w:ind w:firstLine="640" w:firstLineChars="200"/>
        <w:rPr>
          <w:rFonts w:ascii="楷体" w:hAnsi="楷体" w:eastAsia="楷体" w:cs="楷体"/>
          <w:color w:val="000000" w:themeColor="text1"/>
          <w:sz w:val="24"/>
          <w:szCs w:val="24"/>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机关运行费预算250.53万元较上年预算安排减少12.74万元，下降4.83</w:t>
      </w:r>
      <w:r>
        <w:rPr>
          <w:rFonts w:hint="eastAsia" w:ascii="仿宋" w:hAnsi="仿宋" w:eastAsia="仿宋" w:cs="仿宋"/>
          <w:color w:val="000000" w:themeColor="text1"/>
          <w:sz w:val="30"/>
          <w:szCs w:val="30"/>
          <w:highlight w:val="none"/>
          <w:u w:val="none"/>
        </w:rPr>
        <w:t>%，</w:t>
      </w:r>
      <w:r>
        <w:rPr>
          <w:rFonts w:hint="eastAsia" w:ascii="仿宋" w:hAnsi="仿宋" w:eastAsia="仿宋" w:cs="仿宋"/>
          <w:color w:val="000000" w:themeColor="text1"/>
          <w:sz w:val="32"/>
          <w:szCs w:val="32"/>
          <w:highlight w:val="none"/>
          <w:u w:val="none"/>
        </w:rPr>
        <w:t>主要原因是：人员减少。</w:t>
      </w:r>
    </w:p>
    <w:p w14:paraId="4CA2E26A">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（七）政府采购情况</w:t>
      </w:r>
    </w:p>
    <w:p w14:paraId="6C7ABD39">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政府采购总额1909.9万元，其中：政府采购货物预算1390.9万元、政府采购工程预算300万元、政府采购服务预算219万元。</w:t>
      </w:r>
    </w:p>
    <w:p w14:paraId="74A16F43">
      <w:pPr>
        <w:spacing w:line="60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（八）国有资产占有使用情况</w:t>
      </w:r>
    </w:p>
    <w:p w14:paraId="54847EFC">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截至2024年12月31日</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共有车辆93辆，其中：一般公务用4车辆、执法执勤用91车辆。</w:t>
      </w:r>
    </w:p>
    <w:p w14:paraId="592D73FC">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2025年</w:t>
      </w:r>
      <w:r>
        <w:rPr>
          <w:rFonts w:hint="eastAsia" w:ascii="仿宋" w:hAnsi="仿宋" w:eastAsia="仿宋" w:cs="仿宋"/>
          <w:color w:val="000000" w:themeColor="text1"/>
          <w:sz w:val="30"/>
          <w:szCs w:val="30"/>
          <w:highlight w:val="none"/>
          <w:u w:val="none"/>
        </w:rPr>
        <w:t>本单位</w:t>
      </w:r>
      <w:r>
        <w:rPr>
          <w:rFonts w:hint="eastAsia" w:ascii="仿宋" w:hAnsi="仿宋" w:eastAsia="仿宋" w:cs="仿宋"/>
          <w:color w:val="000000" w:themeColor="text1"/>
          <w:sz w:val="32"/>
          <w:szCs w:val="32"/>
          <w:highlight w:val="none"/>
          <w:u w:val="none"/>
        </w:rPr>
        <w:t>预算安排购置车辆5辆，未安排购置单位价值200万元以上大型设备。</w:t>
      </w:r>
    </w:p>
    <w:p w14:paraId="0AF60B61">
      <w:pPr>
        <w:numPr>
          <w:ilvl w:val="0"/>
          <w:numId w:val="2"/>
        </w:numPr>
        <w:spacing w:line="560" w:lineRule="exact"/>
        <w:ind w:firstLine="643" w:firstLineChars="200"/>
        <w:rPr>
          <w:rFonts w:ascii="仿宋" w:hAnsi="仿宋" w:eastAsia="仿宋" w:cs="仿宋"/>
          <w:b/>
          <w:bCs/>
          <w:color w:val="000000" w:themeColor="text1"/>
          <w:sz w:val="32"/>
          <w:szCs w:val="32"/>
          <w:highlight w:val="none"/>
          <w:u w:val="none"/>
        </w:rPr>
      </w:pPr>
      <w:r>
        <w:rPr>
          <w:rFonts w:hint="eastAsia" w:ascii="仿宋" w:hAnsi="仿宋" w:eastAsia="仿宋" w:cs="仿宋"/>
          <w:b/>
          <w:bCs/>
          <w:color w:val="000000" w:themeColor="text1"/>
          <w:sz w:val="32"/>
          <w:szCs w:val="32"/>
          <w:highlight w:val="none"/>
          <w:u w:val="none"/>
        </w:rPr>
        <w:t>项目绩效目标设置情况</w:t>
      </w:r>
    </w:p>
    <w:p w14:paraId="478264E8">
      <w:pPr>
        <w:pStyle w:val="2"/>
        <w:ind w:firstLine="640" w:firstLineChars="200"/>
        <w:rPr>
          <w:color w:val="000000" w:themeColor="text1"/>
          <w:highlight w:val="none"/>
          <w:u w:val="none"/>
          <w:lang w:val="en-US"/>
        </w:rPr>
      </w:pPr>
      <w:r>
        <w:rPr>
          <w:rFonts w:hint="eastAsia"/>
          <w:color w:val="000000" w:themeColor="text1"/>
          <w:highlight w:val="none"/>
          <w:u w:val="none"/>
          <w:lang w:val="en-US"/>
        </w:rPr>
        <w:t>2025年本单位预算安排项目</w:t>
      </w:r>
      <w:r>
        <w:rPr>
          <w:rFonts w:hint="eastAsia"/>
          <w:color w:val="000000" w:themeColor="text1"/>
          <w:highlight w:val="none"/>
          <w:u w:val="none"/>
          <w:lang w:val="en-US" w:eastAsia="zh-CN"/>
        </w:rPr>
        <w:t>5</w:t>
      </w:r>
      <w:r>
        <w:rPr>
          <w:rFonts w:hint="eastAsia"/>
          <w:color w:val="000000" w:themeColor="text1"/>
          <w:highlight w:val="none"/>
          <w:u w:val="none"/>
          <w:lang w:val="en-US"/>
        </w:rPr>
        <w:t>个，项目预算金额合计</w:t>
      </w:r>
      <w:r>
        <w:rPr>
          <w:rFonts w:hint="eastAsia"/>
          <w:color w:val="000000" w:themeColor="text1"/>
          <w:highlight w:val="none"/>
          <w:u w:val="none"/>
          <w:lang w:val="en-US" w:eastAsia="zh-CN"/>
        </w:rPr>
        <w:t>7007.30</w:t>
      </w:r>
      <w:r>
        <w:rPr>
          <w:rFonts w:hint="eastAsia"/>
          <w:color w:val="000000" w:themeColor="text1"/>
          <w:highlight w:val="none"/>
          <w:u w:val="none"/>
          <w:lang w:val="en-US"/>
        </w:rPr>
        <w:t>万元，</w:t>
      </w:r>
      <w:r>
        <w:rPr>
          <w:rFonts w:hint="eastAsia"/>
          <w:color w:val="000000" w:themeColor="text1"/>
          <w:highlight w:val="none"/>
          <w:u w:val="none"/>
          <w:lang w:val="en-US"/>
        </w:rPr>
        <w:t>其中：</w:t>
      </w:r>
    </w:p>
    <w:p w14:paraId="6C53B5AF">
      <w:pPr>
        <w:spacing w:line="560" w:lineRule="exact"/>
        <w:ind w:firstLine="643" w:firstLineChars="200"/>
        <w:rPr>
          <w:rFonts w:ascii="楷体" w:hAnsi="楷体" w:eastAsia="楷体" w:cs="楷体"/>
          <w:b/>
          <w:bCs/>
          <w:color w:val="000000" w:themeColor="text1"/>
          <w:sz w:val="28"/>
          <w:szCs w:val="28"/>
          <w:highlight w:val="none"/>
          <w:u w:val="none"/>
        </w:rPr>
      </w:pPr>
      <w:r>
        <w:rPr>
          <w:rFonts w:hint="eastAsia" w:ascii="仿宋" w:hAnsi="仿宋" w:eastAsia="仿宋" w:cs="仿宋"/>
          <w:b/>
          <w:bCs/>
          <w:color w:val="000000" w:themeColor="text1"/>
          <w:sz w:val="32"/>
          <w:szCs w:val="32"/>
          <w:highlight w:val="none"/>
          <w:u w:val="none"/>
        </w:rPr>
        <w:t>项目一：2025年成本性支出</w:t>
      </w:r>
    </w:p>
    <w:p w14:paraId="6E5CB3DF">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1.项目概述：保障2025年成本性支出</w:t>
      </w:r>
    </w:p>
    <w:p w14:paraId="6F412E36">
      <w:pPr>
        <w:spacing w:line="560" w:lineRule="exact"/>
        <w:ind w:firstLine="640" w:firstLineChars="200"/>
        <w:rPr>
          <w:rFonts w:ascii="仿宋" w:hAnsi="仿宋" w:eastAsia="仿宋" w:cs="宋体"/>
          <w:color w:val="000000" w:themeColor="text1"/>
          <w:kern w:val="0"/>
          <w:sz w:val="32"/>
          <w:szCs w:val="32"/>
          <w:highlight w:val="none"/>
          <w:u w:val="none"/>
        </w:rPr>
      </w:pPr>
      <w:r>
        <w:rPr>
          <w:rFonts w:hint="eastAsia" w:ascii="仿宋" w:hAnsi="仿宋" w:eastAsia="仿宋" w:cs="仿宋"/>
          <w:color w:val="000000" w:themeColor="text1"/>
          <w:sz w:val="32"/>
          <w:szCs w:val="32"/>
          <w:highlight w:val="none"/>
          <w:u w:val="none"/>
        </w:rPr>
        <w:t>2.立项依据：保障</w:t>
      </w:r>
      <w:r>
        <w:rPr>
          <w:rFonts w:hint="eastAsia" w:ascii="仿宋" w:hAnsi="仿宋" w:eastAsia="仿宋" w:cs="宋体"/>
          <w:color w:val="000000" w:themeColor="text1"/>
          <w:kern w:val="0"/>
          <w:sz w:val="32"/>
          <w:szCs w:val="32"/>
          <w:highlight w:val="none"/>
          <w:u w:val="none"/>
        </w:rPr>
        <w:t>全县道路交通安全管理工作</w:t>
      </w:r>
    </w:p>
    <w:p w14:paraId="1B4660D0">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3.实施主体：江西省兴国县公安局交通管理大队</w:t>
      </w:r>
    </w:p>
    <w:p w14:paraId="6C63F444">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4.实施方案：保障道路交通安全管理工作所需工作经费</w:t>
      </w:r>
    </w:p>
    <w:p w14:paraId="1944571F">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5.实施周期：一次性</w:t>
      </w:r>
    </w:p>
    <w:p w14:paraId="506A429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6.年度预算安排：项目库申报金额4960.1万元；预算批复金额4960.1万元</w:t>
      </w:r>
    </w:p>
    <w:p w14:paraId="021975F4">
      <w:pPr>
        <w:spacing w:line="560" w:lineRule="exact"/>
        <w:ind w:firstLine="640" w:firstLineChars="200"/>
        <w:rPr>
          <w:rFonts w:hint="eastAsia"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7.年度绩效目标：保障2025年成本性支出</w:t>
      </w:r>
    </w:p>
    <w:p w14:paraId="116710D3">
      <w:pPr>
        <w:spacing w:line="560" w:lineRule="exact"/>
        <w:ind w:firstLine="643" w:firstLineChars="200"/>
        <w:rPr>
          <w:rFonts w:ascii="楷体" w:hAnsi="楷体" w:eastAsia="楷体" w:cs="楷体"/>
          <w:b/>
          <w:bCs/>
          <w:color w:val="000000" w:themeColor="text1"/>
          <w:sz w:val="28"/>
          <w:szCs w:val="28"/>
          <w:highlight w:val="none"/>
          <w:u w:val="none"/>
        </w:rPr>
      </w:pPr>
      <w:r>
        <w:rPr>
          <w:rFonts w:hint="eastAsia" w:ascii="仿宋" w:hAnsi="仿宋" w:eastAsia="仿宋" w:cs="仿宋"/>
          <w:b/>
          <w:bCs/>
          <w:color w:val="000000" w:themeColor="text1"/>
          <w:sz w:val="32"/>
          <w:szCs w:val="32"/>
          <w:highlight w:val="none"/>
          <w:u w:val="none"/>
        </w:rPr>
        <w:t>项目二：2025年强制拖车和停车保管费</w:t>
      </w:r>
    </w:p>
    <w:p w14:paraId="277F639C">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1.项目概述：保障强制拖车和停车保管服务项目正常运转</w:t>
      </w:r>
    </w:p>
    <w:p w14:paraId="744F1B64">
      <w:pPr>
        <w:spacing w:line="560" w:lineRule="exact"/>
        <w:ind w:firstLine="64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2.立项依据：省厅文件</w:t>
      </w:r>
    </w:p>
    <w:p w14:paraId="34D7897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3.实施主体：江西省兴国县公安局交通管理大队</w:t>
      </w:r>
    </w:p>
    <w:p w14:paraId="10CF7E5C">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4.实施方案：通过政府采购实施服务</w:t>
      </w:r>
    </w:p>
    <w:p w14:paraId="68A40A51">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5.实施周期：一次性</w:t>
      </w:r>
    </w:p>
    <w:p w14:paraId="36610453">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6.年度预算安排：项目库申报金额99.9万元；预算批复金额99.9万元</w:t>
      </w:r>
    </w:p>
    <w:p w14:paraId="009415E3">
      <w:pPr>
        <w:spacing w:line="560" w:lineRule="exact"/>
        <w:ind w:firstLine="640" w:firstLineChars="200"/>
        <w:rPr>
          <w:rFonts w:hint="eastAsia"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7.年度绩效目标：保障强制拖车和停车保管服务项目正常运转</w:t>
      </w:r>
    </w:p>
    <w:p w14:paraId="52D03827">
      <w:pPr>
        <w:spacing w:line="560" w:lineRule="exact"/>
        <w:ind w:firstLine="643" w:firstLineChars="200"/>
        <w:rPr>
          <w:rFonts w:ascii="楷体" w:hAnsi="楷体" w:eastAsia="楷体" w:cs="楷体"/>
          <w:b/>
          <w:bCs/>
          <w:color w:val="000000" w:themeColor="text1"/>
          <w:sz w:val="28"/>
          <w:szCs w:val="28"/>
          <w:highlight w:val="none"/>
          <w:u w:val="none"/>
        </w:rPr>
      </w:pPr>
      <w:r>
        <w:rPr>
          <w:rFonts w:hint="eastAsia" w:ascii="仿宋" w:hAnsi="仿宋" w:eastAsia="仿宋" w:cs="仿宋"/>
          <w:b/>
          <w:bCs/>
          <w:color w:val="000000" w:themeColor="text1"/>
          <w:sz w:val="32"/>
          <w:szCs w:val="32"/>
          <w:highlight w:val="none"/>
          <w:u w:val="none"/>
        </w:rPr>
        <w:t>项目三：2025年工作津贴</w:t>
      </w:r>
    </w:p>
    <w:p w14:paraId="4215ECA1">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1.项目概述：保障民警工作津补贴</w:t>
      </w:r>
    </w:p>
    <w:p w14:paraId="7EA10B71">
      <w:pPr>
        <w:spacing w:line="560" w:lineRule="exact"/>
        <w:ind w:firstLine="64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2.立项依据：公安部、财政部文件</w:t>
      </w:r>
    </w:p>
    <w:p w14:paraId="71954E49">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3.实施主体：江西省兴国县公安局交通管理大队</w:t>
      </w:r>
    </w:p>
    <w:p w14:paraId="0131842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4.实施方案：根据文件规定实施</w:t>
      </w:r>
    </w:p>
    <w:p w14:paraId="2E9070ED">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5.实施周期：一次性</w:t>
      </w:r>
    </w:p>
    <w:p w14:paraId="2B5CAA2C">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6.年度预算安排：项目库申报金额102.8万元；预算批复金额102.8万元</w:t>
      </w:r>
    </w:p>
    <w:p w14:paraId="4C1C5D9D">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7.年度绩效目标：保障民警工作津补贴</w:t>
      </w:r>
    </w:p>
    <w:p w14:paraId="598E3D0F">
      <w:pPr>
        <w:spacing w:line="560" w:lineRule="exact"/>
        <w:ind w:firstLine="643" w:firstLineChars="200"/>
        <w:rPr>
          <w:rFonts w:ascii="楷体" w:hAnsi="楷体" w:eastAsia="楷体" w:cs="楷体"/>
          <w:b/>
          <w:bCs/>
          <w:color w:val="000000" w:themeColor="text1"/>
          <w:sz w:val="28"/>
          <w:szCs w:val="28"/>
          <w:highlight w:val="none"/>
          <w:u w:val="none"/>
        </w:rPr>
      </w:pPr>
      <w:r>
        <w:rPr>
          <w:rFonts w:hint="eastAsia" w:ascii="仿宋" w:hAnsi="仿宋" w:eastAsia="仿宋" w:cs="仿宋"/>
          <w:b/>
          <w:bCs/>
          <w:color w:val="000000" w:themeColor="text1"/>
          <w:sz w:val="32"/>
          <w:szCs w:val="32"/>
          <w:highlight w:val="none"/>
          <w:u w:val="none"/>
        </w:rPr>
        <w:t>项目四：2025年协警经费</w:t>
      </w:r>
    </w:p>
    <w:p w14:paraId="1A3D4FF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1.项目概述：保障协警工作经费</w:t>
      </w:r>
    </w:p>
    <w:p w14:paraId="7D73ED50">
      <w:pPr>
        <w:spacing w:line="560" w:lineRule="exact"/>
        <w:ind w:firstLine="640" w:firstLineChars="200"/>
        <w:rPr>
          <w:rFonts w:ascii="仿宋" w:hAnsi="仿宋" w:eastAsia="仿宋" w:cs="宋体"/>
          <w:color w:val="000000" w:themeColor="text1"/>
          <w:kern w:val="0"/>
          <w:sz w:val="32"/>
          <w:szCs w:val="32"/>
          <w:highlight w:val="none"/>
          <w:u w:val="none"/>
        </w:rPr>
      </w:pPr>
      <w:r>
        <w:rPr>
          <w:rFonts w:hint="eastAsia" w:ascii="仿宋" w:hAnsi="仿宋" w:eastAsia="仿宋" w:cs="仿宋"/>
          <w:color w:val="000000" w:themeColor="text1"/>
          <w:sz w:val="32"/>
          <w:szCs w:val="32"/>
          <w:highlight w:val="none"/>
          <w:u w:val="none"/>
        </w:rPr>
        <w:t>2.立项依据：保障</w:t>
      </w:r>
      <w:r>
        <w:rPr>
          <w:rFonts w:hint="eastAsia" w:ascii="仿宋" w:hAnsi="仿宋" w:eastAsia="仿宋" w:cs="宋体"/>
          <w:color w:val="000000" w:themeColor="text1"/>
          <w:kern w:val="0"/>
          <w:sz w:val="32"/>
          <w:szCs w:val="32"/>
          <w:highlight w:val="none"/>
          <w:u w:val="none"/>
        </w:rPr>
        <w:t>全县道路交通安全管理工作</w:t>
      </w:r>
    </w:p>
    <w:p w14:paraId="699AF176">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3.实施主体：江西省兴国县公安局交通管理大队</w:t>
      </w:r>
    </w:p>
    <w:p w14:paraId="76E6BCE4">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4.实施方案：根据实际工作需要及相关文件实施</w:t>
      </w:r>
    </w:p>
    <w:p w14:paraId="6CED45C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5.实施周期：一次性</w:t>
      </w:r>
    </w:p>
    <w:p w14:paraId="51411E8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6.年度预算安排：项目库申报金额844.5万元；预算批复金额844.5万元</w:t>
      </w:r>
    </w:p>
    <w:p w14:paraId="000C2D5B">
      <w:pPr>
        <w:spacing w:line="560" w:lineRule="exact"/>
        <w:ind w:firstLine="640" w:firstLineChars="200"/>
        <w:rPr>
          <w:rFonts w:hint="eastAsia"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7.年度绩效目标：保障协警工作经费</w:t>
      </w:r>
    </w:p>
    <w:p w14:paraId="33D35CA3">
      <w:pPr>
        <w:spacing w:line="560" w:lineRule="exact"/>
        <w:ind w:firstLine="643" w:firstLineChars="200"/>
        <w:rPr>
          <w:rFonts w:ascii="楷体" w:hAnsi="楷体" w:eastAsia="楷体" w:cs="楷体"/>
          <w:b/>
          <w:bCs/>
          <w:color w:val="000000" w:themeColor="text1"/>
          <w:sz w:val="28"/>
          <w:szCs w:val="28"/>
          <w:highlight w:val="none"/>
          <w:u w:val="none"/>
        </w:rPr>
      </w:pPr>
      <w:r>
        <w:rPr>
          <w:rFonts w:hint="eastAsia" w:ascii="仿宋" w:hAnsi="仿宋" w:eastAsia="仿宋" w:cs="仿宋"/>
          <w:b/>
          <w:bCs/>
          <w:color w:val="000000" w:themeColor="text1"/>
          <w:sz w:val="32"/>
          <w:szCs w:val="32"/>
          <w:highlight w:val="none"/>
          <w:u w:val="none"/>
        </w:rPr>
        <w:t>项目五：2025年其他资金库</w:t>
      </w:r>
    </w:p>
    <w:p w14:paraId="54F8D171">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1.项目概述：保障其他资金正常使用</w:t>
      </w:r>
    </w:p>
    <w:p w14:paraId="61A2A59B">
      <w:pPr>
        <w:spacing w:line="560" w:lineRule="exact"/>
        <w:ind w:firstLine="640" w:firstLineChars="200"/>
        <w:rPr>
          <w:rFonts w:ascii="仿宋" w:hAnsi="仿宋" w:eastAsia="仿宋" w:cs="宋体"/>
          <w:color w:val="000000" w:themeColor="text1"/>
          <w:kern w:val="0"/>
          <w:sz w:val="32"/>
          <w:szCs w:val="32"/>
          <w:highlight w:val="none"/>
          <w:u w:val="none"/>
        </w:rPr>
      </w:pPr>
      <w:r>
        <w:rPr>
          <w:rFonts w:hint="eastAsia" w:ascii="仿宋" w:hAnsi="仿宋" w:eastAsia="仿宋" w:cs="仿宋"/>
          <w:color w:val="000000" w:themeColor="text1"/>
          <w:sz w:val="32"/>
          <w:szCs w:val="32"/>
          <w:highlight w:val="none"/>
          <w:u w:val="none"/>
        </w:rPr>
        <w:t>2.立项依据：保障</w:t>
      </w:r>
      <w:r>
        <w:rPr>
          <w:rFonts w:hint="eastAsia" w:ascii="仿宋" w:hAnsi="仿宋" w:eastAsia="仿宋" w:cs="宋体"/>
          <w:color w:val="000000" w:themeColor="text1"/>
          <w:kern w:val="0"/>
          <w:sz w:val="32"/>
          <w:szCs w:val="32"/>
          <w:highlight w:val="none"/>
          <w:u w:val="none"/>
        </w:rPr>
        <w:t>全县道路交通安全管理工作</w:t>
      </w:r>
    </w:p>
    <w:p w14:paraId="7A2E4141">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3.实施主体：江西省兴国县公安局交通管理大队</w:t>
      </w:r>
    </w:p>
    <w:p w14:paraId="5BA8B913">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4.实施方案：按财政要求实施</w:t>
      </w:r>
    </w:p>
    <w:p w14:paraId="29F814B7">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5.实施周期：一次性</w:t>
      </w:r>
    </w:p>
    <w:p w14:paraId="2E6BFDEB">
      <w:pPr>
        <w:spacing w:line="56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6.年度预算安排：项目库申报金额1000万元；预算批复金额1000万元</w:t>
      </w:r>
    </w:p>
    <w:p w14:paraId="0ACBDFB8">
      <w:pPr>
        <w:spacing w:line="560" w:lineRule="exact"/>
        <w:ind w:firstLine="640" w:firstLineChars="200"/>
        <w:rPr>
          <w:color w:val="000000" w:themeColor="text1"/>
          <w:highlight w:val="none"/>
          <w:u w:val="none"/>
        </w:rPr>
      </w:pPr>
      <w:r>
        <w:rPr>
          <w:rFonts w:hint="eastAsia" w:ascii="仿宋" w:hAnsi="仿宋" w:eastAsia="仿宋" w:cs="仿宋"/>
          <w:color w:val="000000" w:themeColor="text1"/>
          <w:sz w:val="32"/>
          <w:szCs w:val="32"/>
          <w:highlight w:val="none"/>
          <w:u w:val="none"/>
        </w:rPr>
        <w:t>7.年度绩效目标：保障其他资金正常使用</w:t>
      </w:r>
    </w:p>
    <w:p w14:paraId="69B525CC">
      <w:pPr>
        <w:spacing w:line="600" w:lineRule="exact"/>
        <w:ind w:left="10" w:leftChars="5" w:firstLine="643" w:firstLineChars="200"/>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二、2025年“三公”经费预算情况说明</w:t>
      </w:r>
    </w:p>
    <w:p w14:paraId="498CA5E8">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2025年本单位“三公”经费一般公共预算安排187.5万元。其中：</w:t>
      </w:r>
    </w:p>
    <w:p w14:paraId="0C986C1A">
      <w:pPr>
        <w:spacing w:line="600" w:lineRule="exact"/>
        <w:ind w:firstLine="640" w:firstLineChars="200"/>
        <w:rPr>
          <w:rFonts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因公出国（境）费0万元，比上年增(减)0万元，主要原因是：与上年安排保持一致。</w:t>
      </w:r>
    </w:p>
    <w:p w14:paraId="63D34DE6">
      <w:pPr>
        <w:spacing w:line="600" w:lineRule="exact"/>
        <w:ind w:firstLine="640" w:firstLineChars="200"/>
        <w:rPr>
          <w:rFonts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公务接待费9.5万元，比上年增(减)0万元，主要原因是：与上年安排保持一致。</w:t>
      </w:r>
    </w:p>
    <w:p w14:paraId="22840C52">
      <w:pPr>
        <w:spacing w:line="600" w:lineRule="exact"/>
        <w:ind w:firstLine="640" w:firstLineChars="200"/>
        <w:rPr>
          <w:rFonts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公务用车运行维护费118万元，比上年增(减)0万元，主要原因是：与上年安排保持一致。</w:t>
      </w:r>
    </w:p>
    <w:p w14:paraId="44DB5629">
      <w:pPr>
        <w:spacing w:line="600" w:lineRule="exact"/>
        <w:ind w:firstLine="640" w:firstLineChars="200"/>
        <w:rPr>
          <w:rFonts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公务用车购置费60万元，比上年增(减)0万元，主要原因是：与上年安排保持一致。</w:t>
      </w:r>
    </w:p>
    <w:p w14:paraId="60A74E30">
      <w:pPr>
        <w:spacing w:line="600" w:lineRule="exact"/>
        <w:ind w:firstLine="640" w:firstLineChars="200"/>
        <w:rPr>
          <w:rFonts w:ascii="仿宋" w:hAnsi="仿宋" w:eastAsia="仿宋" w:cs="仿宋"/>
          <w:color w:val="000000" w:themeColor="text1"/>
          <w:sz w:val="32"/>
          <w:szCs w:val="32"/>
          <w:highlight w:val="none"/>
          <w:u w:val="none"/>
        </w:rPr>
      </w:pPr>
    </w:p>
    <w:p w14:paraId="14472B17">
      <w:pPr>
        <w:spacing w:line="600" w:lineRule="exact"/>
        <w:jc w:val="center"/>
        <w:rPr>
          <w:rFonts w:hint="eastAsia" w:ascii="仿宋" w:hAnsi="仿宋" w:eastAsia="仿宋" w:cs="仿宋"/>
          <w:color w:val="000000" w:themeColor="text1"/>
          <w:sz w:val="24"/>
          <w:szCs w:val="24"/>
          <w:highlight w:val="none"/>
          <w:u w:val="none"/>
        </w:rPr>
      </w:pPr>
    </w:p>
    <w:p w14:paraId="34F1AAD3">
      <w:pPr>
        <w:spacing w:line="600" w:lineRule="exact"/>
        <w:jc w:val="center"/>
        <w:rPr>
          <w:rFonts w:hint="eastAsia" w:ascii="仿宋" w:hAnsi="仿宋" w:eastAsia="仿宋" w:cs="仿宋"/>
          <w:color w:val="000000" w:themeColor="text1"/>
          <w:sz w:val="24"/>
          <w:szCs w:val="24"/>
          <w:highlight w:val="none"/>
          <w:u w:val="none"/>
        </w:rPr>
      </w:pPr>
    </w:p>
    <w:p w14:paraId="5B420433">
      <w:pPr>
        <w:spacing w:line="600" w:lineRule="exact"/>
        <w:jc w:val="center"/>
        <w:rPr>
          <w:rFonts w:hint="eastAsia" w:ascii="仿宋" w:hAnsi="仿宋" w:eastAsia="仿宋" w:cs="仿宋"/>
          <w:color w:val="000000" w:themeColor="text1"/>
          <w:sz w:val="24"/>
          <w:szCs w:val="24"/>
          <w:highlight w:val="none"/>
          <w:u w:val="none"/>
        </w:rPr>
      </w:pPr>
    </w:p>
    <w:p w14:paraId="6CAD2A50">
      <w:pPr>
        <w:spacing w:line="600" w:lineRule="exact"/>
        <w:jc w:val="center"/>
        <w:rPr>
          <w:rFonts w:ascii="黑体" w:hAnsi="黑体" w:eastAsia="黑体" w:cs="黑体"/>
          <w:color w:val="000000" w:themeColor="text1"/>
          <w:sz w:val="32"/>
          <w:szCs w:val="32"/>
          <w:highlight w:val="none"/>
          <w:u w:val="none"/>
        </w:rPr>
      </w:pPr>
    </w:p>
    <w:p w14:paraId="07AA6067">
      <w:pPr>
        <w:spacing w:line="600" w:lineRule="exact"/>
        <w:jc w:val="center"/>
        <w:rPr>
          <w:rFonts w:ascii="黑体" w:hAnsi="黑体" w:eastAsia="黑体" w:cs="黑体"/>
          <w:color w:val="000000" w:themeColor="text1"/>
          <w:sz w:val="32"/>
          <w:szCs w:val="32"/>
          <w:highlight w:val="none"/>
          <w:u w:val="none"/>
        </w:rPr>
      </w:pPr>
    </w:p>
    <w:p w14:paraId="53AE2E4C">
      <w:pPr>
        <w:spacing w:line="600" w:lineRule="exact"/>
        <w:jc w:val="center"/>
        <w:rPr>
          <w:rFonts w:ascii="黑体" w:hAnsi="黑体" w:eastAsia="黑体" w:cs="黑体"/>
          <w:color w:val="000000" w:themeColor="text1"/>
          <w:sz w:val="32"/>
          <w:szCs w:val="32"/>
          <w:highlight w:val="none"/>
          <w:u w:val="none"/>
        </w:rPr>
      </w:pPr>
      <w:r>
        <w:rPr>
          <w:rFonts w:hint="eastAsia" w:ascii="黑体" w:hAnsi="黑体" w:eastAsia="黑体" w:cs="黑体"/>
          <w:color w:val="000000" w:themeColor="text1"/>
          <w:sz w:val="32"/>
          <w:szCs w:val="32"/>
          <w:highlight w:val="none"/>
          <w:u w:val="none"/>
        </w:rPr>
        <w:t>第三部分2025年单位预算表</w:t>
      </w:r>
    </w:p>
    <w:p w14:paraId="318858CD">
      <w:pPr>
        <w:pStyle w:val="2"/>
        <w:spacing w:line="600" w:lineRule="exact"/>
        <w:jc w:val="center"/>
        <w:rPr>
          <w:rFonts w:eastAsia="仿宋"/>
          <w:color w:val="000000" w:themeColor="text1"/>
          <w:highlight w:val="none"/>
          <w:u w:val="none"/>
        </w:rPr>
      </w:pPr>
      <w:r>
        <w:rPr>
          <w:rFonts w:hint="eastAsia" w:eastAsia="仿宋"/>
          <w:color w:val="000000" w:themeColor="text1"/>
          <w:highlight w:val="none"/>
          <w:u w:val="none"/>
        </w:rPr>
        <w:t>（详见附表）</w:t>
      </w:r>
    </w:p>
    <w:p w14:paraId="59C9D031">
      <w:pPr>
        <w:pStyle w:val="2"/>
        <w:spacing w:line="600" w:lineRule="exact"/>
        <w:jc w:val="center"/>
        <w:rPr>
          <w:rFonts w:eastAsia="仿宋"/>
          <w:color w:val="000000" w:themeColor="text1"/>
          <w:highlight w:val="none"/>
          <w:u w:val="none"/>
        </w:rPr>
      </w:pPr>
    </w:p>
    <w:p w14:paraId="51C9F46A">
      <w:pPr>
        <w:spacing w:line="600" w:lineRule="exact"/>
        <w:rPr>
          <w:rFonts w:hint="eastAsia" w:ascii="仿宋" w:hAnsi="仿宋" w:eastAsia="仿宋" w:cs="仿宋"/>
          <w:color w:val="000000" w:themeColor="text1"/>
          <w:sz w:val="32"/>
          <w:szCs w:val="32"/>
          <w:highlight w:val="none"/>
          <w:u w:val="none"/>
        </w:rPr>
      </w:pPr>
    </w:p>
    <w:p w14:paraId="6445EB9F">
      <w:pPr>
        <w:spacing w:line="600" w:lineRule="exact"/>
        <w:rPr>
          <w:rFonts w:hint="eastAsia" w:ascii="仿宋" w:hAnsi="仿宋" w:eastAsia="仿宋" w:cs="仿宋"/>
          <w:color w:val="000000" w:themeColor="text1"/>
          <w:sz w:val="32"/>
          <w:szCs w:val="32"/>
          <w:highlight w:val="none"/>
          <w:u w:val="none"/>
        </w:rPr>
      </w:pPr>
    </w:p>
    <w:p w14:paraId="2F6C34BE">
      <w:pPr>
        <w:spacing w:line="600" w:lineRule="exact"/>
        <w:rPr>
          <w:rFonts w:hint="eastAsia" w:ascii="仿宋" w:hAnsi="仿宋" w:eastAsia="仿宋" w:cs="仿宋"/>
          <w:color w:val="000000" w:themeColor="text1"/>
          <w:sz w:val="32"/>
          <w:szCs w:val="32"/>
          <w:highlight w:val="none"/>
          <w:u w:val="none"/>
        </w:rPr>
      </w:pPr>
    </w:p>
    <w:p w14:paraId="50DC6D17">
      <w:pPr>
        <w:spacing w:line="600" w:lineRule="exact"/>
        <w:rPr>
          <w:rFonts w:hint="eastAsia" w:ascii="仿宋" w:hAnsi="仿宋" w:eastAsia="仿宋" w:cs="仿宋"/>
          <w:color w:val="000000" w:themeColor="text1"/>
          <w:sz w:val="32"/>
          <w:szCs w:val="32"/>
          <w:highlight w:val="none"/>
          <w:u w:val="none"/>
        </w:rPr>
      </w:pPr>
    </w:p>
    <w:p w14:paraId="6BC08AF5">
      <w:pPr>
        <w:spacing w:line="600" w:lineRule="exact"/>
        <w:rPr>
          <w:rFonts w:ascii="仿宋" w:hAnsi="仿宋" w:eastAsia="仿宋" w:cs="仿宋"/>
          <w:color w:val="000000" w:themeColor="text1"/>
          <w:sz w:val="32"/>
          <w:szCs w:val="32"/>
          <w:highlight w:val="none"/>
          <w:u w:val="none"/>
        </w:rPr>
      </w:pPr>
    </w:p>
    <w:p w14:paraId="23D5AA96">
      <w:pPr>
        <w:pStyle w:val="2"/>
        <w:spacing w:line="600" w:lineRule="exact"/>
        <w:rPr>
          <w:color w:val="000000" w:themeColor="text1"/>
          <w:highlight w:val="none"/>
          <w:u w:val="none"/>
        </w:rPr>
      </w:pPr>
    </w:p>
    <w:p w14:paraId="2A1C2CDC">
      <w:pPr>
        <w:spacing w:line="600" w:lineRule="exact"/>
        <w:jc w:val="center"/>
        <w:rPr>
          <w:rFonts w:ascii="黑体" w:hAnsi="黑体" w:eastAsia="黑体" w:cs="黑体"/>
          <w:color w:val="000000" w:themeColor="text1"/>
          <w:sz w:val="32"/>
          <w:szCs w:val="32"/>
          <w:highlight w:val="none"/>
          <w:u w:val="none"/>
        </w:rPr>
      </w:pPr>
      <w:r>
        <w:rPr>
          <w:rFonts w:hint="eastAsia" w:ascii="黑体" w:hAnsi="黑体" w:eastAsia="黑体" w:cs="黑体"/>
          <w:color w:val="000000" w:themeColor="text1"/>
          <w:sz w:val="32"/>
          <w:szCs w:val="32"/>
          <w:highlight w:val="none"/>
          <w:u w:val="none"/>
        </w:rPr>
        <w:t>第四部分名词解释</w:t>
      </w:r>
    </w:p>
    <w:p w14:paraId="1EC681C7">
      <w:pPr>
        <w:spacing w:line="600" w:lineRule="exact"/>
        <w:ind w:firstLine="604" w:firstLineChars="189"/>
        <w:jc w:val="center"/>
        <w:rPr>
          <w:rFonts w:ascii="仿宋" w:hAnsi="仿宋" w:eastAsia="仿宋" w:cs="仿宋"/>
          <w:color w:val="000000" w:themeColor="text1"/>
          <w:sz w:val="32"/>
          <w:szCs w:val="32"/>
          <w:highlight w:val="none"/>
          <w:u w:val="none"/>
        </w:rPr>
      </w:pPr>
    </w:p>
    <w:p w14:paraId="2CF28172">
      <w:pPr>
        <w:spacing w:line="600" w:lineRule="exact"/>
        <w:ind w:firstLine="643" w:firstLineChars="200"/>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一、收入科目</w:t>
      </w:r>
    </w:p>
    <w:p w14:paraId="4E1E22AE">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各单位结合实际进行解释。</w:t>
      </w:r>
    </w:p>
    <w:p w14:paraId="57337C50">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（一）财政拨款：指县本级财政当年拨付的资金。</w:t>
      </w:r>
    </w:p>
    <w:p w14:paraId="12B9B81E">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（二）事业收入：指事业单位开展专业业务活动及辅助活动取得的收入。</w:t>
      </w:r>
    </w:p>
    <w:p w14:paraId="770BD276">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（三）事业单位经营收入：指事业单位在专业业务活动及辅助活动之外开展非独立核算经营活动取得的收入。</w:t>
      </w:r>
    </w:p>
    <w:p w14:paraId="2E3D284B">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（四）其他收入：指除财政拨款、事业收入、事业单位经营收入等以外的各项收入。</w:t>
      </w:r>
    </w:p>
    <w:p w14:paraId="4B8E75B9">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（五）附属单位上缴收入：反映事业单位附属的独立核算单位按规定标准或比例缴纳的各项收入。包括附属的事业单位上缴的收入和附属的企业上缴的利润等。</w:t>
      </w:r>
    </w:p>
    <w:p w14:paraId="5A332009">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（六）上级补助收入：反映事业单位从主管单位和上级单位取得的非财政补助收入。</w:t>
      </w:r>
    </w:p>
    <w:p w14:paraId="5295A363">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（七）使用非财政拨款结余：填列历年滚存的非限定用途的非统计财政拨款结余弥补2025年收支差额的数额。</w:t>
      </w:r>
    </w:p>
    <w:p w14:paraId="1EE626BA">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（八）上年结转和结余：填列2023年全部结转和结余的资</w:t>
      </w:r>
      <w:bookmarkStart w:id="0" w:name="_GoBack"/>
      <w:bookmarkEnd w:id="0"/>
      <w:r>
        <w:rPr>
          <w:rFonts w:hint="eastAsia" w:ascii="仿宋" w:hAnsi="仿宋" w:eastAsia="仿宋" w:cs="仿宋"/>
          <w:color w:val="000000" w:themeColor="text1"/>
          <w:sz w:val="32"/>
          <w:szCs w:val="32"/>
          <w:highlight w:val="none"/>
          <w:u w:val="none"/>
        </w:rPr>
        <w:t>金数，包括当年结转结余资金和历年滚存结转结余资金。</w:t>
      </w:r>
    </w:p>
    <w:p w14:paraId="197CC792">
      <w:pPr>
        <w:spacing w:line="600" w:lineRule="exact"/>
        <w:ind w:firstLine="607" w:firstLineChars="189"/>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二、支出科目</w:t>
      </w:r>
    </w:p>
    <w:p w14:paraId="4224996F">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对单位或单位预算中涉及的支出功能分类科目（明细到项级），结合单位实际，参照《2025年政府收支分类科目》的规范说明行解释。</w:t>
      </w:r>
    </w:p>
    <w:p w14:paraId="7E342D5E">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（一）行政运行：反映行政单位（事业单位）的基本支出。</w:t>
      </w:r>
    </w:p>
    <w:p w14:paraId="1A77B278">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（二）一般行政管理事务：反映行政单位（包括事业单位）未单独设置项级科目的其他项目支出。</w:t>
      </w:r>
    </w:p>
    <w:p w14:paraId="20372633">
      <w:pPr>
        <w:spacing w:line="600" w:lineRule="exact"/>
        <w:ind w:firstLine="640" w:firstLineChars="200"/>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（三）机关事业单位基本养老保险缴费支出：反映机关事业单位实施养老保险制度由单位缴纳的基本养老保险费的支出。</w:t>
      </w:r>
    </w:p>
    <w:p w14:paraId="01EAEE4B">
      <w:pPr>
        <w:spacing w:line="600" w:lineRule="exact"/>
        <w:ind w:firstLine="681" w:firstLineChars="213"/>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（四）行政单位医疗：反映行政事业单位基本医疗保险缴费经费。</w:t>
      </w:r>
    </w:p>
    <w:p w14:paraId="5D0F36AF">
      <w:pPr>
        <w:spacing w:line="600" w:lineRule="exact"/>
        <w:ind w:firstLine="681" w:firstLineChars="213"/>
        <w:jc w:val="left"/>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（五）事业单位医疗：反映财政单位集中安排的事业单位基本医疗保险缴费经费。</w:t>
      </w:r>
    </w:p>
    <w:p w14:paraId="3D54FA06">
      <w:pPr>
        <w:spacing w:line="600" w:lineRule="exact"/>
        <w:ind w:firstLine="640" w:firstLineChars="200"/>
        <w:rPr>
          <w:rFonts w:ascii="宋体" w:hAnsi="宋体" w:eastAsiaTheme="minorEastAsia" w:cstheme="minorEastAsia"/>
          <w:b/>
          <w:bCs/>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（六）死亡抚恤：反映单位遗属人员生活补助。</w:t>
      </w:r>
    </w:p>
    <w:p w14:paraId="60FFAAE9">
      <w:pPr>
        <w:spacing w:line="600" w:lineRule="exact"/>
        <w:ind w:firstLine="607" w:firstLineChars="189"/>
        <w:rPr>
          <w:rFonts w:ascii="楷体" w:hAnsi="楷体" w:eastAsia="楷体" w:cs="楷体"/>
          <w:b/>
          <w:bCs/>
          <w:color w:val="000000" w:themeColor="text1"/>
          <w:sz w:val="32"/>
          <w:szCs w:val="32"/>
          <w:highlight w:val="none"/>
          <w:u w:val="none"/>
        </w:rPr>
      </w:pPr>
      <w:r>
        <w:rPr>
          <w:rFonts w:hint="eastAsia" w:ascii="楷体" w:hAnsi="楷体" w:eastAsia="楷体" w:cs="楷体"/>
          <w:b/>
          <w:bCs/>
          <w:color w:val="000000" w:themeColor="text1"/>
          <w:sz w:val="32"/>
          <w:szCs w:val="32"/>
          <w:highlight w:val="none"/>
          <w:u w:val="none"/>
        </w:rPr>
        <w:t>三、相关专业名词</w:t>
      </w:r>
    </w:p>
    <w:p w14:paraId="339F952A">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各单位结合实际进行解释。</w:t>
      </w:r>
    </w:p>
    <w:p w14:paraId="7A65491E">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2AA73CA">
      <w:pPr>
        <w:spacing w:line="600" w:lineRule="exact"/>
        <w:ind w:firstLine="640" w:firstLineChars="200"/>
        <w:rPr>
          <w:rFonts w:ascii="仿宋" w:hAnsi="仿宋" w:eastAsia="仿宋" w:cs="仿宋"/>
          <w:color w:val="000000" w:themeColor="text1"/>
          <w:sz w:val="32"/>
          <w:szCs w:val="32"/>
          <w:highlight w:val="none"/>
          <w:u w:val="none"/>
        </w:rPr>
      </w:pPr>
      <w:r>
        <w:rPr>
          <w:rFonts w:hint="eastAsia" w:ascii="仿宋" w:hAnsi="仿宋" w:eastAsia="仿宋" w:cs="仿宋"/>
          <w:color w:val="000000" w:themeColor="text1"/>
          <w:sz w:val="32"/>
          <w:szCs w:val="32"/>
          <w:highlight w:val="none"/>
          <w:u w:val="none"/>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9EAC20C">
      <w:pPr>
        <w:spacing w:line="600" w:lineRule="exact"/>
        <w:ind w:firstLine="640" w:firstLineChars="200"/>
        <w:rPr>
          <w:rFonts w:ascii="仿宋" w:hAnsi="仿宋" w:eastAsia="仿宋" w:cs="仿宋"/>
          <w:color w:val="000000" w:themeColor="text1"/>
          <w:sz w:val="32"/>
          <w:szCs w:val="32"/>
          <w:highlight w:val="none"/>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B94CE5-048D-44C4-A166-6A93C783396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A5E4EAFE-E7DE-4FC6-903F-074154F7B95E}"/>
  </w:font>
  <w:font w:name="仿宋_GB2312">
    <w:altName w:val="仿宋"/>
    <w:panose1 w:val="00000000000000000000"/>
    <w:charset w:val="86"/>
    <w:family w:val="modern"/>
    <w:pitch w:val="default"/>
    <w:sig w:usb0="00000000" w:usb1="00000000" w:usb2="00000000" w:usb3="00000000" w:csb0="00040000" w:csb1="00000000"/>
    <w:embedRegular r:id="rId3" w:fontKey="{BA8C1D9D-C37C-4258-8A6E-A853753E947C}"/>
  </w:font>
  <w:font w:name="仿宋">
    <w:panose1 w:val="02010609060101010101"/>
    <w:charset w:val="86"/>
    <w:family w:val="modern"/>
    <w:pitch w:val="default"/>
    <w:sig w:usb0="800002BF" w:usb1="38CF7CFA" w:usb2="00000016" w:usb3="00000000" w:csb0="00040001" w:csb1="00000000"/>
    <w:embedRegular r:id="rId4" w:fontKey="{F8094237-0839-4574-8920-5F70282610A1}"/>
  </w:font>
  <w:font w:name="方正小标宋简体">
    <w:panose1 w:val="02000000000000000000"/>
    <w:charset w:val="86"/>
    <w:family w:val="auto"/>
    <w:pitch w:val="default"/>
    <w:sig w:usb0="00000001" w:usb1="08000000" w:usb2="00000000" w:usb3="00000000" w:csb0="00040000" w:csb1="00000000"/>
    <w:embedRegular r:id="rId5" w:fontKey="{1245051C-1F41-4D02-B983-6B17C7079FC9}"/>
  </w:font>
  <w:font w:name="楷体">
    <w:panose1 w:val="02010609060101010101"/>
    <w:charset w:val="86"/>
    <w:family w:val="modern"/>
    <w:pitch w:val="default"/>
    <w:sig w:usb0="800002BF" w:usb1="38CF7CFA" w:usb2="00000016" w:usb3="00000000" w:csb0="00040001" w:csb1="00000000"/>
    <w:embedRegular r:id="rId6" w:fontKey="{B123603C-DC7C-4471-B9A4-3E244BDD44D8}"/>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1DE62">
    <w:pPr>
      <w:pStyle w:val="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14:paraId="21EFF26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14:paraId="36754CBE">
                <w:pPr>
                  <w:pStyle w:val="3"/>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047A8"/>
    <w:rsid w:val="00004917"/>
    <w:rsid w:val="000E0838"/>
    <w:rsid w:val="00442C9A"/>
    <w:rsid w:val="00632E91"/>
    <w:rsid w:val="00655EE3"/>
    <w:rsid w:val="0069413D"/>
    <w:rsid w:val="007062B6"/>
    <w:rsid w:val="00BD3E2F"/>
    <w:rsid w:val="00C27D6B"/>
    <w:rsid w:val="00CD72CD"/>
    <w:rsid w:val="00E44EDD"/>
    <w:rsid w:val="00E842BC"/>
    <w:rsid w:val="00F32EFD"/>
    <w:rsid w:val="029C1412"/>
    <w:rsid w:val="04EE7A30"/>
    <w:rsid w:val="05FD6618"/>
    <w:rsid w:val="06A76233"/>
    <w:rsid w:val="08142F09"/>
    <w:rsid w:val="08AC05B7"/>
    <w:rsid w:val="0F2B00AD"/>
    <w:rsid w:val="133E2072"/>
    <w:rsid w:val="150775E9"/>
    <w:rsid w:val="19CF11C0"/>
    <w:rsid w:val="1C215462"/>
    <w:rsid w:val="1C2E1720"/>
    <w:rsid w:val="1C33298F"/>
    <w:rsid w:val="1DE32862"/>
    <w:rsid w:val="1EA8395A"/>
    <w:rsid w:val="1F226863"/>
    <w:rsid w:val="208C1E7D"/>
    <w:rsid w:val="21641254"/>
    <w:rsid w:val="21E85FCA"/>
    <w:rsid w:val="249F7525"/>
    <w:rsid w:val="26AA48C2"/>
    <w:rsid w:val="2C8E5424"/>
    <w:rsid w:val="2C95120B"/>
    <w:rsid w:val="2E1A2EC0"/>
    <w:rsid w:val="2F1D6AF8"/>
    <w:rsid w:val="2F7C0FE2"/>
    <w:rsid w:val="30EF5591"/>
    <w:rsid w:val="31024210"/>
    <w:rsid w:val="326D79FF"/>
    <w:rsid w:val="326F585D"/>
    <w:rsid w:val="32990C1B"/>
    <w:rsid w:val="349D271D"/>
    <w:rsid w:val="352A6ADB"/>
    <w:rsid w:val="38AE3672"/>
    <w:rsid w:val="3A4013F4"/>
    <w:rsid w:val="3B87704A"/>
    <w:rsid w:val="3C215F09"/>
    <w:rsid w:val="3C7324DC"/>
    <w:rsid w:val="3D2B59E9"/>
    <w:rsid w:val="3F5F2902"/>
    <w:rsid w:val="3FFE2FA6"/>
    <w:rsid w:val="445E02C8"/>
    <w:rsid w:val="4BB772C7"/>
    <w:rsid w:val="511E441C"/>
    <w:rsid w:val="53EA0E7E"/>
    <w:rsid w:val="54370568"/>
    <w:rsid w:val="57947A7F"/>
    <w:rsid w:val="598633F7"/>
    <w:rsid w:val="5A296BA4"/>
    <w:rsid w:val="62740BD9"/>
    <w:rsid w:val="64C00BC8"/>
    <w:rsid w:val="6AC653CF"/>
    <w:rsid w:val="6DD32C57"/>
    <w:rsid w:val="6DF75CCF"/>
    <w:rsid w:val="6ECD03A1"/>
    <w:rsid w:val="71724DA6"/>
    <w:rsid w:val="73467A28"/>
    <w:rsid w:val="76051E1C"/>
    <w:rsid w:val="772705B7"/>
    <w:rsid w:val="781268D1"/>
    <w:rsid w:val="79874FE5"/>
    <w:rsid w:val="7BA17B73"/>
    <w:rsid w:val="7DA50C86"/>
    <w:rsid w:val="7F8F0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11</Pages>
  <Words>3871</Words>
  <Characters>4320</Characters>
  <Lines>31</Lines>
  <Paragraphs>8</Paragraphs>
  <TotalTime>0</TotalTime>
  <ScaleCrop>false</ScaleCrop>
  <LinksUpToDate>false</LinksUpToDate>
  <CharactersWithSpaces>4320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2025-02-20T02:31:34Z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8B5FD08B07774FED8577BC733807DF58_13</vt:lpwstr>
  </property>
  <property fmtid="{D5CDD505-2E9C-101B-9397-08002B2CF9AE}" pid="4" name="KSOTemplateDocerSaveRecord">
    <vt:lpwstr>eyJoZGlkIjoiMmUxM2RmNGFhYmMzMGE2NTQ3MWFlYjQzZmZlMTkyZjkiLCJ1c2VySWQiOiIxNDU1NzAxMjc3In0=</vt:lpwstr>
  </property>
</Properties>
</file>