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4" w:lineRule="auto"/>
        <w:ind w:left="68"/>
        <w:rPr>
          <w:rFonts w:hint="eastAsia" w:ascii="黑体" w:hAnsi="黑体" w:eastAsia="黑体" w:cs="黑体"/>
          <w:b/>
          <w:bCs/>
          <w:color w:val="auto"/>
          <w:spacing w:val="-19"/>
          <w:sz w:val="25"/>
          <w:szCs w:val="25"/>
          <w:lang w:val="en-US" w:eastAsia="zh-CN"/>
        </w:rPr>
      </w:pPr>
      <w:r>
        <w:rPr>
          <w:rFonts w:hint="eastAsia" w:ascii="黑体" w:hAnsi="黑体" w:eastAsia="黑体" w:cs="黑体"/>
          <w:b/>
          <w:bCs/>
          <w:color w:val="auto"/>
          <w:spacing w:val="-19"/>
          <w:sz w:val="25"/>
          <w:szCs w:val="25"/>
          <w:lang w:eastAsia="zh-CN"/>
        </w:rPr>
        <w:t>附件</w:t>
      </w:r>
      <w:r>
        <w:rPr>
          <w:rFonts w:hint="eastAsia" w:ascii="黑体" w:hAnsi="黑体" w:eastAsia="黑体" w:cs="黑体"/>
          <w:b/>
          <w:bCs/>
          <w:color w:val="auto"/>
          <w:spacing w:val="-19"/>
          <w:sz w:val="25"/>
          <w:szCs w:val="25"/>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bCs w:val="0"/>
          <w:color w:val="auto"/>
          <w:sz w:val="44"/>
          <w:szCs w:val="44"/>
          <w:lang w:val="en-US" w:eastAsia="zh-CN"/>
        </w:rPr>
        <w:t>兴国县南坑乡卫生院</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jc w:val="center"/>
        <w:rPr>
          <w:rFonts w:hint="eastAsia" w:ascii="黑体" w:hAnsi="黑体" w:eastAsia="黑体" w:cs="黑体"/>
          <w:color w:val="auto"/>
          <w:sz w:val="32"/>
          <w:szCs w:val="32"/>
        </w:rPr>
      </w:pPr>
      <w:r>
        <w:rPr>
          <w:rFonts w:hint="eastAsia" w:ascii="黑体" w:hAnsi="黑体" w:eastAsia="黑体" w:cs="黑体"/>
          <w:b/>
          <w:bCs/>
          <w:color w:val="auto"/>
          <w:sz w:val="32"/>
          <w:szCs w:val="32"/>
        </w:rPr>
        <w:t>目</w:t>
      </w:r>
      <w:r>
        <w:rPr>
          <w:rFonts w:hint="eastAsia" w:ascii="黑体" w:hAnsi="黑体" w:eastAsia="黑体" w:cs="黑体"/>
          <w:color w:val="auto"/>
          <w:sz w:val="32"/>
          <w:szCs w:val="32"/>
        </w:rPr>
        <w:t xml:space="preserve">  录</w:t>
      </w:r>
    </w:p>
    <w:p>
      <w:pPr>
        <w:pStyle w:val="2"/>
      </w:pPr>
    </w:p>
    <w:p>
      <w:p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南坑乡卫生院</w:t>
      </w:r>
      <w:r>
        <w:rPr>
          <w:rFonts w:hint="eastAsia" w:ascii="仿宋" w:hAnsi="仿宋" w:eastAsia="仿宋" w:cs="仿宋"/>
          <w:b/>
          <w:bCs/>
          <w:color w:val="auto"/>
          <w:sz w:val="32"/>
          <w:szCs w:val="32"/>
          <w:lang w:eastAsia="zh-CN"/>
        </w:rPr>
        <w:t>单位</w:t>
      </w:r>
      <w:r>
        <w:rPr>
          <w:rFonts w:hint="eastAsia" w:ascii="仿宋" w:hAnsi="仿宋" w:eastAsia="仿宋" w:cs="仿宋"/>
          <w:b/>
          <w:bCs/>
          <w:color w:val="auto"/>
          <w:sz w:val="32"/>
          <w:szCs w:val="32"/>
        </w:rPr>
        <w:t>概况</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numPr>
          <w:ilvl w:val="0"/>
          <w:numId w:val="1"/>
        </w:num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南坑乡卫生院</w:t>
      </w:r>
      <w:r>
        <w:rPr>
          <w:rFonts w:hint="eastAsia" w:ascii="仿宋" w:hAnsi="仿宋" w:eastAsia="仿宋" w:cs="仿宋"/>
          <w:b/>
          <w:bCs/>
          <w:color w:val="auto"/>
          <w:sz w:val="32"/>
          <w:szCs w:val="32"/>
        </w:rPr>
        <w:t>单位预算情况说明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b w:val="0"/>
          <w:bCs w:val="0"/>
          <w:color w:val="auto"/>
          <w:sz w:val="32"/>
          <w:szCs w:val="32"/>
          <w:lang w:val="en-US" w:eastAsia="zh-CN"/>
        </w:rPr>
        <w:t>2023年</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南坑乡卫生院</w:t>
      </w:r>
      <w:r>
        <w:rPr>
          <w:rFonts w:hint="eastAsia" w:ascii="仿宋" w:hAnsi="仿宋" w:eastAsia="仿宋" w:cs="仿宋"/>
          <w:b/>
          <w:bCs/>
          <w:color w:val="auto"/>
          <w:sz w:val="32"/>
          <w:szCs w:val="32"/>
        </w:rPr>
        <w:t>单位预算表</w:t>
      </w:r>
    </w:p>
    <w:p>
      <w:pPr>
        <w:numPr>
          <w:ilvl w:val="0"/>
          <w:numId w:val="0"/>
        </w:numPr>
        <w:spacing w:line="560" w:lineRule="exact"/>
        <w:ind w:leftChars="272"/>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《收支预算总表》</w:t>
      </w:r>
    </w:p>
    <w:p>
      <w:pPr>
        <w:numPr>
          <w:ilvl w:val="0"/>
          <w:numId w:val="0"/>
        </w:numPr>
        <w:spacing w:line="560" w:lineRule="exact"/>
        <w:ind w:leftChars="272"/>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《财政拨款收支总表》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numPr>
          <w:ilvl w:val="0"/>
          <w:numId w:val="0"/>
        </w:numPr>
        <w:spacing w:line="560" w:lineRule="exact"/>
        <w:ind w:firstLine="64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numPr>
          <w:ilvl w:val="0"/>
          <w:numId w:val="0"/>
        </w:numPr>
        <w:spacing w:line="560" w:lineRule="exact"/>
        <w:ind w:firstLine="64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pPr>
        <w:numPr>
          <w:ilvl w:val="0"/>
          <w:numId w:val="0"/>
        </w:numPr>
        <w:spacing w:line="240" w:lineRule="auto"/>
        <w:ind w:firstLine="0"/>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lang w:eastAsia="zh-CN"/>
        </w:rPr>
        <w:t>兴国县</w:t>
      </w:r>
      <w:r>
        <w:rPr>
          <w:rFonts w:hint="eastAsia" w:ascii="黑体" w:hAnsi="黑体" w:eastAsia="黑体" w:cs="黑体"/>
          <w:b w:val="0"/>
          <w:bCs w:val="0"/>
          <w:color w:val="auto"/>
          <w:sz w:val="32"/>
          <w:szCs w:val="32"/>
          <w:lang w:val="en-US" w:eastAsia="zh-CN"/>
        </w:rPr>
        <w:t>南坑乡卫生院</w:t>
      </w:r>
      <w:r>
        <w:rPr>
          <w:rFonts w:hint="eastAsia" w:ascii="黑体" w:hAnsi="黑体" w:eastAsia="黑体" w:cs="黑体"/>
          <w:b/>
          <w:bCs/>
          <w:color w:val="auto"/>
          <w:sz w:val="32"/>
          <w:szCs w:val="32"/>
          <w:lang w:eastAsia="zh-CN"/>
        </w:rPr>
        <w:t>单</w:t>
      </w:r>
      <w:r>
        <w:rPr>
          <w:rFonts w:hint="eastAsia" w:ascii="黑体" w:hAnsi="黑体" w:eastAsia="黑体" w:cs="黑体"/>
          <w:b w:val="0"/>
          <w:bCs w:val="0"/>
          <w:color w:val="auto"/>
          <w:sz w:val="32"/>
          <w:szCs w:val="32"/>
          <w:lang w:val="en-US" w:eastAsia="zh-CN"/>
        </w:rPr>
        <w:t>位概</w:t>
      </w:r>
      <w:r>
        <w:rPr>
          <w:rFonts w:hint="eastAsia" w:ascii="黑体" w:hAnsi="黑体" w:eastAsia="黑体" w:cs="黑体"/>
          <w:b w:val="0"/>
          <w:bCs w:val="0"/>
          <w:color w:val="auto"/>
          <w:sz w:val="32"/>
          <w:szCs w:val="32"/>
        </w:rPr>
        <w:t>况</w:t>
      </w:r>
    </w:p>
    <w:p>
      <w:pPr>
        <w:spacing w:line="560" w:lineRule="exact"/>
        <w:jc w:val="center"/>
        <w:rPr>
          <w:rFonts w:ascii="仿宋" w:hAnsi="仿宋" w:eastAsia="仿宋" w:cs="仿宋"/>
          <w:b/>
          <w:bCs/>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南坑</w:t>
      </w:r>
      <w:r>
        <w:rPr>
          <w:rFonts w:hint="eastAsia" w:ascii="仿宋" w:hAnsi="仿宋" w:eastAsia="仿宋" w:cs="仿宋"/>
          <w:sz w:val="32"/>
          <w:szCs w:val="32"/>
          <w:lang w:eastAsia="zh-CN"/>
        </w:rPr>
        <w:t>乡卫生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乡</w:t>
      </w:r>
      <w:r>
        <w:rPr>
          <w:rFonts w:hint="eastAsia" w:ascii="仿宋" w:hAnsi="仿宋" w:eastAsia="仿宋" w:cs="仿宋"/>
          <w:sz w:val="32"/>
          <w:szCs w:val="32"/>
        </w:rPr>
        <w:t>卫生院应承担本</w:t>
      </w:r>
      <w:r>
        <w:rPr>
          <w:rFonts w:hint="eastAsia" w:ascii="仿宋" w:hAnsi="仿宋" w:eastAsia="仿宋" w:cs="仿宋"/>
          <w:sz w:val="32"/>
          <w:szCs w:val="32"/>
          <w:lang w:eastAsia="zh-CN"/>
        </w:rPr>
        <w:t>乡</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南坑乡卫生院单位内设科室10个，包括：内外科、儿科、检验科、影像科、收费室、护理组、中医馆、财务室、公卫科、办公室。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15</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补助事业编制人数</w:t>
      </w:r>
      <w:r>
        <w:rPr>
          <w:rFonts w:hint="eastAsia" w:ascii="仿宋" w:hAnsi="仿宋" w:eastAsia="仿宋" w:cs="仿宋"/>
          <w:sz w:val="32"/>
          <w:szCs w:val="32"/>
          <w:lang w:val="en-US" w:eastAsia="zh-CN"/>
        </w:rPr>
        <w:t>15</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sz w:val="32"/>
          <w:szCs w:val="32"/>
          <w:lang w:val="en-US" w:eastAsia="zh-CN"/>
        </w:rPr>
        <w:t>15</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sz w:val="32"/>
          <w:szCs w:val="32"/>
          <w:lang w:val="en-US" w:eastAsia="zh-CN"/>
        </w:rPr>
        <w:t>15</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w:t>
      </w:r>
      <w:r>
        <w:rPr>
          <w:rFonts w:hint="eastAsia" w:ascii="仿宋" w:hAnsi="仿宋" w:eastAsia="仿宋" w:cs="仿宋"/>
          <w:sz w:val="32"/>
          <w:szCs w:val="32"/>
          <w:lang w:val="en-US" w:eastAsia="zh-CN"/>
        </w:rPr>
        <w:t>在职</w:t>
      </w:r>
      <w:r>
        <w:rPr>
          <w:rFonts w:hint="eastAsia" w:ascii="仿宋" w:hAnsi="仿宋" w:eastAsia="仿宋" w:cs="仿宋"/>
          <w:sz w:val="32"/>
          <w:szCs w:val="32"/>
        </w:rPr>
        <w:t>人数</w:t>
      </w:r>
      <w:r>
        <w:rPr>
          <w:rFonts w:hint="eastAsia" w:ascii="仿宋" w:hAnsi="仿宋" w:eastAsia="仿宋" w:cs="仿宋"/>
          <w:sz w:val="32"/>
          <w:szCs w:val="32"/>
          <w:lang w:val="en-US" w:eastAsia="zh-CN"/>
        </w:rPr>
        <w:t>15</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w:t>
      </w:r>
      <w:r>
        <w:rPr>
          <w:rFonts w:hint="eastAsia" w:ascii="仿宋" w:hAnsi="仿宋" w:eastAsia="仿宋" w:cs="仿宋"/>
          <w:sz w:val="32"/>
          <w:szCs w:val="32"/>
          <w:lang w:val="en-US" w:eastAsia="zh-CN"/>
        </w:rPr>
        <w:t>员</w:t>
      </w:r>
      <w:r>
        <w:rPr>
          <w:rFonts w:hint="eastAsia" w:ascii="仿宋" w:hAnsi="仿宋" w:eastAsia="仿宋" w:cs="仿宋"/>
          <w:sz w:val="32"/>
          <w:szCs w:val="32"/>
        </w:rPr>
        <w:t>小计</w:t>
      </w:r>
      <w:r>
        <w:rPr>
          <w:rFonts w:hint="eastAsia" w:ascii="仿宋" w:hAnsi="仿宋" w:eastAsia="仿宋" w:cs="仿宋"/>
          <w:sz w:val="32"/>
          <w:szCs w:val="32"/>
          <w:lang w:val="en-US" w:eastAsia="zh-CN"/>
        </w:rPr>
        <w:t>1</w:t>
      </w:r>
      <w:r>
        <w:rPr>
          <w:rFonts w:hint="eastAsia" w:ascii="仿宋" w:hAnsi="仿宋" w:eastAsia="仿宋" w:cs="仿宋"/>
          <w:sz w:val="32"/>
          <w:szCs w:val="32"/>
        </w:rPr>
        <w:t>人,退职人员</w:t>
      </w:r>
      <w:r>
        <w:rPr>
          <w:rFonts w:hint="eastAsia" w:ascii="仿宋" w:hAnsi="仿宋" w:eastAsia="仿宋" w:cs="仿宋"/>
          <w:sz w:val="32"/>
          <w:szCs w:val="32"/>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rPr>
        <w:fldChar w:fldCharType="end"/>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color w:val="auto"/>
          <w:sz w:val="32"/>
          <w:szCs w:val="32"/>
        </w:rPr>
      </w:pPr>
    </w:p>
    <w:p>
      <w:pPr>
        <w:numPr>
          <w:ilvl w:val="0"/>
          <w:numId w:val="0"/>
        </w:numPr>
        <w:spacing w:line="560" w:lineRule="exact"/>
        <w:jc w:val="both"/>
        <w:rPr>
          <w:rFonts w:hint="eastAsia" w:ascii="黑体" w:hAnsi="黑体" w:eastAsia="黑体" w:cs="黑体"/>
          <w:b w:val="0"/>
          <w:bCs w:val="0"/>
          <w:color w:val="auto"/>
          <w:sz w:val="32"/>
          <w:szCs w:val="32"/>
        </w:rPr>
      </w:pPr>
    </w:p>
    <w:p>
      <w:pPr>
        <w:numPr>
          <w:ilvl w:val="0"/>
          <w:numId w:val="0"/>
        </w:num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val="en-US" w:eastAsia="zh-CN"/>
        </w:rPr>
        <w:t>南坑乡卫生院</w:t>
      </w:r>
      <w:r>
        <w:rPr>
          <w:rFonts w:hint="eastAsia" w:ascii="黑体" w:hAnsi="黑体" w:eastAsia="黑体" w:cs="黑体"/>
          <w:b w:val="0"/>
          <w:bCs w:val="0"/>
          <w:color w:val="auto"/>
          <w:sz w:val="32"/>
          <w:szCs w:val="32"/>
        </w:rPr>
        <w:t>预算情况说明</w:t>
      </w:r>
    </w:p>
    <w:p>
      <w:pPr>
        <w:pStyle w:val="2"/>
        <w:numPr>
          <w:ilvl w:val="0"/>
          <w:numId w:val="0"/>
        </w:numPr>
        <w:rPr>
          <w:rFonts w:hint="eastAsia"/>
        </w:rPr>
      </w:pP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2023年本单位收入预算总额615.83万元，较上年预算安排减少51.26万元，减少7.68%。增减变化主要原因是：2022年卫生院整体搬迁项目。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其中：财政拨款收入100.25万元，较上年预算安排增加15.03万元;政府性基金预算收入收入0万元,较上年预算安排增加0万元;教育收费资金收入0万元,较上</w:t>
      </w:r>
      <w:bookmarkStart w:id="0" w:name="_GoBack"/>
      <w:bookmarkEnd w:id="0"/>
      <w:r>
        <w:rPr>
          <w:rFonts w:hint="eastAsia" w:ascii="仿宋" w:hAnsi="仿宋" w:eastAsia="仿宋" w:cs="仿宋"/>
          <w:sz w:val="32"/>
          <w:szCs w:val="32"/>
          <w:lang w:val="en-US" w:eastAsia="zh-CN"/>
        </w:rPr>
        <w:t>年预算安排增加0万元;事业收入515.58万元,较上年预算安排减少66.29万元;上级补助收入 0万元,较上年预算安排增加0万元；其他收入0万元，较上年预算安排增加0万元。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2023年本单位支出预算总额615.83万元，较上年预算安排减少51.26万元，减少7.68%。增减变化主要原因是：2022年卫生院整体搬迁项目。具体为：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支出项目类别及经济分类科目划分：基本支出615.83万元，较上年预算安排减少51.26万元，其中：工资福利支出349.92万元，商品和服务支出103.11万元，对个人和家庭的补助0.21万元、资本性支出162.59万元。项目支出0万元，较上年预算安排增加0万元。其中：工资福利支出0万元，商品和服务支出0万元，对个人和家庭的补助0万元，资本性支出0万元，其他相关支出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支出功能分类科目划分：社会保障和就业支出15.44万元,较上年预算安排减少6.79万元;卫生健康支出600.39万元,较上年预算安排减少35.90万元;住房保障支出0万元,较上年预算安排减少8.57万元;其他支出0万元,较上年预算安排增加0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w:t>
      </w:r>
      <w:r>
        <w:rPr>
          <w:rFonts w:hint="eastAsia" w:ascii="仿宋" w:hAnsi="仿宋" w:eastAsia="仿宋" w:cs="仿宋"/>
          <w:sz w:val="32"/>
          <w:szCs w:val="32"/>
        </w:rPr>
        <w:t>财政拨款（补助）支出预算</w:t>
      </w:r>
      <w:r>
        <w:rPr>
          <w:rFonts w:hint="eastAsia" w:ascii="仿宋" w:hAnsi="仿宋" w:eastAsia="仿宋" w:cs="仿宋"/>
          <w:sz w:val="32"/>
          <w:szCs w:val="32"/>
          <w:lang w:val="en-US" w:eastAsia="zh-CN"/>
        </w:rPr>
        <w:t>100.25</w:t>
      </w:r>
      <w:r>
        <w:rPr>
          <w:rFonts w:hint="eastAsia" w:ascii="仿宋" w:hAnsi="仿宋" w:eastAsia="仿宋" w:cs="仿宋"/>
          <w:sz w:val="32"/>
          <w:szCs w:val="32"/>
        </w:rPr>
        <w:t>万元，占</w:t>
      </w:r>
      <w:r>
        <w:rPr>
          <w:rFonts w:hint="eastAsia" w:ascii="仿宋" w:hAnsi="仿宋" w:eastAsia="仿宋" w:cs="仿宋"/>
          <w:sz w:val="32"/>
          <w:szCs w:val="32"/>
          <w:lang w:eastAsia="zh-CN"/>
        </w:rPr>
        <w:t>本年</w:t>
      </w:r>
      <w:r>
        <w:rPr>
          <w:rFonts w:hint="eastAsia" w:ascii="仿宋" w:hAnsi="仿宋" w:eastAsia="仿宋" w:cs="仿宋"/>
          <w:sz w:val="32"/>
          <w:szCs w:val="32"/>
        </w:rPr>
        <w:t>支出预算额的</w:t>
      </w:r>
      <w:r>
        <w:rPr>
          <w:rFonts w:hint="eastAsia" w:ascii="仿宋" w:hAnsi="仿宋" w:eastAsia="仿宋" w:cs="仿宋"/>
          <w:sz w:val="32"/>
          <w:szCs w:val="32"/>
          <w:lang w:val="en-US" w:eastAsia="zh-CN"/>
        </w:rPr>
        <w:t>16.28</w:t>
      </w:r>
      <w:r>
        <w:rPr>
          <w:rFonts w:hint="eastAsia" w:ascii="仿宋" w:hAnsi="仿宋" w:eastAsia="仿宋" w:cs="仿宋"/>
          <w:sz w:val="32"/>
          <w:szCs w:val="32"/>
        </w:rPr>
        <w:t>%，较上年预算安排</w:t>
      </w:r>
      <w:r>
        <w:rPr>
          <w:rFonts w:hint="eastAsia" w:ascii="仿宋" w:hAnsi="仿宋" w:eastAsia="仿宋" w:cs="仿宋"/>
          <w:sz w:val="32"/>
          <w:szCs w:val="32"/>
          <w:lang w:val="en-US" w:eastAsia="zh-CN"/>
        </w:rPr>
        <w:t>增加15.04万元，增长17.65%。增减变化主要原因是：职工工资增长。</w:t>
      </w:r>
      <w:r>
        <w:rPr>
          <w:rFonts w:hint="eastAsia" w:ascii="仿宋" w:hAnsi="仿宋" w:eastAsia="仿宋" w:cs="仿宋"/>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按支出项目类别及经济分类科目划分：基本支出</w:t>
      </w:r>
      <w:r>
        <w:rPr>
          <w:rFonts w:hint="eastAsia" w:ascii="仿宋" w:hAnsi="仿宋" w:eastAsia="仿宋" w:cs="仿宋"/>
          <w:sz w:val="32"/>
          <w:szCs w:val="32"/>
          <w:lang w:val="en-US" w:eastAsia="zh-CN"/>
        </w:rPr>
        <w:t>100.25</w:t>
      </w:r>
      <w:r>
        <w:rPr>
          <w:rFonts w:hint="eastAsia" w:ascii="仿宋" w:hAnsi="仿宋" w:eastAsia="仿宋" w:cs="仿宋"/>
          <w:sz w:val="32"/>
          <w:szCs w:val="32"/>
        </w:rPr>
        <w:t>万元上年预算安排</w:t>
      </w:r>
      <w:r>
        <w:rPr>
          <w:rFonts w:hint="eastAsia" w:ascii="仿宋" w:hAnsi="仿宋" w:eastAsia="仿宋" w:cs="仿宋"/>
          <w:sz w:val="32"/>
          <w:szCs w:val="32"/>
          <w:lang w:val="en-US" w:eastAsia="zh-CN"/>
        </w:rPr>
        <w:t>增加15.04万元</w:t>
      </w:r>
      <w:r>
        <w:rPr>
          <w:rFonts w:hint="eastAsia" w:ascii="仿宋" w:hAnsi="仿宋" w:eastAsia="仿宋" w:cs="仿宋"/>
          <w:sz w:val="32"/>
          <w:szCs w:val="32"/>
          <w:lang w:eastAsia="zh-CN"/>
        </w:rPr>
        <w:t>，其中：工资福利支出</w:t>
      </w:r>
      <w:r>
        <w:rPr>
          <w:rFonts w:hint="eastAsia" w:ascii="仿宋" w:hAnsi="仿宋" w:eastAsia="仿宋" w:cs="仿宋"/>
          <w:sz w:val="32"/>
          <w:szCs w:val="32"/>
          <w:lang w:val="en-US" w:eastAsia="zh-CN"/>
        </w:rPr>
        <w:t>100.25</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万元。项目支出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加0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 xml:space="preserve">万元，对个人和家庭的补助 </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按支出功能分类科目划分：</w:t>
      </w:r>
      <w:r>
        <w:rPr>
          <w:rFonts w:hint="eastAsia" w:ascii="仿宋" w:hAnsi="仿宋" w:eastAsia="仿宋" w:cs="仿宋"/>
          <w:sz w:val="32"/>
          <w:szCs w:val="32"/>
        </w:rPr>
        <w:t>社会保障和就业支</w:t>
      </w:r>
      <w:r>
        <w:rPr>
          <w:rFonts w:hint="eastAsia" w:ascii="仿宋" w:hAnsi="仿宋" w:eastAsia="仿宋" w:cs="仿宋"/>
          <w:sz w:val="32"/>
          <w:szCs w:val="32"/>
          <w:lang w:eastAsia="zh-CN"/>
        </w:rPr>
        <w:t>出</w:t>
      </w:r>
      <w:r>
        <w:rPr>
          <w:rFonts w:hint="eastAsia" w:ascii="仿宋" w:hAnsi="仿宋" w:eastAsia="仿宋" w:cs="仿宋"/>
          <w:sz w:val="32"/>
          <w:szCs w:val="32"/>
          <w:lang w:val="en-US" w:eastAsia="zh-CN"/>
        </w:rPr>
        <w:t>15.44</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4.64</w:t>
      </w:r>
      <w:r>
        <w:rPr>
          <w:rFonts w:hint="eastAsia" w:ascii="仿宋" w:hAnsi="仿宋" w:eastAsia="仿宋" w:cs="仿宋"/>
          <w:sz w:val="32"/>
          <w:szCs w:val="32"/>
          <w:lang w:eastAsia="zh-CN"/>
        </w:rPr>
        <w:t>万元;卫生健康支出</w:t>
      </w:r>
      <w:r>
        <w:rPr>
          <w:rFonts w:hint="eastAsia" w:ascii="仿宋" w:hAnsi="仿宋" w:eastAsia="仿宋" w:cs="仿宋"/>
          <w:sz w:val="32"/>
          <w:szCs w:val="32"/>
          <w:lang w:val="en-US" w:eastAsia="zh-CN"/>
        </w:rPr>
        <w:t>84.81</w:t>
      </w:r>
      <w:r>
        <w:rPr>
          <w:rFonts w:hint="eastAsia" w:ascii="仿宋" w:hAnsi="仿宋" w:eastAsia="仿宋" w:cs="仿宋"/>
          <w:sz w:val="32"/>
          <w:szCs w:val="32"/>
          <w:lang w:eastAsia="zh-CN"/>
        </w:rPr>
        <w:t>万元,</w:t>
      </w:r>
      <w:r>
        <w:rPr>
          <w:rFonts w:hint="eastAsia" w:ascii="仿宋" w:hAnsi="仿宋" w:eastAsia="仿宋" w:cs="仿宋"/>
          <w:sz w:val="32"/>
          <w:szCs w:val="32"/>
        </w:rPr>
        <w:t>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10.39</w:t>
      </w:r>
      <w:r>
        <w:rPr>
          <w:rFonts w:hint="eastAsia" w:ascii="仿宋" w:hAnsi="仿宋" w:eastAsia="仿宋" w:cs="仿宋"/>
          <w:sz w:val="32"/>
          <w:szCs w:val="32"/>
        </w:rPr>
        <w:t>万元;住房保障支出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本单位无使用政府性基金预算拨款安排的支出。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（五）机关运行经费等重要事项的说明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本单位非行政（参公）单位，无机关运行经费。</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单位</w:t>
      </w:r>
      <w:r>
        <w:rPr>
          <w:rFonts w:hint="eastAsia" w:ascii="仿宋" w:hAnsi="仿宋" w:eastAsia="仿宋" w:cs="仿宋"/>
          <w:sz w:val="32"/>
          <w:szCs w:val="32"/>
        </w:rPr>
        <w:t>政府采购总额</w:t>
      </w:r>
      <w:r>
        <w:rPr>
          <w:rFonts w:hint="eastAsia" w:ascii="仿宋" w:hAnsi="仿宋" w:eastAsia="仿宋" w:cs="仿宋"/>
          <w:sz w:val="32"/>
          <w:szCs w:val="32"/>
          <w:lang w:val="en-US" w:eastAsia="zh-CN"/>
        </w:rPr>
        <w:t>167.59</w:t>
      </w:r>
      <w:r>
        <w:rPr>
          <w:rFonts w:hint="eastAsia" w:ascii="仿宋" w:hAnsi="仿宋" w:eastAsia="仿宋" w:cs="仿宋"/>
          <w:sz w:val="32"/>
          <w:szCs w:val="32"/>
        </w:rPr>
        <w:t>万元，其中：政府采购货物预算</w:t>
      </w:r>
      <w:r>
        <w:rPr>
          <w:rFonts w:hint="eastAsia" w:ascii="仿宋" w:hAnsi="仿宋" w:eastAsia="仿宋" w:cs="仿宋"/>
          <w:sz w:val="32"/>
          <w:szCs w:val="32"/>
          <w:lang w:val="en-US" w:eastAsia="zh-CN"/>
        </w:rPr>
        <w:t>67.59</w:t>
      </w:r>
      <w:r>
        <w:rPr>
          <w:rFonts w:hint="eastAsia" w:ascii="仿宋" w:hAnsi="仿宋" w:eastAsia="仿宋" w:cs="仿宋"/>
          <w:sz w:val="32"/>
          <w:szCs w:val="32"/>
        </w:rPr>
        <w:t>万元、政府采购工程预算</w:t>
      </w:r>
      <w:r>
        <w:rPr>
          <w:rFonts w:hint="eastAsia" w:ascii="仿宋" w:hAnsi="仿宋" w:eastAsia="仿宋" w:cs="仿宋"/>
          <w:sz w:val="32"/>
          <w:szCs w:val="32"/>
          <w:lang w:val="en-US" w:eastAsia="zh-CN"/>
        </w:rPr>
        <w:t>100.00</w:t>
      </w:r>
      <w:r>
        <w:rPr>
          <w:rFonts w:hint="eastAsia" w:ascii="仿宋" w:hAnsi="仿宋" w:eastAsia="仿宋" w:cs="仿宋"/>
          <w:sz w:val="32"/>
          <w:szCs w:val="32"/>
        </w:rPr>
        <w:t>万元、政府采购服务预算</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2022年</w:t>
      </w:r>
      <w:r>
        <w:rPr>
          <w:rFonts w:hint="eastAsia" w:ascii="仿宋" w:hAnsi="仿宋" w:eastAsia="仿宋" w:cs="仿宋"/>
          <w:sz w:val="32"/>
          <w:szCs w:val="32"/>
        </w:rPr>
        <w:t>12月31日</w:t>
      </w:r>
      <w:r>
        <w:rPr>
          <w:rFonts w:hint="eastAsia" w:ascii="仿宋" w:hAnsi="仿宋" w:eastAsia="仿宋" w:cs="仿宋"/>
          <w:sz w:val="32"/>
          <w:szCs w:val="32"/>
          <w:lang w:eastAsia="zh-CN"/>
        </w:rPr>
        <w:t>单位</w:t>
      </w:r>
      <w:r>
        <w:rPr>
          <w:rFonts w:hint="eastAsia" w:ascii="仿宋" w:hAnsi="仿宋" w:eastAsia="仿宋" w:cs="仿宋"/>
          <w:sz w:val="32"/>
          <w:szCs w:val="32"/>
        </w:rPr>
        <w:t>共有车辆</w:t>
      </w:r>
      <w:r>
        <w:rPr>
          <w:rFonts w:hint="eastAsia" w:ascii="仿宋" w:hAnsi="仿宋" w:eastAsia="仿宋" w:cs="仿宋"/>
          <w:sz w:val="32"/>
          <w:szCs w:val="32"/>
          <w:lang w:val="en-US" w:eastAsia="zh-CN"/>
        </w:rPr>
        <w:t>1</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rPr>
        <w:t>其中</w:t>
      </w:r>
      <w:r>
        <w:rPr>
          <w:rFonts w:hint="eastAsia" w:ascii="仿宋" w:hAnsi="仿宋" w:eastAsia="仿宋" w:cs="仿宋"/>
          <w:sz w:val="32"/>
          <w:szCs w:val="32"/>
          <w:lang w:eastAsia="zh-CN"/>
        </w:rPr>
        <w:t>：</w:t>
      </w:r>
      <w:r>
        <w:rPr>
          <w:rFonts w:hint="eastAsia" w:ascii="仿宋" w:hAnsi="仿宋" w:eastAsia="仿宋" w:cs="仿宋"/>
          <w:sz w:val="32"/>
          <w:szCs w:val="32"/>
        </w:rPr>
        <w:t>一般公务用车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辆、执法执勤用车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特种专业技术用车1辆</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2023年本</w:t>
      </w:r>
      <w:r>
        <w:rPr>
          <w:rFonts w:hint="eastAsia" w:ascii="仿宋" w:hAnsi="仿宋" w:eastAsia="仿宋" w:cs="仿宋"/>
          <w:sz w:val="32"/>
          <w:szCs w:val="32"/>
          <w:lang w:eastAsia="zh-CN"/>
        </w:rPr>
        <w:t>单位</w:t>
      </w:r>
      <w:r>
        <w:rPr>
          <w:rFonts w:hint="eastAsia" w:ascii="仿宋" w:hAnsi="仿宋" w:eastAsia="仿宋" w:cs="仿宋"/>
          <w:sz w:val="32"/>
          <w:szCs w:val="32"/>
        </w:rPr>
        <w:t>预算安排购置车辆</w:t>
      </w:r>
      <w:r>
        <w:rPr>
          <w:rFonts w:hint="eastAsia" w:ascii="仿宋" w:hAnsi="仿宋" w:eastAsia="仿宋" w:cs="仿宋"/>
          <w:sz w:val="32"/>
          <w:szCs w:val="32"/>
          <w:lang w:val="en-US" w:eastAsia="zh-CN"/>
        </w:rPr>
        <w:t>0</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lang w:val="en-US" w:eastAsia="zh-CN"/>
        </w:rPr>
        <w:t>无</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年实行绩效目标管理的项目</w:t>
      </w:r>
      <w:r>
        <w:rPr>
          <w:rFonts w:hint="eastAsia" w:ascii="仿宋" w:hAnsi="仿宋" w:eastAsia="仿宋" w:cs="仿宋"/>
          <w:sz w:val="32"/>
          <w:szCs w:val="32"/>
          <w:lang w:val="en-US" w:eastAsia="zh-CN"/>
        </w:rPr>
        <w:t>0</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sz w:val="32"/>
          <w:szCs w:val="32"/>
          <w:lang w:val="en-US" w:eastAsia="zh-CN"/>
        </w:rPr>
        <w:t>本单位无使用国有资本经营预算拨款安排的支出。</w:t>
      </w: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年兴国县</w:t>
      </w:r>
      <w:r>
        <w:rPr>
          <w:rFonts w:hint="eastAsia" w:ascii="仿宋" w:hAnsi="仿宋" w:eastAsia="仿宋" w:cs="仿宋"/>
          <w:sz w:val="32"/>
          <w:szCs w:val="32"/>
          <w:lang w:val="en-US" w:eastAsia="zh-CN"/>
        </w:rPr>
        <w:t>南坑乡卫生院</w:t>
      </w:r>
      <w:r>
        <w:rPr>
          <w:rFonts w:hint="eastAsia" w:ascii="仿宋" w:hAnsi="仿宋" w:eastAsia="仿宋" w:cs="仿宋"/>
          <w:sz w:val="32"/>
          <w:szCs w:val="32"/>
          <w:lang w:eastAsia="zh-CN"/>
        </w:rPr>
        <w:t>单位</w:t>
      </w:r>
      <w:r>
        <w:rPr>
          <w:rFonts w:hint="eastAsia" w:ascii="仿宋" w:hAnsi="仿宋" w:eastAsia="仿宋" w:cs="仿宋"/>
          <w:sz w:val="32"/>
          <w:szCs w:val="32"/>
        </w:rPr>
        <w:t>“三公”经费一般公共预算安排</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sectPr>
          <w:footerReference r:id="rId3" w:type="default"/>
          <w:pgSz w:w="11906" w:h="16838"/>
          <w:pgMar w:top="1587" w:right="1587" w:bottom="1587" w:left="1587" w:header="851" w:footer="992" w:gutter="0"/>
          <w:pgNumType w:fmt="decimal"/>
          <w:cols w:space="0" w:num="1"/>
          <w:docGrid w:type="lines" w:linePitch="322" w:charSpace="0"/>
        </w:sect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p>
    <w:p>
      <w:pPr>
        <w:pStyle w:val="2"/>
        <w:numPr>
          <w:ilvl w:val="0"/>
          <w:numId w:val="0"/>
        </w:numPr>
        <w:jc w:val="center"/>
        <w:rPr>
          <w:rFonts w:hint="eastAsia"/>
          <w:b/>
          <w:bCs/>
          <w:sz w:val="36"/>
          <w:szCs w:val="36"/>
          <w:lang w:val="en-US" w:eastAsia="zh-CN"/>
        </w:rPr>
      </w:pPr>
      <w:r>
        <w:rPr>
          <w:rFonts w:hint="eastAsia"/>
          <w:b/>
          <w:bCs/>
          <w:sz w:val="36"/>
          <w:szCs w:val="36"/>
          <w:lang w:val="en-US" w:eastAsia="zh-CN"/>
        </w:rPr>
        <w:t>第三部分 兴国县南坑乡卫生院2023单位预算表</w:t>
      </w:r>
    </w:p>
    <w:p>
      <w:pPr>
        <w:pStyle w:val="2"/>
        <w:numPr>
          <w:ilvl w:val="0"/>
          <w:numId w:val="0"/>
        </w:numPr>
        <w:rPr>
          <w:rFonts w:hint="eastAsia"/>
        </w:rPr>
      </w:pPr>
      <w:r>
        <w:rPr>
          <w:rFonts w:hint="eastAsia" w:ascii="仿宋" w:hAnsi="仿宋" w:eastAsia="仿宋" w:cs="仿宋"/>
          <w:sz w:val="32"/>
          <w:szCs w:val="32"/>
          <w:lang w:val="en-US" w:eastAsia="zh-CN"/>
        </w:rPr>
        <w:t>一、《收支预算总表》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91"/>
        <w:gridCol w:w="1660"/>
        <w:gridCol w:w="2938"/>
        <w:gridCol w:w="18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96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[403021]兴国县南坑乡卫生院</w:t>
            </w:r>
          </w:p>
        </w:tc>
        <w:tc>
          <w:tcPr>
            <w:tcW w:w="777"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375"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88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7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26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6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100.25</w:t>
            </w:r>
          </w:p>
        </w:tc>
        <w:tc>
          <w:tcPr>
            <w:tcW w:w="1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100.25</w:t>
            </w:r>
          </w:p>
        </w:tc>
        <w:tc>
          <w:tcPr>
            <w:tcW w:w="1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6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515.58</w:t>
            </w:r>
          </w:p>
        </w:tc>
        <w:tc>
          <w:tcPr>
            <w:tcW w:w="1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6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615.83</w:t>
            </w:r>
          </w:p>
        </w:tc>
        <w:tc>
          <w:tcPr>
            <w:tcW w:w="1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615.83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6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615.83</w:t>
            </w:r>
          </w:p>
        </w:tc>
        <w:tc>
          <w:tcPr>
            <w:tcW w:w="1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615.83</w:t>
            </w:r>
          </w:p>
        </w:tc>
      </w:tr>
    </w:tbl>
    <w:p>
      <w:pPr>
        <w:pStyle w:val="2"/>
        <w:rPr>
          <w:rFonts w:hint="eastAsia"/>
          <w:sz w:val="20"/>
          <w:szCs w:val="20"/>
        </w:rPr>
        <w:sectPr>
          <w:pgSz w:w="11906" w:h="16838"/>
          <w:pgMar w:top="720" w:right="720" w:bottom="720" w:left="720" w:header="851" w:footer="992" w:gutter="0"/>
          <w:pgNumType w:fmt="decimal"/>
          <w:cols w:space="0" w:num="1"/>
          <w:docGrid w:type="lines" w:linePitch="322" w:charSpace="0"/>
        </w:sectPr>
      </w:pPr>
    </w:p>
    <w:p>
      <w:pPr>
        <w:pStyle w:val="2"/>
        <w:numPr>
          <w:ilvl w:val="0"/>
          <w:numId w:val="0"/>
        </w:numPr>
        <w:rPr>
          <w:rFonts w:hint="eastAsia"/>
        </w:rPr>
      </w:pPr>
      <w:r>
        <w:rPr>
          <w:rFonts w:hint="eastAsia"/>
          <w:sz w:val="32"/>
          <w:szCs w:val="32"/>
          <w:lang w:val="en-US" w:eastAsia="zh-CN"/>
        </w:rPr>
        <w:t>二、</w:t>
      </w:r>
      <w:r>
        <w:rPr>
          <w:rFonts w:hint="eastAsia" w:ascii="仿宋" w:hAnsi="仿宋" w:eastAsia="仿宋" w:cs="仿宋"/>
          <w:sz w:val="32"/>
          <w:szCs w:val="32"/>
          <w:lang w:val="en-US" w:eastAsia="zh-CN"/>
        </w:rPr>
        <w:t>《单位收入总表》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25"/>
        <w:gridCol w:w="3945"/>
        <w:gridCol w:w="870"/>
        <w:gridCol w:w="555"/>
        <w:gridCol w:w="825"/>
        <w:gridCol w:w="870"/>
        <w:gridCol w:w="840"/>
        <w:gridCol w:w="840"/>
        <w:gridCol w:w="765"/>
        <w:gridCol w:w="840"/>
        <w:gridCol w:w="705"/>
        <w:gridCol w:w="855"/>
        <w:gridCol w:w="720"/>
        <w:gridCol w:w="660"/>
        <w:gridCol w:w="8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9"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[403021]兴国县南坑乡卫生院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45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功能科目编码</w:t>
            </w:r>
          </w:p>
        </w:tc>
        <w:tc>
          <w:tcPr>
            <w:tcW w:w="126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278"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080"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4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26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事业</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225"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73"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3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21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2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45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8"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24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3"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6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7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6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7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6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4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6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2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7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3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1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8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615.83</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100.25</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100.25</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515.58</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30.48</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15.44</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15.44</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15.03</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30.48</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15.44</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15.44</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15.03</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18.90</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11.34</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11.34</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7.56</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11.58</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7.47</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557.19</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84.81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84.81</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472.39</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549.07</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81.28</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81.28</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467.80</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549.07</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81.28</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81.28</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467.80</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8.12</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3.53</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3.53</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4.59</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8.12</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3.53</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3.53</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4.59</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28.16</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28.16</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28.16</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28.16</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28.16</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28.16</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pStyle w:val="2"/>
        <w:jc w:val="both"/>
        <w:rPr>
          <w:rFonts w:hint="eastAsia"/>
          <w:sz w:val="20"/>
          <w:szCs w:val="20"/>
        </w:rPr>
        <w:sectPr>
          <w:pgSz w:w="16838" w:h="11906" w:orient="landscape"/>
          <w:pgMar w:top="720" w:right="720" w:bottom="720" w:left="720" w:header="851" w:footer="992" w:gutter="0"/>
          <w:pgNumType w:fmt="decimal"/>
          <w:cols w:space="0" w:num="1"/>
          <w:docGrid w:type="lines" w:linePitch="322" w:charSpace="0"/>
        </w:sectPr>
      </w:pPr>
    </w:p>
    <w:p>
      <w:pPr>
        <w:pStyle w:val="2"/>
        <w:rPr>
          <w:rFonts w:hint="default"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三、单位支出总表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189"/>
        <w:gridCol w:w="4170"/>
        <w:gridCol w:w="1048"/>
        <w:gridCol w:w="1127"/>
        <w:gridCol w:w="11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[403021]兴国县南坑乡卫生院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4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49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27"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5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49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7"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9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95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90"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3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615.83</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615.83</w:t>
            </w: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15.44</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15.44</w:t>
            </w: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15.44</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15.44</w:t>
            </w: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11.34</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11.34</w:t>
            </w: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w:t>
            </w: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600.39</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600.39</w:t>
            </w: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596.86</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596.86</w:t>
            </w: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596.86</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596.86</w:t>
            </w: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3.53</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3.53</w:t>
            </w: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3.53</w:t>
            </w: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3.53</w:t>
            </w: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9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2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keepNext w:val="0"/>
        <w:keepLines w:val="0"/>
        <w:pageBreakBefore w:val="0"/>
        <w:widowControl/>
        <w:kinsoku w:val="0"/>
        <w:wordWrap/>
        <w:overflowPunct/>
        <w:topLinePunct w:val="0"/>
        <w:autoSpaceDE w:val="0"/>
        <w:autoSpaceDN w:val="0"/>
        <w:bidi w:val="0"/>
        <w:adjustRightInd w:val="0"/>
        <w:snapToGrid w:val="0"/>
        <w:rPr>
          <w:rFonts w:ascii="Arial"/>
          <w:sz w:val="20"/>
          <w:szCs w:val="20"/>
        </w:rPr>
      </w:pPr>
    </w:p>
    <w:p>
      <w:pPr>
        <w:pStyle w:val="2"/>
        <w:rPr>
          <w:rFonts w:ascii="Arial"/>
          <w:sz w:val="20"/>
          <w:szCs w:val="20"/>
        </w:rPr>
      </w:pPr>
    </w:p>
    <w:p>
      <w:pPr>
        <w:pStyle w:val="2"/>
        <w:rPr>
          <w:rFonts w:ascii="Arial"/>
          <w:sz w:val="20"/>
          <w:szCs w:val="20"/>
        </w:rPr>
      </w:pPr>
    </w:p>
    <w:p>
      <w:pPr>
        <w:pStyle w:val="2"/>
        <w:rPr>
          <w:rFonts w:ascii="Arial"/>
          <w:sz w:val="20"/>
          <w:szCs w:val="20"/>
        </w:rPr>
      </w:pPr>
    </w:p>
    <w:p>
      <w:pPr>
        <w:pStyle w:val="2"/>
        <w:rPr>
          <w:rFonts w:ascii="Arial"/>
          <w:sz w:val="20"/>
          <w:szCs w:val="20"/>
        </w:rPr>
      </w:pPr>
    </w:p>
    <w:p>
      <w:pPr>
        <w:pStyle w:val="2"/>
        <w:rPr>
          <w:rFonts w:ascii="Arial"/>
          <w:sz w:val="20"/>
          <w:szCs w:val="20"/>
        </w:rPr>
      </w:pPr>
    </w:p>
    <w:p>
      <w:pPr>
        <w:pStyle w:val="2"/>
        <w:rPr>
          <w:rFonts w:ascii="Arial"/>
          <w:sz w:val="20"/>
          <w:szCs w:val="20"/>
        </w:rPr>
      </w:pPr>
    </w:p>
    <w:p>
      <w:pPr>
        <w:pStyle w:val="2"/>
        <w:rPr>
          <w:rFonts w:ascii="Arial"/>
          <w:sz w:val="20"/>
          <w:szCs w:val="20"/>
        </w:rPr>
      </w:pPr>
    </w:p>
    <w:p>
      <w:pPr>
        <w:pStyle w:val="2"/>
        <w:rPr>
          <w:rFonts w:ascii="Arial"/>
          <w:sz w:val="20"/>
          <w:szCs w:val="20"/>
        </w:rPr>
      </w:pPr>
    </w:p>
    <w:p>
      <w:pPr>
        <w:pStyle w:val="2"/>
        <w:rPr>
          <w:rFonts w:ascii="Arial"/>
          <w:sz w:val="20"/>
          <w:szCs w:val="20"/>
        </w:rPr>
      </w:pPr>
    </w:p>
    <w:p>
      <w:pPr>
        <w:pStyle w:val="2"/>
        <w:rPr>
          <w:rFonts w:ascii="Arial"/>
          <w:sz w:val="20"/>
          <w:szCs w:val="20"/>
        </w:rPr>
      </w:pPr>
    </w:p>
    <w:p>
      <w:pPr>
        <w:pStyle w:val="2"/>
        <w:rPr>
          <w:rFonts w:ascii="Arial"/>
          <w:sz w:val="20"/>
          <w:szCs w:val="20"/>
        </w:rPr>
      </w:pPr>
    </w:p>
    <w:p>
      <w:pPr>
        <w:pStyle w:val="2"/>
        <w:rPr>
          <w:rFonts w:ascii="Arial"/>
          <w:sz w:val="20"/>
          <w:szCs w:val="20"/>
        </w:rPr>
      </w:pPr>
    </w:p>
    <w:p>
      <w:pPr>
        <w:pStyle w:val="2"/>
        <w:rPr>
          <w:rFonts w:ascii="Arial"/>
          <w:sz w:val="20"/>
          <w:szCs w:val="20"/>
        </w:rPr>
      </w:pPr>
    </w:p>
    <w:p>
      <w:pPr>
        <w:pStyle w:val="2"/>
        <w:rPr>
          <w:rFonts w:ascii="Arial"/>
          <w:sz w:val="20"/>
          <w:szCs w:val="20"/>
        </w:rPr>
      </w:pPr>
    </w:p>
    <w:p>
      <w:pPr>
        <w:pStyle w:val="2"/>
        <w:rPr>
          <w:rFonts w:ascii="Arial"/>
          <w:sz w:val="20"/>
          <w:szCs w:val="20"/>
        </w:rPr>
      </w:pPr>
    </w:p>
    <w:p>
      <w:pPr>
        <w:pStyle w:val="2"/>
        <w:rPr>
          <w:rFonts w:ascii="Arial"/>
          <w:sz w:val="20"/>
          <w:szCs w:val="20"/>
        </w:rPr>
      </w:pPr>
    </w:p>
    <w:p>
      <w:pPr>
        <w:pStyle w:val="2"/>
        <w:rPr>
          <w:rFonts w:ascii="Arial"/>
          <w:sz w:val="20"/>
          <w:szCs w:val="20"/>
        </w:rPr>
      </w:pPr>
    </w:p>
    <w:p>
      <w:pPr>
        <w:pStyle w:val="2"/>
        <w:rPr>
          <w:rFonts w:ascii="Arial"/>
          <w:sz w:val="20"/>
          <w:szCs w:val="20"/>
        </w:rPr>
      </w:pPr>
    </w:p>
    <w:p>
      <w:pPr>
        <w:pStyle w:val="2"/>
        <w:rPr>
          <w:rFonts w:hint="eastAsia" w:ascii="仿宋" w:hAnsi="仿宋" w:eastAsia="仿宋" w:cs="仿宋"/>
          <w:color w:val="auto"/>
          <w:kern w:val="2"/>
          <w:sz w:val="20"/>
          <w:szCs w:val="20"/>
          <w:lang w:val="en-US" w:eastAsia="zh-CN" w:bidi="ar-SA"/>
        </w:rPr>
      </w:pPr>
      <w:r>
        <w:rPr>
          <w:rFonts w:hint="eastAsia" w:ascii="仿宋" w:hAnsi="仿宋" w:eastAsia="仿宋" w:cs="仿宋"/>
          <w:color w:val="auto"/>
          <w:kern w:val="2"/>
          <w:sz w:val="32"/>
          <w:szCs w:val="32"/>
          <w:lang w:val="en-US" w:eastAsia="zh-CN" w:bidi="ar-SA"/>
        </w:rPr>
        <w:t>四、财政拨款收支总表</w:t>
      </w:r>
    </w:p>
    <w:tbl>
      <w:tblPr>
        <w:tblStyle w:val="5"/>
        <w:tblW w:w="4855"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813"/>
        <w:gridCol w:w="930"/>
        <w:gridCol w:w="1980"/>
        <w:gridCol w:w="930"/>
        <w:gridCol w:w="1020"/>
        <w:gridCol w:w="1260"/>
        <w:gridCol w:w="14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36"/>
                <w:szCs w:val="36"/>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[403021]兴国县南坑乡卫生院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80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195"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954"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448"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9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60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6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国有资本经</w:t>
            </w:r>
          </w:p>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100.25</w:t>
            </w:r>
          </w:p>
        </w:tc>
        <w:tc>
          <w:tcPr>
            <w:tcW w:w="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100.25</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100.25</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100.25</w:t>
            </w:r>
          </w:p>
        </w:tc>
        <w:tc>
          <w:tcPr>
            <w:tcW w:w="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15.44</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15.44</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84.81</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84.81</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100.25</w:t>
            </w:r>
          </w:p>
        </w:tc>
        <w:tc>
          <w:tcPr>
            <w:tcW w:w="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100.25</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100.25</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五、《一般公共预算支出表》</w:t>
      </w:r>
    </w:p>
    <w:tbl>
      <w:tblPr>
        <w:tblStyle w:val="5"/>
        <w:tblW w:w="494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48"/>
        <w:gridCol w:w="4126"/>
        <w:gridCol w:w="1365"/>
        <w:gridCol w:w="1365"/>
        <w:gridCol w:w="13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[403021]兴国县南坑乡卫生院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30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193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10"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95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4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4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4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100.25</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100.25</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15.44</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15.44</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15.44</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15.44</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11.34</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11.34</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84.81</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84.81</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81.28</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81.28</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81.28</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81.28</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3.53</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3.53</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3.53</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3.53</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keepNext w:val="0"/>
        <w:keepLines w:val="0"/>
        <w:pageBreakBefore w:val="0"/>
        <w:widowControl/>
        <w:kinsoku w:val="0"/>
        <w:wordWrap/>
        <w:overflowPunct/>
        <w:topLinePunct w:val="0"/>
        <w:autoSpaceDE w:val="0"/>
        <w:autoSpaceDN w:val="0"/>
        <w:bidi w:val="0"/>
        <w:adjustRightInd w:val="0"/>
        <w:snapToGrid w:val="0"/>
        <w:spacing w:line="263" w:lineRule="auto"/>
        <w:rPr>
          <w:rFonts w:ascii="Arial"/>
          <w:sz w:val="20"/>
          <w:szCs w:val="20"/>
        </w:rPr>
      </w:pPr>
    </w:p>
    <w:p>
      <w:pPr>
        <w:keepNext w:val="0"/>
        <w:keepLines w:val="0"/>
        <w:pageBreakBefore w:val="0"/>
        <w:widowControl/>
        <w:kinsoku w:val="0"/>
        <w:wordWrap/>
        <w:overflowPunct/>
        <w:topLinePunct w:val="0"/>
        <w:autoSpaceDE w:val="0"/>
        <w:autoSpaceDN w:val="0"/>
        <w:bidi w:val="0"/>
        <w:adjustRightInd w:val="0"/>
        <w:snapToGrid w:val="0"/>
        <w:spacing w:line="14" w:lineRule="auto"/>
        <w:rPr>
          <w:rFonts w:ascii="Arial"/>
          <w:sz w:val="20"/>
          <w:szCs w:val="20"/>
        </w:rPr>
      </w:pPr>
    </w:p>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p>
    <w:tbl>
      <w:tblPr>
        <w:tblStyle w:val="5"/>
        <w:tblW w:w="484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64"/>
        <w:gridCol w:w="3644"/>
        <w:gridCol w:w="1395"/>
        <w:gridCol w:w="1470"/>
        <w:gridCol w:w="14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[403021]兴国县南坑乡卫生院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9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209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759"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4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75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100.25</w:t>
            </w:r>
          </w:p>
        </w:tc>
        <w:tc>
          <w:tcPr>
            <w:tcW w:w="7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100.25</w:t>
            </w:r>
          </w:p>
        </w:tc>
        <w:tc>
          <w:tcPr>
            <w:tcW w:w="71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6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100.25</w:t>
            </w:r>
          </w:p>
        </w:tc>
        <w:tc>
          <w:tcPr>
            <w:tcW w:w="70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71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6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49.52</w:t>
            </w:r>
          </w:p>
        </w:tc>
        <w:tc>
          <w:tcPr>
            <w:tcW w:w="7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49.52</w:t>
            </w:r>
          </w:p>
        </w:tc>
        <w:tc>
          <w:tcPr>
            <w:tcW w:w="71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1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6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31.76</w:t>
            </w:r>
          </w:p>
        </w:tc>
        <w:tc>
          <w:tcPr>
            <w:tcW w:w="7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31.76</w:t>
            </w:r>
          </w:p>
        </w:tc>
        <w:tc>
          <w:tcPr>
            <w:tcW w:w="71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6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11.34</w:t>
            </w:r>
          </w:p>
        </w:tc>
        <w:tc>
          <w:tcPr>
            <w:tcW w:w="7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11.34</w:t>
            </w:r>
          </w:p>
        </w:tc>
        <w:tc>
          <w:tcPr>
            <w:tcW w:w="71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30109</w:t>
            </w:r>
          </w:p>
        </w:tc>
        <w:tc>
          <w:tcPr>
            <w:tcW w:w="1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6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w:t>
            </w:r>
          </w:p>
        </w:tc>
        <w:tc>
          <w:tcPr>
            <w:tcW w:w="7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w:t>
            </w:r>
          </w:p>
        </w:tc>
        <w:tc>
          <w:tcPr>
            <w:tcW w:w="71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6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3.53</w:t>
            </w:r>
          </w:p>
        </w:tc>
        <w:tc>
          <w:tcPr>
            <w:tcW w:w="7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3.53</w:t>
            </w:r>
          </w:p>
        </w:tc>
        <w:tc>
          <w:tcPr>
            <w:tcW w:w="71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bl>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七、《一般公共预算“三公”经费支出表》</w:t>
      </w:r>
    </w:p>
    <w:tbl>
      <w:tblPr>
        <w:tblStyle w:val="5"/>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17"/>
        <w:gridCol w:w="1216"/>
        <w:gridCol w:w="836"/>
        <w:gridCol w:w="1273"/>
        <w:gridCol w:w="2239"/>
        <w:gridCol w:w="2306"/>
        <w:gridCol w:w="9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0" w:type="pct"/>
            <w:gridSpan w:val="7"/>
            <w:tcBorders>
              <w:top w:val="nil"/>
              <w:left w:val="nil"/>
              <w:bottom w:val="nil"/>
              <w:right w:val="single" w:color="auto" w:sz="4" w:space="0"/>
            </w:tcBorders>
            <w:shd w:val="clear" w:color="auto" w:fill="auto"/>
            <w:noWrap/>
            <w:vAlign w:val="bottom"/>
          </w:tcPr>
          <w:p>
            <w:pPr>
              <w:keepNext w:val="0"/>
              <w:keepLines w:val="0"/>
              <w:pageBreakBefore w:val="0"/>
              <w:widowControl/>
              <w:kinsoku w:val="0"/>
              <w:wordWrap/>
              <w:overflowPunct/>
              <w:topLinePunct w:val="0"/>
              <w:autoSpaceDE w:val="0"/>
              <w:autoSpaceDN w:val="0"/>
              <w:bidi w:val="0"/>
              <w:adjustRightInd w:val="0"/>
              <w:snapToGrid w:val="0"/>
              <w:jc w:val="right"/>
              <w:rPr>
                <w:rFonts w:hint="eastAsia" w:ascii="宋体" w:hAnsi="宋体" w:eastAsia="宋体" w:cs="宋体"/>
                <w:i w:val="0"/>
                <w:iCs w:val="0"/>
                <w:color w:val="000000"/>
                <w:sz w:val="30"/>
                <w:szCs w:val="30"/>
                <w:u w:val="none"/>
              </w:rPr>
            </w:pPr>
            <w:r>
              <w:rPr>
                <w:rFonts w:hint="eastAsia" w:ascii="宋体" w:hAnsi="宋体" w:eastAsia="宋体" w:cs="宋体"/>
                <w:i w:val="0"/>
                <w:iCs w:val="0"/>
                <w:snapToGrid w:val="0"/>
                <w:color w:val="000000"/>
                <w:kern w:val="0"/>
                <w:sz w:val="20"/>
                <w:szCs w:val="20"/>
                <w:u w:val="none"/>
                <w:lang w:val="en-US" w:eastAsia="zh-CN" w:bidi="ar"/>
              </w:rPr>
              <w:t>注：若为空表，则为该部门（单位）无“三公”经费支出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snapToGrid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5000" w:type="pct"/>
            <w:gridSpan w:val="7"/>
            <w:tcBorders>
              <w:top w:val="nil"/>
              <w:left w:val="nil"/>
              <w:bottom w:val="nil"/>
              <w:right w:val="nil"/>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[403021]兴国县南坑乡卫生院</w:t>
            </w:r>
            <w:r>
              <w:rPr>
                <w:rFonts w:hint="eastAsia" w:ascii="宋体" w:hAnsi="宋体" w:cs="宋体"/>
                <w:i w:val="0"/>
                <w:iCs w:val="0"/>
                <w:snapToGrid w:val="0"/>
                <w:color w:val="000000"/>
                <w:kern w:val="0"/>
                <w:sz w:val="20"/>
                <w:szCs w:val="20"/>
                <w:u w:val="none"/>
                <w:lang w:val="en-US" w:eastAsia="zh-CN" w:bidi="ar"/>
              </w:rPr>
              <w:t xml:space="preserve">                                                                     </w:t>
            </w:r>
            <w:r>
              <w:rPr>
                <w:rFonts w:hint="eastAsia" w:ascii="宋体" w:hAnsi="宋体" w:eastAsia="宋体" w:cs="宋体"/>
                <w:i w:val="0"/>
                <w:iCs w:val="0"/>
                <w:snapToGrid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85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单位编码</w:t>
            </w:r>
          </w:p>
        </w:tc>
        <w:tc>
          <w:tcPr>
            <w:tcW w:w="56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单位名称</w:t>
            </w:r>
          </w:p>
        </w:tc>
        <w:tc>
          <w:tcPr>
            <w:tcW w:w="39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合计</w:t>
            </w:r>
          </w:p>
        </w:tc>
        <w:tc>
          <w:tcPr>
            <w:tcW w:w="5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因公出国(境)费</w:t>
            </w:r>
          </w:p>
        </w:tc>
        <w:tc>
          <w:tcPr>
            <w:tcW w:w="10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公务接待费</w:t>
            </w:r>
          </w:p>
        </w:tc>
        <w:tc>
          <w:tcPr>
            <w:tcW w:w="10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公务用车运行维护费</w:t>
            </w:r>
          </w:p>
        </w:tc>
        <w:tc>
          <w:tcPr>
            <w:tcW w:w="46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85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val="0"/>
              <w:wordWrap/>
              <w:overflowPunct/>
              <w:topLinePunct w:val="0"/>
              <w:autoSpaceDE w:val="0"/>
              <w:autoSpaceDN w:val="0"/>
              <w:bidi w:val="0"/>
              <w:adjustRightInd w:val="0"/>
              <w:snapToGrid w:val="0"/>
              <w:jc w:val="center"/>
              <w:rPr>
                <w:rFonts w:hint="eastAsia" w:ascii="宋体" w:hAnsi="宋体" w:eastAsia="宋体" w:cs="宋体"/>
                <w:i w:val="0"/>
                <w:iCs w:val="0"/>
                <w:color w:val="000000"/>
                <w:sz w:val="20"/>
                <w:szCs w:val="20"/>
                <w:u w:val="none"/>
              </w:rPr>
            </w:pPr>
          </w:p>
        </w:tc>
        <w:tc>
          <w:tcPr>
            <w:tcW w:w="56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val="0"/>
              <w:wordWrap/>
              <w:overflowPunct/>
              <w:topLinePunct w:val="0"/>
              <w:autoSpaceDE w:val="0"/>
              <w:autoSpaceDN w:val="0"/>
              <w:bidi w:val="0"/>
              <w:adjustRightInd w:val="0"/>
              <w:snapToGrid w:val="0"/>
              <w:jc w:val="center"/>
              <w:rPr>
                <w:rFonts w:hint="eastAsia" w:ascii="宋体" w:hAnsi="宋体" w:eastAsia="宋体" w:cs="宋体"/>
                <w:i w:val="0"/>
                <w:iCs w:val="0"/>
                <w:color w:val="000000"/>
                <w:sz w:val="20"/>
                <w:szCs w:val="20"/>
                <w:u w:val="none"/>
              </w:rPr>
            </w:pPr>
          </w:p>
        </w:tc>
        <w:tc>
          <w:tcPr>
            <w:tcW w:w="39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val="0"/>
              <w:wordWrap/>
              <w:overflowPunct/>
              <w:topLinePunct w:val="0"/>
              <w:autoSpaceDE w:val="0"/>
              <w:autoSpaceDN w:val="0"/>
              <w:bidi w:val="0"/>
              <w:adjustRightInd w:val="0"/>
              <w:snapToGrid w:val="0"/>
              <w:jc w:val="center"/>
              <w:rPr>
                <w:rFonts w:hint="eastAsia" w:ascii="宋体" w:hAnsi="宋体" w:eastAsia="宋体" w:cs="宋体"/>
                <w:i w:val="0"/>
                <w:iCs w:val="0"/>
                <w:color w:val="000000"/>
                <w:sz w:val="20"/>
                <w:szCs w:val="20"/>
                <w:u w:val="none"/>
              </w:rPr>
            </w:pPr>
          </w:p>
        </w:tc>
        <w:tc>
          <w:tcPr>
            <w:tcW w:w="5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jc w:val="center"/>
              <w:rPr>
                <w:rFonts w:hint="eastAsia" w:ascii="宋体" w:hAnsi="宋体" w:eastAsia="宋体" w:cs="宋体"/>
                <w:i w:val="0"/>
                <w:iCs w:val="0"/>
                <w:color w:val="000000"/>
                <w:sz w:val="20"/>
                <w:szCs w:val="20"/>
                <w:u w:val="none"/>
              </w:rPr>
            </w:pPr>
          </w:p>
        </w:tc>
        <w:tc>
          <w:tcPr>
            <w:tcW w:w="10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jc w:val="center"/>
              <w:rPr>
                <w:rFonts w:hint="eastAsia" w:ascii="宋体" w:hAnsi="宋体" w:eastAsia="宋体" w:cs="宋体"/>
                <w:i w:val="0"/>
                <w:iCs w:val="0"/>
                <w:color w:val="000000"/>
                <w:sz w:val="20"/>
                <w:szCs w:val="20"/>
                <w:u w:val="none"/>
              </w:rPr>
            </w:pPr>
          </w:p>
        </w:tc>
        <w:tc>
          <w:tcPr>
            <w:tcW w:w="10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jc w:val="center"/>
              <w:rPr>
                <w:rFonts w:hint="eastAsia" w:ascii="宋体" w:hAnsi="宋体" w:eastAsia="宋体" w:cs="宋体"/>
                <w:i w:val="0"/>
                <w:iCs w:val="0"/>
                <w:color w:val="000000"/>
                <w:sz w:val="20"/>
                <w:szCs w:val="20"/>
                <w:u w:val="none"/>
              </w:rPr>
            </w:pPr>
          </w:p>
        </w:tc>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850" w:type="pct"/>
            <w:tcBorders>
              <w:top w:val="single" w:color="000000" w:sz="4" w:space="0"/>
              <w:left w:val="single" w:color="000000" w:sz="4" w:space="0"/>
              <w:bottom w:val="single" w:color="auto" w:sz="4" w:space="0"/>
              <w:right w:val="nil"/>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w:t>
            </w:r>
          </w:p>
        </w:tc>
        <w:tc>
          <w:tcPr>
            <w:tcW w:w="569" w:type="pct"/>
            <w:tcBorders>
              <w:top w:val="single" w:color="000000" w:sz="4" w:space="0"/>
              <w:left w:val="single" w:color="000000" w:sz="4" w:space="0"/>
              <w:bottom w:val="single" w:color="auto" w:sz="4" w:space="0"/>
              <w:right w:val="nil"/>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w:t>
            </w:r>
          </w:p>
        </w:tc>
        <w:tc>
          <w:tcPr>
            <w:tcW w:w="391" w:type="pct"/>
            <w:tcBorders>
              <w:top w:val="single" w:color="000000" w:sz="4" w:space="0"/>
              <w:left w:val="single" w:color="000000" w:sz="4" w:space="0"/>
              <w:bottom w:val="single" w:color="auto" w:sz="4" w:space="0"/>
              <w:right w:val="nil"/>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596" w:type="pct"/>
            <w:tcBorders>
              <w:top w:val="single" w:color="000000" w:sz="4" w:space="0"/>
              <w:left w:val="single" w:color="000000" w:sz="4" w:space="0"/>
              <w:bottom w:val="single" w:color="auto" w:sz="4" w:space="0"/>
              <w:right w:val="nil"/>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1048" w:type="pct"/>
            <w:tcBorders>
              <w:top w:val="single" w:color="000000" w:sz="4" w:space="0"/>
              <w:left w:val="single" w:color="000000" w:sz="4" w:space="0"/>
              <w:bottom w:val="single" w:color="auto" w:sz="4" w:space="0"/>
              <w:right w:val="nil"/>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w:t>
            </w:r>
          </w:p>
        </w:tc>
        <w:tc>
          <w:tcPr>
            <w:tcW w:w="1079" w:type="pct"/>
            <w:tcBorders>
              <w:top w:val="single" w:color="000000" w:sz="4" w:space="0"/>
              <w:left w:val="single" w:color="000000" w:sz="4" w:space="0"/>
              <w:bottom w:val="single" w:color="auto" w:sz="4" w:space="0"/>
              <w:right w:val="nil"/>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w:t>
            </w:r>
          </w:p>
        </w:tc>
        <w:tc>
          <w:tcPr>
            <w:tcW w:w="464" w:type="pct"/>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rPr>
            </w:pPr>
            <w:r>
              <w:rPr>
                <w:rFonts w:hint="eastAsia" w:ascii="宋体" w:hAnsi="宋体" w:eastAsia="宋体" w:cs="宋体"/>
                <w:i w:val="0"/>
                <w:iCs w:val="0"/>
                <w:snapToGrid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850" w:type="pct"/>
            <w:tcBorders>
              <w:top w:val="single" w:color="auto" w:sz="4" w:space="0"/>
              <w:left w:val="single" w:color="auto" w:sz="4" w:space="0"/>
              <w:bottom w:val="single" w:color="auto" w:sz="4" w:space="0"/>
              <w:right w:val="nil"/>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69" w:type="pct"/>
            <w:tcBorders>
              <w:top w:val="single" w:color="auto" w:sz="4" w:space="0"/>
              <w:left w:val="single" w:color="000000" w:sz="4" w:space="0"/>
              <w:bottom w:val="single" w:color="auto" w:sz="4" w:space="0"/>
              <w:right w:val="nil"/>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391" w:type="pct"/>
            <w:tcBorders>
              <w:top w:val="single" w:color="auto" w:sz="4" w:space="0"/>
              <w:left w:val="single" w:color="000000" w:sz="4" w:space="0"/>
              <w:bottom w:val="single" w:color="auto" w:sz="4" w:space="0"/>
              <w:right w:val="nil"/>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96" w:type="pct"/>
            <w:tcBorders>
              <w:top w:val="single" w:color="auto" w:sz="4" w:space="0"/>
              <w:left w:val="single" w:color="000000" w:sz="4" w:space="0"/>
              <w:bottom w:val="single" w:color="auto" w:sz="4" w:space="0"/>
              <w:right w:val="nil"/>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1048" w:type="pct"/>
            <w:tcBorders>
              <w:top w:val="single" w:color="auto" w:sz="4" w:space="0"/>
              <w:left w:val="single" w:color="000000" w:sz="4" w:space="0"/>
              <w:bottom w:val="single" w:color="auto" w:sz="4" w:space="0"/>
              <w:right w:val="nil"/>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1079" w:type="pct"/>
            <w:tcBorders>
              <w:top w:val="single" w:color="auto" w:sz="4" w:space="0"/>
              <w:left w:val="single" w:color="000000" w:sz="4" w:space="0"/>
              <w:bottom w:val="single" w:color="auto" w:sz="4" w:space="0"/>
              <w:right w:val="nil"/>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464" w:type="pct"/>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bl>
    <w:p>
      <w:pPr>
        <w:keepNext w:val="0"/>
        <w:keepLines w:val="0"/>
        <w:pageBreakBefore w:val="0"/>
        <w:widowControl/>
        <w:kinsoku w:val="0"/>
        <w:wordWrap/>
        <w:overflowPunct/>
        <w:topLinePunct w:val="0"/>
        <w:autoSpaceDE w:val="0"/>
        <w:autoSpaceDN w:val="0"/>
        <w:bidi w:val="0"/>
        <w:adjustRightInd w:val="0"/>
        <w:snapToGrid w:val="0"/>
        <w:spacing w:before="4"/>
        <w:rPr>
          <w:sz w:val="20"/>
          <w:szCs w:val="20"/>
        </w:rPr>
      </w:pPr>
    </w:p>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2"/>
        </w:numPr>
        <w:spacing w:line="560" w:lineRule="exact"/>
        <w:ind w:left="0" w:leftChars="0" w:firstLine="0" w:firstLineChars="0"/>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《政府性基金预算支出表》</w:t>
      </w:r>
    </w:p>
    <w:p>
      <w:pPr>
        <w:pStyle w:val="2"/>
        <w:numPr>
          <w:ilvl w:val="0"/>
          <w:numId w:val="0"/>
        </w:numPr>
        <w:rPr>
          <w:rFonts w:hint="eastAsia"/>
          <w:lang w:val="en-US" w:eastAsia="zh-CN"/>
        </w:rPr>
      </w:pP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76"/>
        <w:gridCol w:w="2358"/>
        <w:gridCol w:w="1167"/>
        <w:gridCol w:w="2702"/>
        <w:gridCol w:w="32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snapToGrid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5"/>
            <w:tcBorders>
              <w:top w:val="nil"/>
              <w:left w:val="nil"/>
              <w:bottom w:val="nil"/>
              <w:right w:val="nil"/>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[403021]兴国县南坑乡卫生院</w:t>
            </w:r>
            <w:r>
              <w:rPr>
                <w:rFonts w:hint="eastAsia" w:ascii="宋体" w:hAnsi="宋体" w:cs="宋体"/>
                <w:i w:val="0"/>
                <w:iCs w:val="0"/>
                <w:snapToGrid w:val="0"/>
                <w:color w:val="000000"/>
                <w:kern w:val="0"/>
                <w:sz w:val="20"/>
                <w:szCs w:val="20"/>
                <w:u w:val="none"/>
                <w:lang w:val="en-US" w:eastAsia="zh-CN" w:bidi="ar"/>
              </w:rPr>
              <w:t xml:space="preserve">                                                                     </w:t>
            </w:r>
            <w:r>
              <w:rPr>
                <w:rFonts w:hint="eastAsia" w:ascii="宋体" w:hAnsi="宋体" w:eastAsia="宋体" w:cs="宋体"/>
                <w:i w:val="0"/>
                <w:iCs w:val="0"/>
                <w:snapToGrid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65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支出功能分类科目</w:t>
            </w:r>
          </w:p>
        </w:tc>
        <w:tc>
          <w:tcPr>
            <w:tcW w:w="334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科目编码</w:t>
            </w:r>
          </w:p>
        </w:tc>
        <w:tc>
          <w:tcPr>
            <w:tcW w:w="11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科目名称 </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合计</w:t>
            </w:r>
          </w:p>
        </w:tc>
        <w:tc>
          <w:tcPr>
            <w:tcW w:w="1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基本支出</w:t>
            </w:r>
          </w:p>
        </w:tc>
        <w:tc>
          <w:tcPr>
            <w:tcW w:w="1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w:t>
            </w:r>
          </w:p>
        </w:tc>
        <w:tc>
          <w:tcPr>
            <w:tcW w:w="11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1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1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kinsoku w:val="0"/>
              <w:wordWrap/>
              <w:overflowPunct/>
              <w:topLinePunct w:val="0"/>
              <w:autoSpaceDE w:val="0"/>
              <w:autoSpaceDN w:val="0"/>
              <w:bidi w:val="0"/>
              <w:adjustRightInd w:val="0"/>
              <w:snapToGrid w:val="0"/>
              <w:rPr>
                <w:rFonts w:hint="eastAsia" w:ascii="Calibri" w:hAnsi="Calibri" w:cs="Calibri"/>
                <w:i w:val="0"/>
                <w:iCs w:val="0"/>
                <w:color w:val="000000"/>
                <w:sz w:val="20"/>
                <w:szCs w:val="20"/>
                <w:u w:val="none"/>
              </w:rPr>
            </w:pPr>
          </w:p>
        </w:tc>
        <w:tc>
          <w:tcPr>
            <w:tcW w:w="11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kinsoku w:val="0"/>
              <w:wordWrap/>
              <w:overflowPunct/>
              <w:topLinePunct w:val="0"/>
              <w:autoSpaceDE w:val="0"/>
              <w:autoSpaceDN w:val="0"/>
              <w:bidi w:val="0"/>
              <w:adjustRightInd w:val="0"/>
              <w:snapToGrid w:val="0"/>
              <w:rPr>
                <w:rFonts w:hint="default" w:ascii="Calibri" w:hAnsi="Calibri" w:cs="Calibri"/>
                <w:i w:val="0"/>
                <w:iCs w:val="0"/>
                <w:color w:val="000000"/>
                <w:sz w:val="20"/>
                <w:szCs w:val="20"/>
                <w:u w:val="none"/>
              </w:rPr>
            </w:pP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kinsoku w:val="0"/>
              <w:wordWrap/>
              <w:overflowPunct/>
              <w:topLinePunct w:val="0"/>
              <w:autoSpaceDE w:val="0"/>
              <w:autoSpaceDN w:val="0"/>
              <w:bidi w:val="0"/>
              <w:adjustRightInd w:val="0"/>
              <w:snapToGrid w:val="0"/>
              <w:rPr>
                <w:rFonts w:hint="default" w:ascii="Calibri" w:hAnsi="Calibri" w:cs="Calibri"/>
                <w:i w:val="0"/>
                <w:iCs w:val="0"/>
                <w:color w:val="000000"/>
                <w:sz w:val="20"/>
                <w:szCs w:val="20"/>
                <w:u w:val="none"/>
              </w:rPr>
            </w:pPr>
          </w:p>
        </w:tc>
        <w:tc>
          <w:tcPr>
            <w:tcW w:w="126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kinsoku w:val="0"/>
              <w:wordWrap/>
              <w:overflowPunct/>
              <w:topLinePunct w:val="0"/>
              <w:autoSpaceDE w:val="0"/>
              <w:autoSpaceDN w:val="0"/>
              <w:bidi w:val="0"/>
              <w:adjustRightInd w:val="0"/>
              <w:snapToGrid w:val="0"/>
              <w:rPr>
                <w:rFonts w:hint="default" w:ascii="Calibri" w:hAnsi="Calibri" w:cs="Calibri"/>
                <w:i w:val="0"/>
                <w:iCs w:val="0"/>
                <w:color w:val="000000"/>
                <w:sz w:val="20"/>
                <w:szCs w:val="20"/>
                <w:u w:val="none"/>
              </w:rPr>
            </w:pPr>
          </w:p>
        </w:tc>
        <w:tc>
          <w:tcPr>
            <w:tcW w:w="15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kinsoku w:val="0"/>
              <w:wordWrap/>
              <w:overflowPunct/>
              <w:topLinePunct w:val="0"/>
              <w:autoSpaceDE w:val="0"/>
              <w:autoSpaceDN w:val="0"/>
              <w:bidi w:val="0"/>
              <w:adjustRightInd w:val="0"/>
              <w:snapToGrid w:val="0"/>
              <w:rPr>
                <w:rFonts w:hint="default" w:ascii="Calibri" w:hAnsi="Calibri" w:cs="Calibri"/>
                <w:i w:val="0"/>
                <w:iCs w:val="0"/>
                <w:color w:val="000000"/>
                <w:sz w:val="20"/>
                <w:szCs w:val="20"/>
                <w:u w:val="none"/>
              </w:rPr>
            </w:pPr>
          </w:p>
        </w:tc>
      </w:tr>
    </w:tbl>
    <w:p>
      <w:pPr>
        <w:keepNext w:val="0"/>
        <w:keepLines w:val="0"/>
        <w:pageBreakBefore w:val="0"/>
        <w:widowControl/>
        <w:kinsoku w:val="0"/>
        <w:wordWrap/>
        <w:overflowPunct/>
        <w:topLinePunct w:val="0"/>
        <w:autoSpaceDE w:val="0"/>
        <w:autoSpaceDN w:val="0"/>
        <w:bidi w:val="0"/>
        <w:adjustRightInd w:val="0"/>
        <w:snapToGrid w:val="0"/>
        <w:spacing w:before="1"/>
      </w:pPr>
    </w:p>
    <w:p>
      <w:pPr>
        <w:keepNext w:val="0"/>
        <w:keepLines w:val="0"/>
        <w:pageBreakBefore w:val="0"/>
        <w:widowControl/>
        <w:kinsoku w:val="0"/>
        <w:wordWrap/>
        <w:overflowPunct/>
        <w:topLinePunct w:val="0"/>
        <w:autoSpaceDE w:val="0"/>
        <w:autoSpaceDN w:val="0"/>
        <w:bidi w:val="0"/>
        <w:adjustRightInd w:val="0"/>
        <w:snapToGrid w:val="0"/>
        <w:spacing w:before="1"/>
      </w:pPr>
    </w:p>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numPr>
          <w:ilvl w:val="0"/>
          <w:numId w:val="0"/>
        </w:numPr>
        <w:rPr>
          <w:rFonts w:hint="eastAsia" w:eastAsia="仿宋"/>
          <w:color w:val="auto"/>
          <w:lang w:eastAsia="zh-CN"/>
        </w:rPr>
      </w:pPr>
    </w:p>
    <w:p>
      <w:pPr>
        <w:pStyle w:val="2"/>
        <w:numPr>
          <w:ilvl w:val="0"/>
          <w:numId w:val="0"/>
        </w:numPr>
        <w:rPr>
          <w:rFonts w:hint="eastAsia" w:eastAsia="仿宋"/>
          <w:color w:val="auto"/>
          <w:lang w:eastAsia="zh-CN"/>
        </w:rPr>
      </w:pPr>
    </w:p>
    <w:p>
      <w:pPr>
        <w:pStyle w:val="2"/>
        <w:numPr>
          <w:ilvl w:val="0"/>
          <w:numId w:val="0"/>
        </w:numPr>
        <w:rPr>
          <w:rFonts w:hint="eastAsia" w:ascii="仿宋" w:hAnsi="仿宋" w:eastAsia="仿宋" w:cs="仿宋"/>
          <w:color w:val="auto"/>
          <w:kern w:val="2"/>
          <w:sz w:val="32"/>
          <w:szCs w:val="32"/>
          <w:lang w:val="en-US" w:eastAsia="zh-CN" w:bidi="ar-SA"/>
        </w:rPr>
      </w:pPr>
      <w:r>
        <w:rPr>
          <w:rFonts w:hint="eastAsia" w:eastAsia="仿宋"/>
          <w:color w:val="auto"/>
          <w:lang w:eastAsia="zh-CN"/>
        </w:rPr>
        <w:t>九、《国有资本经营预算支出表》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415"/>
        <w:gridCol w:w="1176"/>
        <w:gridCol w:w="1004"/>
        <w:gridCol w:w="1826"/>
        <w:gridCol w:w="22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5000" w:type="pct"/>
            <w:gridSpan w:val="5"/>
            <w:tcBorders>
              <w:top w:val="nil"/>
              <w:left w:val="nil"/>
              <w:bottom w:val="nil"/>
              <w:right w:val="nil"/>
            </w:tcBorders>
            <w:shd w:val="clear" w:color="auto" w:fill="auto"/>
            <w:noWrap/>
            <w:vAlign w:val="bottom"/>
          </w:tcPr>
          <w:p>
            <w:pPr>
              <w:keepNext w:val="0"/>
              <w:keepLines w:val="0"/>
              <w:pageBreakBefore w:val="0"/>
              <w:widowControl/>
              <w:suppressLineNumbers w:val="0"/>
              <w:kinsoku w:val="0"/>
              <w:wordWrap/>
              <w:overflowPunct/>
              <w:topLinePunct w:val="0"/>
              <w:autoSpaceDE w:val="0"/>
              <w:autoSpaceDN w:val="0"/>
              <w:bidi w:val="0"/>
              <w:adjustRightInd w:val="0"/>
              <w:snapToGrid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0"/>
                <w:szCs w:val="20"/>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snapToGrid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000" w:type="pct"/>
            <w:gridSpan w:val="5"/>
            <w:tcBorders>
              <w:top w:val="nil"/>
              <w:left w:val="nil"/>
              <w:bottom w:val="nil"/>
              <w:right w:val="nil"/>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snapToGrid w:val="0"/>
                <w:color w:val="000000"/>
                <w:kern w:val="0"/>
                <w:sz w:val="20"/>
                <w:szCs w:val="20"/>
                <w:u w:val="none"/>
                <w:lang w:val="en-US" w:eastAsia="zh-CN" w:bidi="ar"/>
              </w:rPr>
              <w:t>[403021]兴国县南坑乡卫生院</w:t>
            </w:r>
            <w:r>
              <w:rPr>
                <w:rFonts w:hint="eastAsia" w:ascii="宋体" w:hAnsi="宋体" w:cs="宋体"/>
                <w:i w:val="0"/>
                <w:iCs w:val="0"/>
                <w:snapToGrid w:val="0"/>
                <w:color w:val="000000"/>
                <w:kern w:val="0"/>
                <w:sz w:val="20"/>
                <w:szCs w:val="20"/>
                <w:u w:val="none"/>
                <w:lang w:val="en-US" w:eastAsia="zh-CN" w:bidi="ar"/>
              </w:rPr>
              <w:t xml:space="preserve">                                                                     </w:t>
            </w:r>
            <w:r>
              <w:rPr>
                <w:rFonts w:hint="eastAsia" w:ascii="宋体" w:hAnsi="宋体" w:eastAsia="宋体" w:cs="宋体"/>
                <w:i w:val="0"/>
                <w:iCs w:val="0"/>
                <w:snapToGrid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61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支出功能分类科目</w:t>
            </w:r>
          </w:p>
        </w:tc>
        <w:tc>
          <w:tcPr>
            <w:tcW w:w="238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科目编码</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科目名称 </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合计</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基本支出</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w:t>
            </w:r>
          </w:p>
        </w:tc>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w:t>
            </w:r>
          </w:p>
        </w:tc>
      </w:tr>
    </w:tbl>
    <w:p>
      <w:pPr>
        <w:keepNext w:val="0"/>
        <w:keepLines w:val="0"/>
        <w:pageBreakBefore w:val="0"/>
        <w:widowControl/>
        <w:kinsoku w:val="0"/>
        <w:wordWrap/>
        <w:overflowPunct/>
        <w:topLinePunct w:val="0"/>
        <w:autoSpaceDE w:val="0"/>
        <w:autoSpaceDN w:val="0"/>
        <w:bidi w:val="0"/>
        <w:adjustRightInd w:val="0"/>
        <w:snapToGrid w:val="0"/>
        <w:spacing w:line="286" w:lineRule="auto"/>
        <w:rPr>
          <w:rFonts w:ascii="Arial"/>
          <w:sz w:val="20"/>
          <w:szCs w:val="20"/>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p>
      <w:pPr>
        <w:pStyle w:val="2"/>
        <w:numPr>
          <w:ilvl w:val="0"/>
          <w:numId w:val="0"/>
        </w:numPr>
        <w:ind w:leftChars="0" w:firstLine="640" w:firstLineChars="200"/>
        <w:rPr>
          <w:color w:val="auto"/>
          <w:highlight w:val="none"/>
        </w:rPr>
      </w:pPr>
      <w:r>
        <w:rPr>
          <w:rFonts w:hint="eastAsia" w:eastAsia="仿宋"/>
          <w:color w:val="auto"/>
          <w:highlight w:val="none"/>
          <w:lang w:val="en-US" w:eastAsia="zh-CN"/>
        </w:rPr>
        <w:t>无</w:t>
      </w: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sectPr>
          <w:footerReference r:id="rId4" w:type="default"/>
          <w:pgSz w:w="11906" w:h="16838"/>
          <w:pgMar w:top="720" w:right="720" w:bottom="720" w:left="720" w:header="851" w:footer="992" w:gutter="0"/>
          <w:pgNumType w:fmt="decimal"/>
          <w:cols w:space="0" w:num="1"/>
          <w:docGrid w:type="lines" w:linePitch="32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ascii="仿宋" w:hAnsi="仿宋" w:eastAsia="仿宋" w:cs="仿宋"/>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pgSz w:w="11906" w:h="16838"/>
      <w:pgMar w:top="1587" w:right="1587" w:bottom="1587" w:left="1587" w:header="851" w:footer="992" w:gutter="0"/>
      <w:pgNumType w:fmt="decimal"/>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46F0219-C2F0-49FC-A06A-41D77B58579B}"/>
  </w:font>
  <w:font w:name="黑体">
    <w:panose1 w:val="02010609060101010101"/>
    <w:charset w:val="86"/>
    <w:family w:val="auto"/>
    <w:pitch w:val="default"/>
    <w:sig w:usb0="800002BF" w:usb1="38CF7CFA" w:usb2="00000016" w:usb3="00000000" w:csb0="00040001" w:csb1="00000000"/>
    <w:embedRegular r:id="rId2" w:fontKey="{4CE570DC-8DB6-41AE-B7D6-60C65BB3622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EC035B79-1ED3-430A-816B-52919124A4FD}"/>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4" w:fontKey="{B628A750-344F-4D4C-85A4-3EEACFE8872D}"/>
  </w:font>
  <w:font w:name="方正小标宋简体">
    <w:panose1 w:val="02000000000000000000"/>
    <w:charset w:val="86"/>
    <w:family w:val="auto"/>
    <w:pitch w:val="default"/>
    <w:sig w:usb0="00000001" w:usb1="08000000" w:usb2="00000000" w:usb3="00000000" w:csb0="00040000" w:csb1="00000000"/>
    <w:embedRegular r:id="rId5" w:fontKey="{FD3760FE-EC24-49E6-90DC-CD58C1B6E769}"/>
  </w:font>
  <w:font w:name="楷体">
    <w:panose1 w:val="02010609060101010101"/>
    <w:charset w:val="86"/>
    <w:family w:val="auto"/>
    <w:pitch w:val="default"/>
    <w:sig w:usb0="800002BF" w:usb1="38CF7CFA" w:usb2="00000016" w:usb3="00000000" w:csb0="00040001" w:csb1="00000000"/>
    <w:embedRegular r:id="rId6" w:fontKey="{DD8E963D-4708-45DC-8104-01EE8B96A0B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5934"/>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lJqv/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3D3E4E"/>
    <w:multiLevelType w:val="singleLevel"/>
    <w:tmpl w:val="523D3E4E"/>
    <w:lvl w:ilvl="0" w:tentative="0">
      <w:start w:val="2"/>
      <w:numFmt w:val="chineseCounting"/>
      <w:suff w:val="nothing"/>
      <w:lvlText w:val="%1、"/>
      <w:lvlJc w:val="left"/>
      <w:rPr>
        <w:rFonts w:hint="eastAsia"/>
      </w:rPr>
    </w:lvl>
  </w:abstractNum>
  <w:abstractNum w:abstractNumId="1">
    <w:nsid w:val="629865E9"/>
    <w:multiLevelType w:val="singleLevel"/>
    <w:tmpl w:val="629865E9"/>
    <w:lvl w:ilvl="0" w:tentative="0">
      <w:start w:val="8"/>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hY2FjODA2Mjg2NGJiNjUzYjdjMGE0NjBiNTAzMzQifQ=="/>
    <w:docVar w:name="KSO_WPS_MARK_KEY" w:val="73eae713-bc8a-4519-97fa-41abaec0ede3"/>
  </w:docVars>
  <w:rsids>
    <w:rsidRoot w:val="445E02C8"/>
    <w:rsid w:val="00092509"/>
    <w:rsid w:val="00CD0111"/>
    <w:rsid w:val="016E7F10"/>
    <w:rsid w:val="02EE59E6"/>
    <w:rsid w:val="03936CB9"/>
    <w:rsid w:val="03C230FA"/>
    <w:rsid w:val="040B651A"/>
    <w:rsid w:val="041157FB"/>
    <w:rsid w:val="04664AEF"/>
    <w:rsid w:val="048C78F9"/>
    <w:rsid w:val="04EE7A30"/>
    <w:rsid w:val="04F31D7A"/>
    <w:rsid w:val="05303F96"/>
    <w:rsid w:val="05A84572"/>
    <w:rsid w:val="061834A6"/>
    <w:rsid w:val="06C031CD"/>
    <w:rsid w:val="06D7510F"/>
    <w:rsid w:val="07061550"/>
    <w:rsid w:val="081A6E86"/>
    <w:rsid w:val="091A2392"/>
    <w:rsid w:val="0A165498"/>
    <w:rsid w:val="0AD33D99"/>
    <w:rsid w:val="0ADD6A3D"/>
    <w:rsid w:val="0B065FC2"/>
    <w:rsid w:val="0B3C68DF"/>
    <w:rsid w:val="0B931810"/>
    <w:rsid w:val="0C893619"/>
    <w:rsid w:val="0DD70E5E"/>
    <w:rsid w:val="0E0D7668"/>
    <w:rsid w:val="0E715E49"/>
    <w:rsid w:val="0F4D0AAA"/>
    <w:rsid w:val="0F6F1C49"/>
    <w:rsid w:val="0F7B4AA5"/>
    <w:rsid w:val="0FC63F72"/>
    <w:rsid w:val="0FD61CDB"/>
    <w:rsid w:val="10AB3168"/>
    <w:rsid w:val="10DC1574"/>
    <w:rsid w:val="11D31F29"/>
    <w:rsid w:val="1266619F"/>
    <w:rsid w:val="131D034D"/>
    <w:rsid w:val="13B16CE7"/>
    <w:rsid w:val="13C24A51"/>
    <w:rsid w:val="14376E16"/>
    <w:rsid w:val="14393396"/>
    <w:rsid w:val="149F4AB7"/>
    <w:rsid w:val="150775E9"/>
    <w:rsid w:val="157E7936"/>
    <w:rsid w:val="15ED30C2"/>
    <w:rsid w:val="16EA1425"/>
    <w:rsid w:val="17845DF0"/>
    <w:rsid w:val="17AC7EF2"/>
    <w:rsid w:val="18187549"/>
    <w:rsid w:val="19CF11C0"/>
    <w:rsid w:val="19FC4CCF"/>
    <w:rsid w:val="1B261D69"/>
    <w:rsid w:val="1B291859"/>
    <w:rsid w:val="1BD15007"/>
    <w:rsid w:val="1C2A5889"/>
    <w:rsid w:val="1C690537"/>
    <w:rsid w:val="1C8054A9"/>
    <w:rsid w:val="1E6506C1"/>
    <w:rsid w:val="1ECB5101"/>
    <w:rsid w:val="1ED16490"/>
    <w:rsid w:val="1F577AAD"/>
    <w:rsid w:val="1F901EA7"/>
    <w:rsid w:val="1FA31F22"/>
    <w:rsid w:val="20BC501F"/>
    <w:rsid w:val="21294361"/>
    <w:rsid w:val="21366A7E"/>
    <w:rsid w:val="21BA76AF"/>
    <w:rsid w:val="22342B06"/>
    <w:rsid w:val="225278E7"/>
    <w:rsid w:val="229C4DFE"/>
    <w:rsid w:val="22D87DED"/>
    <w:rsid w:val="22EF3388"/>
    <w:rsid w:val="23007343"/>
    <w:rsid w:val="23567302"/>
    <w:rsid w:val="24C74AB3"/>
    <w:rsid w:val="24F62648"/>
    <w:rsid w:val="252A5D24"/>
    <w:rsid w:val="25C24D84"/>
    <w:rsid w:val="261A49D8"/>
    <w:rsid w:val="26C32B62"/>
    <w:rsid w:val="272555CB"/>
    <w:rsid w:val="27A370EF"/>
    <w:rsid w:val="28333D17"/>
    <w:rsid w:val="287225F8"/>
    <w:rsid w:val="29092878"/>
    <w:rsid w:val="29695279"/>
    <w:rsid w:val="2AA44A58"/>
    <w:rsid w:val="2B4A5600"/>
    <w:rsid w:val="2B7F6B4B"/>
    <w:rsid w:val="2C1F6A8C"/>
    <w:rsid w:val="2C6B7AD6"/>
    <w:rsid w:val="2F516105"/>
    <w:rsid w:val="300D4E4E"/>
    <w:rsid w:val="303F6BFA"/>
    <w:rsid w:val="30517430"/>
    <w:rsid w:val="309C7C88"/>
    <w:rsid w:val="30A073B3"/>
    <w:rsid w:val="30CF4099"/>
    <w:rsid w:val="313D504B"/>
    <w:rsid w:val="318A0E4C"/>
    <w:rsid w:val="320719C3"/>
    <w:rsid w:val="326D79FF"/>
    <w:rsid w:val="32C65EB4"/>
    <w:rsid w:val="33AB32FB"/>
    <w:rsid w:val="35356CED"/>
    <w:rsid w:val="3555351F"/>
    <w:rsid w:val="35687C9A"/>
    <w:rsid w:val="35EE7CE3"/>
    <w:rsid w:val="363A4DC9"/>
    <w:rsid w:val="36EB6123"/>
    <w:rsid w:val="370F790F"/>
    <w:rsid w:val="37A34A15"/>
    <w:rsid w:val="37B84422"/>
    <w:rsid w:val="37E3185A"/>
    <w:rsid w:val="38383C6F"/>
    <w:rsid w:val="38415FDC"/>
    <w:rsid w:val="39770A30"/>
    <w:rsid w:val="39FD31B9"/>
    <w:rsid w:val="3A4013F4"/>
    <w:rsid w:val="3A5320BE"/>
    <w:rsid w:val="3A68113E"/>
    <w:rsid w:val="3A712BA9"/>
    <w:rsid w:val="3A8C0A4A"/>
    <w:rsid w:val="3B117EE8"/>
    <w:rsid w:val="3B472B51"/>
    <w:rsid w:val="3BE453A2"/>
    <w:rsid w:val="3BE63123"/>
    <w:rsid w:val="3C5C33E5"/>
    <w:rsid w:val="3CB26727"/>
    <w:rsid w:val="3E5D48F9"/>
    <w:rsid w:val="3F171845"/>
    <w:rsid w:val="3F450160"/>
    <w:rsid w:val="3F536673"/>
    <w:rsid w:val="3F5F2902"/>
    <w:rsid w:val="3FDB75D6"/>
    <w:rsid w:val="3FFE2FA6"/>
    <w:rsid w:val="407762A9"/>
    <w:rsid w:val="40EC2ED4"/>
    <w:rsid w:val="41540E79"/>
    <w:rsid w:val="420460B1"/>
    <w:rsid w:val="43986C0F"/>
    <w:rsid w:val="43BB30E7"/>
    <w:rsid w:val="445E02C8"/>
    <w:rsid w:val="44C13ED9"/>
    <w:rsid w:val="44C86303"/>
    <w:rsid w:val="44F95E84"/>
    <w:rsid w:val="450C0ADF"/>
    <w:rsid w:val="458F0A45"/>
    <w:rsid w:val="459F674C"/>
    <w:rsid w:val="46E719AA"/>
    <w:rsid w:val="48291327"/>
    <w:rsid w:val="485F6737"/>
    <w:rsid w:val="4958385C"/>
    <w:rsid w:val="499C5F2F"/>
    <w:rsid w:val="4A77763C"/>
    <w:rsid w:val="4B79123B"/>
    <w:rsid w:val="4CCE79E7"/>
    <w:rsid w:val="4D3679D0"/>
    <w:rsid w:val="4D8D0447"/>
    <w:rsid w:val="4D981DA3"/>
    <w:rsid w:val="4E0E71D9"/>
    <w:rsid w:val="4E1D5841"/>
    <w:rsid w:val="4E404914"/>
    <w:rsid w:val="4E870795"/>
    <w:rsid w:val="4ED137BE"/>
    <w:rsid w:val="4FDA398D"/>
    <w:rsid w:val="4FE35B43"/>
    <w:rsid w:val="51450494"/>
    <w:rsid w:val="527F78FD"/>
    <w:rsid w:val="52E71802"/>
    <w:rsid w:val="533F05E5"/>
    <w:rsid w:val="53932938"/>
    <w:rsid w:val="54A24A18"/>
    <w:rsid w:val="55572544"/>
    <w:rsid w:val="5573572A"/>
    <w:rsid w:val="55780E45"/>
    <w:rsid w:val="55B22848"/>
    <w:rsid w:val="56076A84"/>
    <w:rsid w:val="56292132"/>
    <w:rsid w:val="56921A85"/>
    <w:rsid w:val="571B7CCD"/>
    <w:rsid w:val="57AC301B"/>
    <w:rsid w:val="58227637"/>
    <w:rsid w:val="58991106"/>
    <w:rsid w:val="58B57CAD"/>
    <w:rsid w:val="5998029E"/>
    <w:rsid w:val="59A4301F"/>
    <w:rsid w:val="5B2A20C8"/>
    <w:rsid w:val="5B653F38"/>
    <w:rsid w:val="5BE66EB2"/>
    <w:rsid w:val="5CFC7735"/>
    <w:rsid w:val="5D5F28DD"/>
    <w:rsid w:val="5E59557E"/>
    <w:rsid w:val="5F577D10"/>
    <w:rsid w:val="5FEF7F48"/>
    <w:rsid w:val="601E25DC"/>
    <w:rsid w:val="60B42F40"/>
    <w:rsid w:val="6175516F"/>
    <w:rsid w:val="62314848"/>
    <w:rsid w:val="63055088"/>
    <w:rsid w:val="645E744B"/>
    <w:rsid w:val="657B5DDA"/>
    <w:rsid w:val="65904FF8"/>
    <w:rsid w:val="65A65C46"/>
    <w:rsid w:val="65E81919"/>
    <w:rsid w:val="66C537B1"/>
    <w:rsid w:val="66FA76C2"/>
    <w:rsid w:val="67724674"/>
    <w:rsid w:val="67BF46A4"/>
    <w:rsid w:val="68834A57"/>
    <w:rsid w:val="68840010"/>
    <w:rsid w:val="68CF6B69"/>
    <w:rsid w:val="68EC23C5"/>
    <w:rsid w:val="69851C79"/>
    <w:rsid w:val="69C841B1"/>
    <w:rsid w:val="6B122D3D"/>
    <w:rsid w:val="6B3C6EE5"/>
    <w:rsid w:val="6B751E54"/>
    <w:rsid w:val="6B79168D"/>
    <w:rsid w:val="6B8D6867"/>
    <w:rsid w:val="6CB0280D"/>
    <w:rsid w:val="6CD83D6F"/>
    <w:rsid w:val="6E8421A4"/>
    <w:rsid w:val="6EAB7730"/>
    <w:rsid w:val="6EE61403"/>
    <w:rsid w:val="71724DA6"/>
    <w:rsid w:val="71AA0173"/>
    <w:rsid w:val="733C129F"/>
    <w:rsid w:val="738A6019"/>
    <w:rsid w:val="73EA270D"/>
    <w:rsid w:val="747730B1"/>
    <w:rsid w:val="76C2648A"/>
    <w:rsid w:val="76DF266D"/>
    <w:rsid w:val="785E3A65"/>
    <w:rsid w:val="786E55CE"/>
    <w:rsid w:val="7882347B"/>
    <w:rsid w:val="78B44F65"/>
    <w:rsid w:val="7906574A"/>
    <w:rsid w:val="791C4BFA"/>
    <w:rsid w:val="795310F0"/>
    <w:rsid w:val="7BF070CA"/>
    <w:rsid w:val="7C8021FC"/>
    <w:rsid w:val="7C9043F6"/>
    <w:rsid w:val="7CA26617"/>
    <w:rsid w:val="7D814CF3"/>
    <w:rsid w:val="7EF20D39"/>
    <w:rsid w:val="7F163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4236</Words>
  <Characters>5157</Characters>
  <Lines>0</Lines>
  <Paragraphs>0</Paragraphs>
  <TotalTime>12</TotalTime>
  <ScaleCrop>false</ScaleCrop>
  <LinksUpToDate>false</LinksUpToDate>
  <CharactersWithSpaces>5989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Administrator</cp:lastModifiedBy>
  <dcterms:modified xsi:type="dcterms:W3CDTF">2024-06-03T08:02:00Z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38711FC34732400286CBC294C0FD8BC3_13</vt:lpwstr>
  </property>
</Properties>
</file>