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bCs w:val="0"/>
          <w:color w:val="auto"/>
          <w:sz w:val="44"/>
          <w:szCs w:val="44"/>
          <w:lang w:val="en-US" w:eastAsia="zh-CN"/>
        </w:rPr>
        <w:t>兴国县城岗镇中心卫生院</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城岗镇中心卫生院</w:t>
      </w:r>
      <w:r>
        <w:rPr>
          <w:rFonts w:hint="eastAsia" w:ascii="仿宋" w:hAnsi="仿宋" w:eastAsia="仿宋" w:cs="仿宋"/>
          <w:b/>
          <w:bCs/>
          <w:color w:val="auto"/>
          <w:sz w:val="32"/>
          <w:szCs w:val="32"/>
        </w:rPr>
        <w:t>概况</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numPr>
          <w:ilvl w:val="0"/>
          <w:numId w:val="1"/>
        </w:num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城岗镇中心卫生院</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2023年</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城岗镇卫生院</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numPr>
          <w:ilvl w:val="0"/>
          <w:numId w:val="0"/>
        </w:numPr>
        <w:spacing w:line="560" w:lineRule="exact"/>
        <w:ind w:firstLine="64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pPr>
        <w:numPr>
          <w:ilvl w:val="0"/>
          <w:numId w:val="0"/>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pStyle w:val="2"/>
        <w:ind w:firstLine="640"/>
        <w:rPr>
          <w:rFonts w:hint="eastAsia"/>
          <w:color w:val="auto"/>
        </w:rPr>
      </w:pPr>
    </w:p>
    <w:p>
      <w:pPr>
        <w:numPr>
          <w:ilvl w:val="0"/>
          <w:numId w:val="2"/>
        </w:numPr>
        <w:spacing w:line="560" w:lineRule="exact"/>
        <w:jc w:val="center"/>
        <w:rPr>
          <w:rFonts w:hint="eastAsia" w:ascii="黑体" w:hAnsi="黑体" w:eastAsia="黑体" w:cs="黑体"/>
          <w:b w:val="0"/>
          <w:bCs w:val="0"/>
          <w:color w:val="auto"/>
          <w:sz w:val="36"/>
          <w:szCs w:val="36"/>
        </w:rPr>
      </w:pPr>
      <w:r>
        <w:rPr>
          <w:rFonts w:hint="eastAsia" w:ascii="黑体" w:hAnsi="黑体" w:eastAsia="黑体" w:cs="黑体"/>
          <w:b w:val="0"/>
          <w:bCs w:val="0"/>
          <w:color w:val="auto"/>
          <w:sz w:val="36"/>
          <w:szCs w:val="36"/>
        </w:rPr>
        <w:t>兴国县</w:t>
      </w:r>
      <w:r>
        <w:rPr>
          <w:rFonts w:hint="eastAsia" w:ascii="黑体" w:hAnsi="黑体" w:eastAsia="黑体" w:cs="黑体"/>
          <w:b w:val="0"/>
          <w:bCs w:val="0"/>
          <w:color w:val="auto"/>
          <w:sz w:val="36"/>
          <w:szCs w:val="36"/>
          <w:lang w:val="en-US" w:eastAsia="zh-CN"/>
        </w:rPr>
        <w:t>城岗镇中心卫生院</w:t>
      </w:r>
      <w:r>
        <w:rPr>
          <w:rFonts w:hint="eastAsia" w:ascii="黑体" w:hAnsi="黑体" w:eastAsia="黑体" w:cs="黑体"/>
          <w:b w:val="0"/>
          <w:bCs w:val="0"/>
          <w:color w:val="auto"/>
          <w:sz w:val="36"/>
          <w:szCs w:val="36"/>
        </w:rPr>
        <w:t>概况</w:t>
      </w:r>
    </w:p>
    <w:p>
      <w:pPr>
        <w:pStyle w:val="2"/>
        <w:numPr>
          <w:ilvl w:val="0"/>
          <w:numId w:val="0"/>
        </w:numPr>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兴国县</w:t>
      </w:r>
      <w:r>
        <w:rPr>
          <w:rFonts w:hint="eastAsia" w:ascii="仿宋" w:hAnsi="仿宋" w:eastAsia="仿宋" w:cs="仿宋"/>
          <w:color w:val="auto"/>
          <w:sz w:val="32"/>
          <w:szCs w:val="32"/>
          <w:lang w:val="en-US" w:eastAsia="zh-CN"/>
        </w:rPr>
        <w:t>城岗镇中心</w:t>
      </w:r>
      <w:r>
        <w:rPr>
          <w:rFonts w:hint="eastAsia" w:ascii="仿宋" w:hAnsi="仿宋" w:eastAsia="仿宋" w:cs="仿宋"/>
          <w:color w:val="auto"/>
          <w:sz w:val="32"/>
          <w:szCs w:val="32"/>
          <w:lang w:eastAsia="zh-CN"/>
        </w:rPr>
        <w:t>卫生</w:t>
      </w:r>
      <w:r>
        <w:rPr>
          <w:rFonts w:hint="eastAsia" w:ascii="仿宋" w:hAnsi="仿宋" w:eastAsia="仿宋" w:cs="仿宋"/>
          <w:color w:val="auto"/>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卫生院应承担本</w:t>
      </w:r>
      <w:r>
        <w:rPr>
          <w:rFonts w:hint="eastAsia" w:ascii="仿宋" w:hAnsi="仿宋" w:eastAsia="仿宋" w:cs="仿宋"/>
          <w:color w:val="auto"/>
          <w:sz w:val="32"/>
          <w:szCs w:val="32"/>
          <w:lang w:val="en-US" w:eastAsia="zh-CN"/>
        </w:rPr>
        <w:t>镇</w:t>
      </w:r>
      <w:r>
        <w:rPr>
          <w:rFonts w:hint="eastAsia" w:ascii="仿宋" w:hAnsi="仿宋" w:eastAsia="仿宋" w:cs="仿宋"/>
          <w:color w:val="auto"/>
          <w:sz w:val="32"/>
          <w:szCs w:val="32"/>
        </w:rPr>
        <w:t>的各项医疗卫生服务和一定的卫生行政管理工作。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城岗镇中心卫生院</w:t>
      </w:r>
      <w:r>
        <w:rPr>
          <w:rFonts w:hint="eastAsia" w:ascii="仿宋" w:hAnsi="仿宋" w:eastAsia="仿宋" w:cs="仿宋"/>
          <w:color w:val="auto"/>
          <w:sz w:val="32"/>
          <w:szCs w:val="32"/>
          <w:lang w:eastAsia="zh-CN"/>
        </w:rPr>
        <w:t>单位内设</w:t>
      </w:r>
      <w:r>
        <w:rPr>
          <w:rFonts w:hint="eastAsia" w:ascii="仿宋" w:hAnsi="仿宋" w:eastAsia="仿宋" w:cs="仿宋"/>
          <w:color w:val="auto"/>
          <w:sz w:val="32"/>
          <w:szCs w:val="32"/>
          <w:lang w:val="en-US" w:eastAsia="zh-CN"/>
        </w:rPr>
        <w:t>科室11</w:t>
      </w:r>
      <w:r>
        <w:rPr>
          <w:rFonts w:hint="eastAsia" w:ascii="仿宋" w:hAnsi="仿宋" w:eastAsia="仿宋" w:cs="仿宋"/>
          <w:color w:val="auto"/>
          <w:sz w:val="32"/>
          <w:szCs w:val="32"/>
        </w:rPr>
        <w:t>个，包括：</w:t>
      </w:r>
      <w:r>
        <w:rPr>
          <w:rFonts w:hint="eastAsia" w:ascii="仿宋" w:hAnsi="仿宋" w:eastAsia="仿宋" w:cs="仿宋"/>
          <w:color w:val="auto"/>
          <w:sz w:val="32"/>
          <w:szCs w:val="32"/>
          <w:lang w:val="en-US" w:eastAsia="zh-CN"/>
        </w:rPr>
        <w:t>内外科、儿科、妇产科、B超室、CT室、收费室、护理组、中医馆、财务室、公卫科、办公室。</w:t>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${page400644146.ds532982397_REP_JX_BAS_AGENCY_INFO_ZYFRS_S_BZRSXJ}</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t>编制人数小计</w:t>
      </w:r>
      <w:r>
        <w:rPr>
          <w:rFonts w:hint="eastAsia" w:ascii="仿宋" w:hAnsi="仿宋" w:eastAsia="仿宋" w:cs="仿宋"/>
          <w:color w:val="auto"/>
          <w:sz w:val="32"/>
          <w:szCs w:val="32"/>
          <w:lang w:val="en-US" w:eastAsia="zh-CN"/>
        </w:rPr>
        <w:t>31</w:t>
      </w:r>
      <w:r>
        <w:rPr>
          <w:rFonts w:hint="eastAsia" w:ascii="仿宋" w:hAnsi="仿宋" w:eastAsia="仿宋" w:cs="仿宋"/>
          <w:color w:val="auto"/>
          <w:sz w:val="32"/>
          <w:szCs w:val="32"/>
        </w:rPr>
        <w:t>人,</w:t>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t>其中：</w:t>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${page400644146.ds532982397_REP_JX_BAS_AGENCY_INFO_ZYFRS_S_BZRSMX}</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t>行政编制人数</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人,参照公务员管理的事业编制人数</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人,</w:t>
      </w:r>
      <w:r>
        <w:rPr>
          <w:rFonts w:hint="eastAsia" w:ascii="仿宋" w:hAnsi="仿宋" w:eastAsia="仿宋" w:cs="仿宋"/>
          <w:color w:val="auto"/>
          <w:sz w:val="32"/>
          <w:szCs w:val="32"/>
          <w:lang w:eastAsia="zh-CN"/>
        </w:rPr>
        <w:t>部分</w:t>
      </w:r>
      <w:r>
        <w:rPr>
          <w:rFonts w:hint="eastAsia" w:ascii="仿宋" w:hAnsi="仿宋" w:eastAsia="仿宋" w:cs="仿宋"/>
          <w:color w:val="auto"/>
          <w:sz w:val="32"/>
          <w:szCs w:val="32"/>
        </w:rPr>
        <w:t>补助事业编制人数</w:t>
      </w:r>
      <w:r>
        <w:rPr>
          <w:rFonts w:hint="eastAsia" w:ascii="仿宋" w:hAnsi="仿宋" w:eastAsia="仿宋" w:cs="仿宋"/>
          <w:color w:val="auto"/>
          <w:sz w:val="32"/>
          <w:szCs w:val="32"/>
          <w:lang w:val="en-US" w:eastAsia="zh-CN"/>
        </w:rPr>
        <w:t>31</w:t>
      </w:r>
      <w:r>
        <w:rPr>
          <w:rFonts w:hint="eastAsia" w:ascii="仿宋" w:hAnsi="仿宋" w:eastAsia="仿宋" w:cs="仿宋"/>
          <w:color w:val="auto"/>
          <w:sz w:val="32"/>
          <w:szCs w:val="32"/>
        </w:rPr>
        <w:t>人,自收自支编制人数</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人。</w:t>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${page400644146.ds532982397_REP_JX_BAS_AGENCY_INFO_ZYFRS_S_SYRSXJ}</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t>实有人数小计</w:t>
      </w:r>
      <w:r>
        <w:rPr>
          <w:rFonts w:hint="eastAsia" w:ascii="仿宋" w:hAnsi="仿宋" w:eastAsia="仿宋" w:cs="仿宋"/>
          <w:color w:val="auto"/>
          <w:sz w:val="32"/>
          <w:szCs w:val="32"/>
          <w:lang w:val="en-US" w:eastAsia="zh-CN"/>
        </w:rPr>
        <w:t>31</w:t>
      </w:r>
      <w:r>
        <w:rPr>
          <w:rFonts w:hint="eastAsia" w:ascii="仿宋" w:hAnsi="仿宋" w:eastAsia="仿宋" w:cs="仿宋"/>
          <w:color w:val="auto"/>
          <w:sz w:val="32"/>
          <w:szCs w:val="32"/>
        </w:rPr>
        <w:t>人,</w:t>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t>其中：</w:t>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${page400644146.ds532982397_REP_JX_BAS_AGENCY_INFO_ZYFRS_S_ZZRSXJ}</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t>在职人数小计</w:t>
      </w:r>
      <w:r>
        <w:rPr>
          <w:rFonts w:hint="eastAsia" w:ascii="仿宋" w:hAnsi="仿宋" w:eastAsia="仿宋" w:cs="仿宋"/>
          <w:color w:val="auto"/>
          <w:sz w:val="32"/>
          <w:szCs w:val="32"/>
          <w:lang w:val="en-US" w:eastAsia="zh-CN"/>
        </w:rPr>
        <w:t>31</w:t>
      </w:r>
      <w:r>
        <w:rPr>
          <w:rFonts w:hint="eastAsia" w:ascii="仿宋" w:hAnsi="仿宋" w:eastAsia="仿宋" w:cs="仿宋"/>
          <w:color w:val="auto"/>
          <w:sz w:val="32"/>
          <w:szCs w:val="32"/>
        </w:rPr>
        <w:t>人,</w:t>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${page400644146.ds532982397_REP_JX_BAS_AGENCY_INFO_ZYFRS_S_ZZRSMX}</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t>行政在职人数</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人,参照公务员管理的事业单位在职人数</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人,</w:t>
      </w:r>
      <w:r>
        <w:rPr>
          <w:rFonts w:hint="eastAsia" w:ascii="仿宋" w:hAnsi="仿宋" w:eastAsia="仿宋" w:cs="仿宋"/>
          <w:color w:val="auto"/>
          <w:sz w:val="32"/>
          <w:szCs w:val="32"/>
          <w:lang w:eastAsia="zh-CN"/>
        </w:rPr>
        <w:t>部分</w:t>
      </w:r>
      <w:r>
        <w:rPr>
          <w:rFonts w:hint="eastAsia" w:ascii="仿宋" w:hAnsi="仿宋" w:eastAsia="仿宋" w:cs="仿宋"/>
          <w:color w:val="auto"/>
          <w:sz w:val="32"/>
          <w:szCs w:val="32"/>
        </w:rPr>
        <w:t>补助事业在职人数</w:t>
      </w:r>
      <w:r>
        <w:rPr>
          <w:rFonts w:hint="eastAsia" w:ascii="仿宋" w:hAnsi="仿宋" w:eastAsia="仿宋" w:cs="仿宋"/>
          <w:color w:val="auto"/>
          <w:sz w:val="32"/>
          <w:szCs w:val="32"/>
          <w:lang w:val="en-US" w:eastAsia="zh-CN"/>
        </w:rPr>
        <w:t>31</w:t>
      </w:r>
      <w:r>
        <w:rPr>
          <w:rFonts w:hint="eastAsia" w:ascii="仿宋" w:hAnsi="仿宋" w:eastAsia="仿宋" w:cs="仿宋"/>
          <w:color w:val="auto"/>
          <w:sz w:val="32"/>
          <w:szCs w:val="32"/>
        </w:rPr>
        <w:t>人。</w:t>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${page400644146.ds532982397_REP_JX_BAS_AGENCY_INFO_ZYFRS_S_QTRSMX}</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t>离休人数小计</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人,退休人数小计</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人,退职人员</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人,遗属人数</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人。</w:t>
      </w:r>
      <w:r>
        <w:rPr>
          <w:rFonts w:hint="eastAsia" w:ascii="仿宋" w:hAnsi="仿宋" w:eastAsia="仿宋" w:cs="仿宋"/>
          <w:color w:val="auto"/>
          <w:sz w:val="32"/>
          <w:szCs w:val="32"/>
        </w:rPr>
        <w:fldChar w:fldCharType="end"/>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color w:val="auto"/>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color w:val="auto"/>
          <w:sz w:val="32"/>
          <w:szCs w:val="32"/>
        </w:rPr>
      </w:pPr>
    </w:p>
    <w:p>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rPr>
      </w:pPr>
    </w:p>
    <w:p>
      <w:pPr>
        <w:keepNext w:val="0"/>
        <w:keepLines w:val="0"/>
        <w:pageBreakBefore w:val="0"/>
        <w:numPr>
          <w:ilvl w:val="0"/>
          <w:numId w:val="3"/>
        </w:numPr>
        <w:kinsoku/>
        <w:wordWrap/>
        <w:overflowPunct/>
        <w:topLinePunct w:val="0"/>
        <w:autoSpaceDE/>
        <w:autoSpaceDN/>
        <w:bidi w:val="0"/>
        <w:adjustRightInd/>
        <w:snapToGrid/>
        <w:spacing w:line="560" w:lineRule="exact"/>
        <w:ind w:firstLine="720" w:firstLineChars="200"/>
        <w:jc w:val="both"/>
        <w:textAlignment w:val="auto"/>
        <w:rPr>
          <w:rFonts w:hint="eastAsia" w:ascii="黑体" w:hAnsi="黑体" w:eastAsia="黑体" w:cs="黑体"/>
          <w:b w:val="0"/>
          <w:bCs w:val="0"/>
          <w:color w:val="auto"/>
          <w:sz w:val="36"/>
          <w:szCs w:val="36"/>
        </w:rPr>
      </w:pPr>
      <w:r>
        <w:rPr>
          <w:rFonts w:hint="eastAsia" w:ascii="黑体" w:hAnsi="黑体" w:eastAsia="黑体" w:cs="黑体"/>
          <w:b w:val="0"/>
          <w:bCs w:val="0"/>
          <w:color w:val="auto"/>
          <w:sz w:val="36"/>
          <w:szCs w:val="36"/>
        </w:rPr>
        <w:t>兴国县</w:t>
      </w:r>
      <w:r>
        <w:rPr>
          <w:rFonts w:hint="eastAsia" w:ascii="黑体" w:hAnsi="黑体" w:eastAsia="黑体" w:cs="黑体"/>
          <w:b w:val="0"/>
          <w:bCs w:val="0"/>
          <w:color w:val="auto"/>
          <w:sz w:val="36"/>
          <w:szCs w:val="36"/>
          <w:lang w:val="en-US" w:eastAsia="zh-CN"/>
        </w:rPr>
        <w:t>城岗镇中心卫生院</w:t>
      </w:r>
      <w:r>
        <w:rPr>
          <w:rFonts w:hint="eastAsia" w:ascii="黑体" w:hAnsi="黑体" w:eastAsia="黑体" w:cs="黑体"/>
          <w:b w:val="0"/>
          <w:bCs w:val="0"/>
          <w:color w:val="auto"/>
          <w:sz w:val="36"/>
          <w:szCs w:val="36"/>
        </w:rPr>
        <w:t>预算情况说明</w:t>
      </w:r>
    </w:p>
    <w:p>
      <w:pPr>
        <w:pStyle w:val="2"/>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rPr>
      </w:pP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本单位收入</w:t>
      </w:r>
      <w:r>
        <w:rPr>
          <w:rFonts w:hint="eastAsia" w:ascii="仿宋" w:hAnsi="仿宋" w:eastAsia="仿宋" w:cs="仿宋"/>
          <w:color w:val="auto"/>
          <w:sz w:val="32"/>
          <w:szCs w:val="32"/>
        </w:rPr>
        <w:t>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rPr>
        <w:t>143</w:t>
      </w:r>
      <w:r>
        <w:rPr>
          <w:rFonts w:hint="eastAsia" w:ascii="仿宋" w:hAnsi="仿宋" w:eastAsia="仿宋" w:cs="仿宋"/>
          <w:color w:val="auto"/>
          <w:sz w:val="32"/>
          <w:szCs w:val="32"/>
          <w:lang w:val="en-US" w:eastAsia="zh-CN"/>
        </w:rPr>
        <w:t>7.73</w:t>
      </w:r>
      <w:r>
        <w:rPr>
          <w:rFonts w:hint="eastAsia" w:ascii="仿宋" w:hAnsi="仿宋" w:eastAsia="仿宋" w:cs="仿宋"/>
          <w:color w:val="auto"/>
          <w:sz w:val="32"/>
          <w:szCs w:val="32"/>
        </w:rPr>
        <w:t>万元，较上年预算安排增</w:t>
      </w:r>
      <w:r>
        <w:rPr>
          <w:rFonts w:hint="eastAsia" w:ascii="仿宋" w:hAnsi="仿宋" w:eastAsia="仿宋" w:cs="仿宋"/>
          <w:color w:val="auto"/>
          <w:sz w:val="32"/>
          <w:szCs w:val="32"/>
          <w:lang w:val="en-US" w:eastAsia="zh-CN"/>
        </w:rPr>
        <w:t>加92.73</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长6.89%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;医院添置医疗设备，医院病房屋装修改造，医疗业务收入增加</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其中：财政拨款收入</w:t>
      </w:r>
      <w:r>
        <w:rPr>
          <w:rFonts w:hint="eastAsia" w:ascii="仿宋" w:hAnsi="仿宋" w:eastAsia="仿宋" w:cs="仿宋"/>
          <w:color w:val="auto"/>
          <w:sz w:val="32"/>
          <w:szCs w:val="32"/>
          <w:lang w:val="en-US" w:eastAsia="zh-CN"/>
        </w:rPr>
        <w:t>208.87</w:t>
      </w:r>
      <w:r>
        <w:rPr>
          <w:rFonts w:hint="eastAsia" w:ascii="仿宋" w:hAnsi="仿宋" w:eastAsia="仿宋" w:cs="仿宋"/>
          <w:color w:val="auto"/>
          <w:sz w:val="32"/>
          <w:szCs w:val="32"/>
        </w:rPr>
        <w:t>万元,较上年预算安排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1.14</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政府性基金预算收入</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万元,较</w:t>
      </w:r>
      <w:r>
        <w:rPr>
          <w:rFonts w:hint="eastAsia" w:ascii="仿宋" w:hAnsi="仿宋" w:eastAsia="仿宋" w:cs="仿宋"/>
          <w:color w:val="auto"/>
          <w:sz w:val="32"/>
          <w:szCs w:val="32"/>
          <w:lang w:eastAsia="zh-CN"/>
        </w:rPr>
        <w:t>上</w:t>
      </w:r>
      <w:r>
        <w:rPr>
          <w:rFonts w:hint="eastAsia" w:ascii="仿宋" w:hAnsi="仿宋" w:eastAsia="仿宋" w:cs="仿宋"/>
          <w:color w:val="auto"/>
          <w:sz w:val="32"/>
          <w:szCs w:val="32"/>
        </w:rPr>
        <w:t>年预算安排增加</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万元;教育收费资金收</w:t>
      </w:r>
      <w:r>
        <w:rPr>
          <w:rFonts w:hint="eastAsia" w:ascii="仿宋" w:hAnsi="仿宋" w:eastAsia="仿宋" w:cs="仿宋"/>
          <w:color w:val="auto"/>
          <w:sz w:val="32"/>
          <w:szCs w:val="32"/>
          <w:lang w:eastAsia="zh-CN"/>
        </w:rPr>
        <w:t>入</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万元,较</w:t>
      </w:r>
      <w:r>
        <w:rPr>
          <w:rFonts w:hint="eastAsia" w:ascii="仿宋" w:hAnsi="仿宋" w:eastAsia="仿宋" w:cs="仿宋"/>
          <w:color w:val="auto"/>
          <w:sz w:val="32"/>
          <w:szCs w:val="32"/>
          <w:lang w:eastAsia="zh-CN"/>
        </w:rPr>
        <w:t>上</w:t>
      </w:r>
      <w:r>
        <w:rPr>
          <w:rFonts w:hint="eastAsia" w:ascii="仿宋" w:hAnsi="仿宋" w:eastAsia="仿宋" w:cs="仿宋"/>
          <w:color w:val="auto"/>
          <w:sz w:val="32"/>
          <w:szCs w:val="32"/>
        </w:rPr>
        <w:t>年预算安排增加</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万元;事业收入</w:t>
      </w:r>
      <w:r>
        <w:rPr>
          <w:rFonts w:hint="eastAsia" w:ascii="仿宋" w:hAnsi="仿宋" w:eastAsia="仿宋" w:cs="仿宋"/>
          <w:color w:val="auto"/>
          <w:sz w:val="32"/>
          <w:szCs w:val="32"/>
          <w:lang w:val="en-US" w:eastAsia="zh-CN"/>
        </w:rPr>
        <w:t>1228.86</w:t>
      </w:r>
      <w:r>
        <w:rPr>
          <w:rFonts w:hint="eastAsia" w:ascii="仿宋" w:hAnsi="仿宋" w:eastAsia="仿宋" w:cs="仿宋"/>
          <w:color w:val="auto"/>
          <w:sz w:val="32"/>
          <w:szCs w:val="32"/>
        </w:rPr>
        <w:t>万元,较上年预算安排增加</w:t>
      </w:r>
      <w:r>
        <w:rPr>
          <w:rFonts w:hint="eastAsia" w:ascii="仿宋" w:hAnsi="仿宋" w:eastAsia="仿宋" w:cs="仿宋"/>
          <w:color w:val="auto"/>
          <w:sz w:val="32"/>
          <w:szCs w:val="32"/>
          <w:lang w:val="en-US" w:eastAsia="zh-CN"/>
        </w:rPr>
        <w:t>91.59</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上级补助</w:t>
      </w:r>
      <w:r>
        <w:rPr>
          <w:rFonts w:hint="eastAsia" w:ascii="仿宋" w:hAnsi="仿宋" w:eastAsia="仿宋" w:cs="仿宋"/>
          <w:color w:val="auto"/>
          <w:sz w:val="32"/>
          <w:szCs w:val="32"/>
        </w:rPr>
        <w:t>收入</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万元,较上年预算安排增加</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万元；其他收入</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万元，较上年预算安排增加</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2023年本单位支出预算总额</w:t>
      </w:r>
      <w:r>
        <w:rPr>
          <w:rFonts w:hint="eastAsia" w:ascii="仿宋" w:hAnsi="仿宋" w:eastAsia="仿宋" w:cs="仿宋"/>
          <w:color w:val="auto"/>
          <w:sz w:val="32"/>
          <w:szCs w:val="32"/>
          <w:lang w:val="en-US" w:eastAsia="zh-CN"/>
        </w:rPr>
        <w:t>1437.73万元，较上年预算安排增</w:t>
      </w:r>
      <w:r>
        <w:rPr>
          <w:rFonts w:hint="eastAsia" w:ascii="仿宋" w:hAnsi="仿宋" w:eastAsia="仿宋" w:cs="仿宋"/>
          <w:color w:val="auto"/>
          <w:sz w:val="32"/>
          <w:szCs w:val="32"/>
          <w:lang w:val="en-US" w:eastAsia="zh-CN"/>
        </w:rPr>
        <w:t>加92.73万元，增</w:t>
      </w:r>
      <w:r>
        <w:rPr>
          <w:rFonts w:hint="eastAsia" w:ascii="仿宋" w:hAnsi="仿宋" w:eastAsia="仿宋" w:cs="仿宋"/>
          <w:color w:val="auto"/>
          <w:sz w:val="32"/>
          <w:szCs w:val="32"/>
          <w:lang w:val="en-US" w:eastAsia="zh-CN"/>
        </w:rPr>
        <w:t>长6.89%。增减变化主要原因是：</w:t>
      </w:r>
      <w:r>
        <w:rPr>
          <w:rFonts w:hint="eastAsia" w:ascii="仿宋" w:hAnsi="仿宋" w:eastAsia="仿宋" w:cs="仿宋"/>
          <w:color w:val="auto"/>
          <w:sz w:val="32"/>
          <w:szCs w:val="32"/>
          <w:lang w:val="en-US" w:eastAsia="zh-CN"/>
        </w:rPr>
        <w:t>人员工资及药品费增长。具体为：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按支出项目类别及经济分类科目划分：基本支出</w:t>
      </w:r>
      <w:r>
        <w:rPr>
          <w:rFonts w:hint="eastAsia" w:ascii="仿宋" w:hAnsi="仿宋" w:eastAsia="仿宋" w:cs="仿宋"/>
          <w:color w:val="auto"/>
          <w:sz w:val="32"/>
          <w:szCs w:val="32"/>
          <w:lang w:val="en-US" w:eastAsia="zh-CN"/>
        </w:rPr>
        <w:t>1437.73万元，较上年预算安排增</w:t>
      </w:r>
      <w:r>
        <w:rPr>
          <w:rFonts w:hint="eastAsia" w:ascii="仿宋" w:hAnsi="仿宋" w:eastAsia="仿宋" w:cs="仿宋"/>
          <w:color w:val="auto"/>
          <w:sz w:val="32"/>
          <w:szCs w:val="32"/>
          <w:lang w:val="en-US" w:eastAsia="zh-CN"/>
        </w:rPr>
        <w:t>长92.73万元，其中：工资福利支出</w:t>
      </w:r>
      <w:r>
        <w:rPr>
          <w:rFonts w:hint="eastAsia" w:ascii="仿宋" w:hAnsi="仿宋" w:eastAsia="仿宋" w:cs="仿宋"/>
          <w:color w:val="auto"/>
          <w:sz w:val="32"/>
          <w:szCs w:val="32"/>
          <w:lang w:val="en-US" w:eastAsia="zh-CN"/>
        </w:rPr>
        <w:t>445.73万元，</w:t>
      </w:r>
      <w:r>
        <w:rPr>
          <w:rFonts w:hint="eastAsia" w:ascii="仿宋" w:hAnsi="仿宋" w:eastAsia="仿宋" w:cs="仿宋"/>
          <w:color w:val="auto"/>
          <w:sz w:val="32"/>
          <w:szCs w:val="32"/>
          <w:lang w:val="en-US" w:eastAsia="zh-CN"/>
        </w:rPr>
        <w:t>商品和服务支出767.38万元，</w:t>
      </w:r>
      <w:r>
        <w:rPr>
          <w:rFonts w:hint="eastAsia" w:ascii="仿宋" w:hAnsi="仿宋" w:eastAsia="仿宋" w:cs="仿宋"/>
          <w:color w:val="auto"/>
          <w:sz w:val="32"/>
          <w:szCs w:val="32"/>
          <w:lang w:val="en-US" w:eastAsia="zh-CN"/>
        </w:rPr>
        <w:t xml:space="preserve"> 对个人和家庭的补助 0.72万元，</w:t>
      </w:r>
      <w:r>
        <w:rPr>
          <w:rFonts w:hint="eastAsia" w:ascii="仿宋" w:hAnsi="仿宋" w:eastAsia="仿宋" w:cs="仿宋"/>
          <w:color w:val="auto"/>
          <w:sz w:val="32"/>
          <w:szCs w:val="32"/>
          <w:lang w:val="en-US" w:eastAsia="zh-CN"/>
        </w:rPr>
        <w:t>资本性支出223.90万元，项目支出</w:t>
      </w:r>
      <w:r>
        <w:rPr>
          <w:rFonts w:hint="eastAsia" w:ascii="仿宋" w:hAnsi="仿宋" w:eastAsia="仿宋" w:cs="仿宋"/>
          <w:color w:val="auto"/>
          <w:sz w:val="32"/>
          <w:szCs w:val="32"/>
          <w:lang w:val="en-US" w:eastAsia="zh-CN"/>
        </w:rPr>
        <w:t>0万元，较上年预算安排增</w:t>
      </w:r>
      <w:r>
        <w:rPr>
          <w:rFonts w:hint="eastAsia" w:ascii="仿宋" w:hAnsi="仿宋" w:eastAsia="仿宋" w:cs="仿宋"/>
          <w:color w:val="auto"/>
          <w:sz w:val="32"/>
          <w:szCs w:val="32"/>
          <w:lang w:val="en-US" w:eastAsia="zh-CN"/>
        </w:rPr>
        <w:t>加0万元，其中：工资福利支出</w:t>
      </w:r>
      <w:r>
        <w:rPr>
          <w:rFonts w:hint="eastAsia" w:ascii="仿宋" w:hAnsi="仿宋" w:eastAsia="仿宋" w:cs="仿宋"/>
          <w:color w:val="auto"/>
          <w:sz w:val="32"/>
          <w:szCs w:val="32"/>
          <w:lang w:val="en-US" w:eastAsia="zh-CN"/>
        </w:rPr>
        <w:t>0万元，商品和服务支出</w:t>
      </w:r>
      <w:r>
        <w:rPr>
          <w:rFonts w:hint="eastAsia" w:ascii="仿宋" w:hAnsi="仿宋" w:eastAsia="仿宋" w:cs="仿宋"/>
          <w:color w:val="auto"/>
          <w:sz w:val="32"/>
          <w:szCs w:val="32"/>
          <w:lang w:val="en-US" w:eastAsia="zh-CN"/>
        </w:rPr>
        <w:t>0万元，对个人和家庭的补助</w:t>
      </w:r>
      <w:r>
        <w:rPr>
          <w:rFonts w:hint="eastAsia" w:ascii="仿宋" w:hAnsi="仿宋" w:eastAsia="仿宋" w:cs="仿宋"/>
          <w:color w:val="auto"/>
          <w:sz w:val="32"/>
          <w:szCs w:val="32"/>
          <w:lang w:val="en-US" w:eastAsia="zh-CN"/>
        </w:rPr>
        <w:t>0万元，资本性支出</w:t>
      </w:r>
      <w:r>
        <w:rPr>
          <w:rFonts w:hint="eastAsia" w:ascii="仿宋" w:hAnsi="仿宋" w:eastAsia="仿宋" w:cs="仿宋"/>
          <w:color w:val="auto"/>
          <w:sz w:val="32"/>
          <w:szCs w:val="32"/>
          <w:lang w:val="en-US" w:eastAsia="zh-CN"/>
        </w:rPr>
        <w:t>0万元，其他相关支出</w:t>
      </w:r>
      <w:r>
        <w:rPr>
          <w:rFonts w:hint="eastAsia" w:ascii="仿宋" w:hAnsi="仿宋" w:eastAsia="仿宋" w:cs="仿宋"/>
          <w:color w:val="auto"/>
          <w:sz w:val="32"/>
          <w:szCs w:val="32"/>
          <w:lang w:val="en-US" w:eastAsia="zh-CN"/>
        </w:rPr>
        <w:t>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按支出功能分类科目划分：社会保障和就业支出</w:t>
      </w:r>
      <w:r>
        <w:rPr>
          <w:rFonts w:hint="eastAsia" w:ascii="仿宋" w:hAnsi="仿宋" w:eastAsia="仿宋" w:cs="仿宋"/>
          <w:color w:val="auto"/>
          <w:sz w:val="32"/>
          <w:szCs w:val="32"/>
          <w:lang w:val="en-US" w:eastAsia="zh-CN"/>
        </w:rPr>
        <w:t>32.46万元,较上年预算安排</w:t>
      </w:r>
      <w:r>
        <w:rPr>
          <w:rFonts w:hint="eastAsia" w:ascii="仿宋" w:hAnsi="仿宋" w:eastAsia="仿宋" w:cs="仿宋"/>
          <w:color w:val="auto"/>
          <w:sz w:val="32"/>
          <w:szCs w:val="32"/>
          <w:lang w:val="en-US" w:eastAsia="zh-CN"/>
        </w:rPr>
        <w:t>减少74.70万元;卫生健康支出</w:t>
      </w:r>
      <w:r>
        <w:rPr>
          <w:rFonts w:hint="eastAsia" w:ascii="仿宋" w:hAnsi="仿宋" w:eastAsia="仿宋" w:cs="仿宋"/>
          <w:color w:val="auto"/>
          <w:sz w:val="32"/>
          <w:szCs w:val="32"/>
          <w:lang w:val="en-US" w:eastAsia="zh-CN"/>
        </w:rPr>
        <w:t>1405.27万元,较上年预算安排增加</w:t>
      </w:r>
      <w:r>
        <w:rPr>
          <w:rFonts w:hint="eastAsia" w:ascii="仿宋" w:hAnsi="仿宋" w:eastAsia="仿宋" w:cs="仿宋"/>
          <w:color w:val="auto"/>
          <w:sz w:val="32"/>
          <w:szCs w:val="32"/>
          <w:lang w:val="en-US" w:eastAsia="zh-CN"/>
        </w:rPr>
        <w:t>184.08万元;住房保障支出</w:t>
      </w:r>
      <w:r>
        <w:rPr>
          <w:rFonts w:hint="eastAsia" w:ascii="仿宋" w:hAnsi="仿宋" w:eastAsia="仿宋" w:cs="仿宋"/>
          <w:color w:val="auto"/>
          <w:sz w:val="32"/>
          <w:szCs w:val="32"/>
          <w:lang w:val="en-US" w:eastAsia="zh-CN"/>
        </w:rPr>
        <w:t>0万元,较上年预算安排</w:t>
      </w:r>
      <w:r>
        <w:rPr>
          <w:rFonts w:hint="eastAsia" w:ascii="仿宋" w:hAnsi="仿宋" w:eastAsia="仿宋" w:cs="仿宋"/>
          <w:color w:val="auto"/>
          <w:sz w:val="32"/>
          <w:szCs w:val="32"/>
          <w:lang w:val="en-US" w:eastAsia="zh-CN"/>
        </w:rPr>
        <w:t>减少16.65万元;其他支出</w:t>
      </w:r>
      <w:r>
        <w:rPr>
          <w:rFonts w:hint="eastAsia" w:ascii="仿宋" w:hAnsi="仿宋" w:eastAsia="仿宋" w:cs="仿宋"/>
          <w:color w:val="auto"/>
          <w:sz w:val="32"/>
          <w:szCs w:val="32"/>
          <w:lang w:val="en-US" w:eastAsia="zh-CN"/>
        </w:rPr>
        <w:t>0万元,较上年预算安排增加</w:t>
      </w:r>
      <w:r>
        <w:rPr>
          <w:rFonts w:hint="eastAsia" w:ascii="仿宋" w:hAnsi="仿宋" w:eastAsia="仿宋" w:cs="仿宋"/>
          <w:color w:val="auto"/>
          <w:sz w:val="32"/>
          <w:szCs w:val="32"/>
          <w:lang w:val="en-US" w:eastAsia="zh-CN"/>
        </w:rPr>
        <w:t>0万元。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2023年本单位财政拨款（补助）支出预算208.87万元，占本年支出预算额的14.53%，较上年预算安排增加1.14万元，增加0.54%。增减变化主要原因是：工资福利增长。具体为：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按支出经济分类科目划分：基本支出208.87万元，较上年预算安排增加1.14万元，其中：工资福利支出 208.87万元，商品和服务支出</w:t>
      </w:r>
      <w:r>
        <w:rPr>
          <w:rFonts w:hint="eastAsia" w:ascii="仿宋" w:hAnsi="仿宋" w:eastAsia="仿宋" w:cs="仿宋"/>
          <w:color w:val="auto"/>
          <w:sz w:val="32"/>
          <w:szCs w:val="32"/>
          <w:lang w:val="en-US" w:eastAsia="zh-CN"/>
        </w:rPr>
        <w:t xml:space="preserve">0万元，对个人和家庭的补助 </w:t>
      </w:r>
      <w:r>
        <w:rPr>
          <w:rFonts w:hint="eastAsia" w:ascii="仿宋" w:hAnsi="仿宋" w:eastAsia="仿宋" w:cs="仿宋"/>
          <w:color w:val="auto"/>
          <w:sz w:val="32"/>
          <w:szCs w:val="32"/>
          <w:lang w:val="en-US" w:eastAsia="zh-CN"/>
        </w:rPr>
        <w:t>0万元，资本性支出</w:t>
      </w:r>
      <w:r>
        <w:rPr>
          <w:rFonts w:hint="eastAsia" w:ascii="仿宋" w:hAnsi="仿宋" w:eastAsia="仿宋" w:cs="仿宋"/>
          <w:color w:val="auto"/>
          <w:sz w:val="32"/>
          <w:szCs w:val="32"/>
          <w:lang w:val="en-US" w:eastAsia="zh-CN"/>
        </w:rPr>
        <w:t>0万元。项目支出</w:t>
      </w:r>
      <w:r>
        <w:rPr>
          <w:rFonts w:hint="eastAsia" w:ascii="仿宋" w:hAnsi="仿宋" w:eastAsia="仿宋" w:cs="仿宋"/>
          <w:color w:val="auto"/>
          <w:sz w:val="32"/>
          <w:szCs w:val="32"/>
          <w:lang w:val="en-US" w:eastAsia="zh-CN"/>
        </w:rPr>
        <w:t>0万元，较上年预算安排增</w:t>
      </w:r>
      <w:r>
        <w:rPr>
          <w:rFonts w:hint="eastAsia" w:ascii="仿宋" w:hAnsi="仿宋" w:eastAsia="仿宋" w:cs="仿宋"/>
          <w:color w:val="auto"/>
          <w:sz w:val="32"/>
          <w:szCs w:val="32"/>
          <w:lang w:val="en-US" w:eastAsia="zh-CN"/>
        </w:rPr>
        <w:t>加0万元，其中：工资福利支出</w:t>
      </w:r>
      <w:r>
        <w:rPr>
          <w:rFonts w:hint="eastAsia" w:ascii="仿宋" w:hAnsi="仿宋" w:eastAsia="仿宋" w:cs="仿宋"/>
          <w:color w:val="auto"/>
          <w:sz w:val="32"/>
          <w:szCs w:val="32"/>
          <w:lang w:val="en-US" w:eastAsia="zh-CN"/>
        </w:rPr>
        <w:t>0万元，商品和服务支出</w:t>
      </w:r>
      <w:r>
        <w:rPr>
          <w:rFonts w:hint="eastAsia" w:ascii="仿宋" w:hAnsi="仿宋" w:eastAsia="仿宋" w:cs="仿宋"/>
          <w:color w:val="auto"/>
          <w:sz w:val="32"/>
          <w:szCs w:val="32"/>
          <w:lang w:val="en-US" w:eastAsia="zh-CN"/>
        </w:rPr>
        <w:t xml:space="preserve">0万元，对个人和家庭的补助 </w:t>
      </w:r>
      <w:r>
        <w:rPr>
          <w:rFonts w:hint="eastAsia" w:ascii="仿宋" w:hAnsi="仿宋" w:eastAsia="仿宋" w:cs="仿宋"/>
          <w:color w:val="auto"/>
          <w:sz w:val="32"/>
          <w:szCs w:val="32"/>
          <w:lang w:val="en-US" w:eastAsia="zh-CN"/>
        </w:rPr>
        <w:t>0万元，资本性支出</w:t>
      </w:r>
      <w:r>
        <w:rPr>
          <w:rFonts w:hint="eastAsia" w:ascii="仿宋" w:hAnsi="仿宋" w:eastAsia="仿宋" w:cs="仿宋"/>
          <w:color w:val="auto"/>
          <w:sz w:val="32"/>
          <w:szCs w:val="32"/>
          <w:lang w:val="en-US" w:eastAsia="zh-CN"/>
        </w:rPr>
        <w:t>0万元，其他相关支出</w:t>
      </w:r>
      <w:r>
        <w:rPr>
          <w:rFonts w:hint="eastAsia" w:ascii="仿宋" w:hAnsi="仿宋" w:eastAsia="仿宋" w:cs="仿宋"/>
          <w:color w:val="auto"/>
          <w:sz w:val="32"/>
          <w:szCs w:val="32"/>
          <w:lang w:val="en-US" w:eastAsia="zh-CN"/>
        </w:rPr>
        <w:t>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按支出功能分类科目划分：社会保障和就业支出</w:t>
      </w:r>
      <w:r>
        <w:rPr>
          <w:rFonts w:hint="eastAsia" w:ascii="仿宋" w:hAnsi="仿宋" w:eastAsia="仿宋" w:cs="仿宋"/>
          <w:color w:val="auto"/>
          <w:sz w:val="32"/>
          <w:szCs w:val="32"/>
          <w:lang w:val="en-US" w:eastAsia="zh-CN"/>
        </w:rPr>
        <w:t>31.74万元,较上年预算安排</w:t>
      </w:r>
      <w:r>
        <w:rPr>
          <w:rFonts w:hint="eastAsia" w:ascii="仿宋" w:hAnsi="仿宋" w:eastAsia="仿宋" w:cs="仿宋"/>
          <w:color w:val="auto"/>
          <w:sz w:val="32"/>
          <w:szCs w:val="32"/>
          <w:lang w:val="en-US" w:eastAsia="zh-CN"/>
        </w:rPr>
        <w:t>增加5.46万元;卫生健康支出</w:t>
      </w:r>
      <w:r>
        <w:rPr>
          <w:rFonts w:hint="eastAsia" w:ascii="仿宋" w:hAnsi="仿宋" w:eastAsia="仿宋" w:cs="仿宋"/>
          <w:color w:val="auto"/>
          <w:sz w:val="32"/>
          <w:szCs w:val="32"/>
          <w:lang w:val="en-US" w:eastAsia="zh-CN"/>
        </w:rPr>
        <w:t>177.13万元,较上年预算安排</w:t>
      </w:r>
      <w:r>
        <w:rPr>
          <w:rFonts w:hint="eastAsia" w:ascii="仿宋" w:hAnsi="仿宋" w:eastAsia="仿宋" w:cs="仿宋"/>
          <w:color w:val="auto"/>
          <w:sz w:val="32"/>
          <w:szCs w:val="32"/>
          <w:lang w:val="en-US" w:eastAsia="zh-CN"/>
        </w:rPr>
        <w:t>减少4.32万元;住房保障支出</w:t>
      </w:r>
      <w:r>
        <w:rPr>
          <w:rFonts w:hint="eastAsia" w:ascii="仿宋" w:hAnsi="仿宋" w:eastAsia="仿宋" w:cs="仿宋"/>
          <w:color w:val="auto"/>
          <w:sz w:val="32"/>
          <w:szCs w:val="32"/>
          <w:lang w:val="en-US" w:eastAsia="zh-CN"/>
        </w:rPr>
        <w:t>0万元,较上年预算安排增加</w:t>
      </w:r>
      <w:r>
        <w:rPr>
          <w:rFonts w:hint="eastAsia" w:ascii="仿宋" w:hAnsi="仿宋" w:eastAsia="仿宋" w:cs="仿宋"/>
          <w:color w:val="auto"/>
          <w:sz w:val="32"/>
          <w:szCs w:val="32"/>
          <w:lang w:val="en-US" w:eastAsia="zh-CN"/>
        </w:rPr>
        <w:t>0万元;其他支出</w:t>
      </w:r>
      <w:r>
        <w:rPr>
          <w:rFonts w:hint="eastAsia" w:ascii="仿宋" w:hAnsi="仿宋" w:eastAsia="仿宋" w:cs="仿宋"/>
          <w:color w:val="auto"/>
          <w:sz w:val="32"/>
          <w:szCs w:val="32"/>
          <w:lang w:val="en-US" w:eastAsia="zh-CN"/>
        </w:rPr>
        <w:t>0万元,较上年预算安排增加</w:t>
      </w:r>
      <w:r>
        <w:rPr>
          <w:rFonts w:hint="eastAsia" w:ascii="仿宋" w:hAnsi="仿宋" w:eastAsia="仿宋" w:cs="仿宋"/>
          <w:color w:val="auto"/>
          <w:sz w:val="32"/>
          <w:szCs w:val="32"/>
          <w:lang w:val="en-US" w:eastAsia="zh-CN"/>
        </w:rPr>
        <w:t>0万元。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w:t>
      </w:r>
      <w:r>
        <w:rPr>
          <w:rFonts w:hint="eastAsia" w:ascii="仿宋" w:hAnsi="仿宋" w:eastAsia="仿宋" w:cs="仿宋"/>
          <w:color w:val="auto"/>
          <w:sz w:val="32"/>
          <w:szCs w:val="32"/>
          <w:lang w:val="en-US" w:eastAsia="zh-CN"/>
        </w:rPr>
        <w:t>本单位无使用政府性基金预算拨款安排的支出。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（五）机关运行经费等重要事项的说明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本单位非行政（参公）单位，无机关运行经费。</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2023年单位政府采购总额</w:t>
      </w:r>
      <w:r>
        <w:rPr>
          <w:rFonts w:hint="eastAsia" w:ascii="仿宋" w:hAnsi="仿宋" w:eastAsia="仿宋" w:cs="仿宋"/>
          <w:color w:val="auto"/>
          <w:sz w:val="32"/>
          <w:szCs w:val="32"/>
          <w:lang w:val="en-US" w:eastAsia="zh-CN"/>
        </w:rPr>
        <w:t>258.90万元，其中：政府采购货物预算</w:t>
      </w:r>
      <w:r>
        <w:rPr>
          <w:rFonts w:hint="eastAsia" w:ascii="仿宋" w:hAnsi="仿宋" w:eastAsia="仿宋" w:cs="仿宋"/>
          <w:color w:val="auto"/>
          <w:sz w:val="32"/>
          <w:szCs w:val="32"/>
          <w:lang w:val="en-US" w:eastAsia="zh-CN"/>
        </w:rPr>
        <w:t>258.90万元、政府采购工程预算</w:t>
      </w:r>
      <w:r>
        <w:rPr>
          <w:rFonts w:hint="eastAsia" w:ascii="仿宋" w:hAnsi="仿宋" w:eastAsia="仿宋" w:cs="仿宋"/>
          <w:color w:val="auto"/>
          <w:sz w:val="32"/>
          <w:szCs w:val="32"/>
          <w:lang w:val="en-US" w:eastAsia="zh-CN"/>
        </w:rPr>
        <w:t>0万元、政府采购服务预算</w:t>
      </w:r>
      <w:r>
        <w:rPr>
          <w:rFonts w:hint="eastAsia" w:ascii="仿宋" w:hAnsi="仿宋" w:eastAsia="仿宋" w:cs="仿宋"/>
          <w:color w:val="auto"/>
          <w:sz w:val="32"/>
          <w:szCs w:val="32"/>
          <w:lang w:val="en-US" w:eastAsia="zh-CN"/>
        </w:rPr>
        <w:t>0万元。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截至</w:t>
      </w:r>
      <w:r>
        <w:rPr>
          <w:rFonts w:hint="eastAsia" w:ascii="仿宋" w:hAnsi="仿宋" w:eastAsia="仿宋" w:cs="仿宋"/>
          <w:color w:val="auto"/>
          <w:sz w:val="32"/>
          <w:szCs w:val="32"/>
          <w:lang w:val="en-US" w:eastAsia="zh-CN"/>
        </w:rPr>
        <w:t>2022年12月31日单位共有车辆</w:t>
      </w:r>
      <w:r>
        <w:rPr>
          <w:rFonts w:hint="eastAsia" w:ascii="仿宋" w:hAnsi="仿宋" w:eastAsia="仿宋" w:cs="仿宋"/>
          <w:color w:val="auto"/>
          <w:sz w:val="32"/>
          <w:szCs w:val="32"/>
          <w:lang w:val="en-US" w:eastAsia="zh-CN"/>
        </w:rPr>
        <w:t>1辆，其中：一般公务用车</w:t>
      </w:r>
      <w:r>
        <w:rPr>
          <w:rFonts w:hint="eastAsia" w:ascii="仿宋" w:hAnsi="仿宋" w:eastAsia="仿宋" w:cs="仿宋"/>
          <w:color w:val="auto"/>
          <w:sz w:val="32"/>
          <w:szCs w:val="32"/>
          <w:lang w:val="en-US" w:eastAsia="zh-CN"/>
        </w:rPr>
        <w:t>0辆、执法执勤用车</w:t>
      </w:r>
      <w:r>
        <w:rPr>
          <w:rFonts w:hint="eastAsia" w:ascii="仿宋" w:hAnsi="仿宋" w:eastAsia="仿宋" w:cs="仿宋"/>
          <w:color w:val="auto"/>
          <w:sz w:val="32"/>
          <w:szCs w:val="32"/>
          <w:lang w:val="en-US" w:eastAsia="zh-CN"/>
        </w:rPr>
        <w:t>0辆、</w:t>
      </w:r>
      <w:r>
        <w:rPr>
          <w:rFonts w:hint="eastAsia" w:ascii="仿宋" w:hAnsi="仿宋" w:eastAsia="仿宋" w:cs="仿宋"/>
          <w:color w:val="auto"/>
          <w:sz w:val="32"/>
          <w:szCs w:val="32"/>
          <w:lang w:val="en-US" w:eastAsia="zh-CN"/>
        </w:rPr>
        <w:t>特种专业技术用车1辆。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2023年本单位预算安排购置车辆</w:t>
      </w:r>
      <w:r>
        <w:rPr>
          <w:rFonts w:hint="eastAsia" w:ascii="仿宋" w:hAnsi="仿宋" w:eastAsia="仿宋" w:cs="仿宋"/>
          <w:color w:val="auto"/>
          <w:sz w:val="32"/>
          <w:szCs w:val="32"/>
          <w:lang w:val="en-US" w:eastAsia="zh-CN"/>
        </w:rPr>
        <w:t>0辆，安排购置单位价值200万元以上大型设备具体为：</w:t>
      </w:r>
      <w:r>
        <w:rPr>
          <w:rFonts w:hint="eastAsia" w:ascii="仿宋" w:hAnsi="仿宋" w:eastAsia="仿宋" w:cs="仿宋"/>
          <w:color w:val="auto"/>
          <w:sz w:val="32"/>
          <w:szCs w:val="32"/>
          <w:lang w:val="en-US" w:eastAsia="zh-CN"/>
        </w:rPr>
        <w:t>无。</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2023年实行绩效目标管理的项目</w:t>
      </w:r>
      <w:r>
        <w:rPr>
          <w:rFonts w:hint="eastAsia" w:ascii="仿宋" w:hAnsi="仿宋" w:eastAsia="仿宋" w:cs="仿宋"/>
          <w:color w:val="auto"/>
          <w:sz w:val="32"/>
          <w:szCs w:val="32"/>
          <w:lang w:val="en-US" w:eastAsia="zh-CN"/>
        </w:rPr>
        <w:t>0个，涉及资金</w:t>
      </w:r>
      <w:r>
        <w:rPr>
          <w:rFonts w:hint="eastAsia" w:ascii="仿宋" w:hAnsi="仿宋" w:eastAsia="仿宋" w:cs="仿宋"/>
          <w:color w:val="auto"/>
          <w:sz w:val="32"/>
          <w:szCs w:val="32"/>
          <w:lang w:val="en-US" w:eastAsia="zh-CN"/>
        </w:rPr>
        <w:t>0万元。</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本单位无使用国有资本经营预算拨款安排的支出。</w:t>
      </w: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bookmarkStart w:id="0" w:name="_GoBack"/>
      <w:r>
        <w:rPr>
          <w:rFonts w:hint="eastAsia" w:ascii="仿宋" w:hAnsi="仿宋" w:eastAsia="仿宋" w:cs="仿宋"/>
          <w:color w:val="auto"/>
          <w:sz w:val="32"/>
          <w:szCs w:val="32"/>
          <w:lang w:val="en-US" w:eastAsia="zh-CN"/>
        </w:rPr>
        <w:t>2023年兴国县城岗镇中心卫生院单位“三公”经费一般公共预算安排</w:t>
      </w:r>
      <w:r>
        <w:rPr>
          <w:rFonts w:hint="eastAsia" w:ascii="仿宋" w:hAnsi="仿宋" w:eastAsia="仿宋" w:cs="仿宋"/>
          <w:color w:val="auto"/>
          <w:sz w:val="32"/>
          <w:szCs w:val="32"/>
          <w:lang w:val="en-US" w:eastAsia="zh-CN"/>
        </w:rPr>
        <w:t>0万元。其中：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因公出国（境）费</w:t>
      </w:r>
      <w:r>
        <w:rPr>
          <w:rFonts w:hint="eastAsia" w:ascii="仿宋" w:hAnsi="仿宋" w:eastAsia="仿宋" w:cs="仿宋"/>
          <w:color w:val="auto"/>
          <w:sz w:val="32"/>
          <w:szCs w:val="32"/>
          <w:lang w:val="en-US" w:eastAsia="zh-CN"/>
        </w:rPr>
        <w:t>0万元，比上年增（减）</w:t>
      </w:r>
      <w:r>
        <w:rPr>
          <w:rFonts w:hint="eastAsia" w:ascii="仿宋" w:hAnsi="仿宋" w:eastAsia="仿宋" w:cs="仿宋"/>
          <w:color w:val="auto"/>
          <w:sz w:val="32"/>
          <w:szCs w:val="32"/>
          <w:lang w:val="en-US" w:eastAsia="zh-CN"/>
        </w:rPr>
        <w:t>0万元，主要原因是：与上年安排保持一致。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公务接待费</w:t>
      </w:r>
      <w:r>
        <w:rPr>
          <w:rFonts w:hint="eastAsia" w:ascii="仿宋" w:hAnsi="仿宋" w:eastAsia="仿宋" w:cs="仿宋"/>
          <w:color w:val="auto"/>
          <w:sz w:val="32"/>
          <w:szCs w:val="32"/>
          <w:lang w:val="en-US" w:eastAsia="zh-CN"/>
        </w:rPr>
        <w:t>0万元，比上年增（减）</w:t>
      </w:r>
      <w:r>
        <w:rPr>
          <w:rFonts w:hint="eastAsia" w:ascii="仿宋" w:hAnsi="仿宋" w:eastAsia="仿宋" w:cs="仿宋"/>
          <w:color w:val="auto"/>
          <w:sz w:val="32"/>
          <w:szCs w:val="32"/>
          <w:lang w:val="en-US" w:eastAsia="zh-CN"/>
        </w:rPr>
        <w:t>0万元，主要原因是：与上年安排保持一致。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公务用车运行维护费</w:t>
      </w:r>
      <w:r>
        <w:rPr>
          <w:rFonts w:hint="eastAsia" w:ascii="仿宋" w:hAnsi="仿宋" w:eastAsia="仿宋" w:cs="仿宋"/>
          <w:color w:val="auto"/>
          <w:sz w:val="32"/>
          <w:szCs w:val="32"/>
          <w:lang w:val="en-US" w:eastAsia="zh-CN"/>
        </w:rPr>
        <w:t>0万元，比上年增（减）</w:t>
      </w:r>
      <w:r>
        <w:rPr>
          <w:rFonts w:hint="eastAsia" w:ascii="仿宋" w:hAnsi="仿宋" w:eastAsia="仿宋" w:cs="仿宋"/>
          <w:color w:val="auto"/>
          <w:sz w:val="32"/>
          <w:szCs w:val="32"/>
          <w:lang w:val="en-US" w:eastAsia="zh-CN"/>
        </w:rPr>
        <w:t>0万元，主要原因是：与上年安排保持一致。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sectPr>
          <w:headerReference r:id="rId3" w:type="default"/>
          <w:footerReference r:id="rId4" w:type="default"/>
          <w:pgSz w:w="11906" w:h="16838"/>
          <w:pgMar w:top="1587" w:right="1587" w:bottom="1587" w:left="1587" w:header="851" w:footer="992" w:gutter="0"/>
          <w:cols w:space="425" w:num="1"/>
          <w:docGrid w:type="lines" w:linePitch="312" w:charSpace="0"/>
        </w:sectPr>
      </w:pPr>
      <w:r>
        <w:rPr>
          <w:rFonts w:hint="eastAsia" w:ascii="仿宋" w:hAnsi="仿宋" w:eastAsia="仿宋" w:cs="仿宋"/>
          <w:color w:val="auto"/>
          <w:sz w:val="32"/>
          <w:szCs w:val="32"/>
          <w:lang w:val="en-US" w:eastAsia="zh-CN"/>
        </w:rPr>
        <w:t>公务用车购置费</w:t>
      </w:r>
      <w:r>
        <w:rPr>
          <w:rFonts w:hint="eastAsia" w:ascii="仿宋" w:hAnsi="仿宋" w:eastAsia="仿宋" w:cs="仿宋"/>
          <w:color w:val="auto"/>
          <w:sz w:val="32"/>
          <w:szCs w:val="32"/>
          <w:lang w:val="en-US" w:eastAsia="zh-CN"/>
        </w:rPr>
        <w:t>0万元，比上年增（减）</w:t>
      </w:r>
      <w:r>
        <w:rPr>
          <w:rFonts w:hint="eastAsia" w:ascii="仿宋" w:hAnsi="仿宋" w:eastAsia="仿宋" w:cs="仿宋"/>
          <w:color w:val="auto"/>
          <w:sz w:val="32"/>
          <w:szCs w:val="32"/>
          <w:lang w:val="en-US" w:eastAsia="zh-CN"/>
        </w:rPr>
        <w:t>0万元，主要原因是：与上年安排保持一致。</w:t>
      </w:r>
      <w:bookmarkEnd w:id="0"/>
    </w:p>
    <w:p>
      <w:pPr>
        <w:numPr>
          <w:ilvl w:val="0"/>
          <w:numId w:val="4"/>
        </w:numPr>
        <w:spacing w:line="240" w:lineRule="auto"/>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城岗镇中心卫生院2023年</w:t>
      </w:r>
      <w:r>
        <w:rPr>
          <w:rFonts w:hint="eastAsia" w:ascii="黑体" w:hAnsi="黑体" w:eastAsia="黑体" w:cs="黑体"/>
          <w:b w:val="0"/>
          <w:bCs w:val="0"/>
          <w:color w:val="auto"/>
          <w:sz w:val="32"/>
          <w:szCs w:val="32"/>
        </w:rPr>
        <w:t>预算表</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5"/>
        <w:tblpPr w:leftFromText="180" w:rightFromText="180" w:vertAnchor="text" w:horzAnchor="page" w:tblpX="775" w:tblpY="122"/>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56"/>
        <w:gridCol w:w="1861"/>
        <w:gridCol w:w="3474"/>
        <w:gridCol w:w="13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85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[403023]兴国县城岗镇中心卫生院</w:t>
            </w:r>
          </w:p>
        </w:tc>
        <w:tc>
          <w:tcPr>
            <w:tcW w:w="871"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62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650"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7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2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208.87</w:t>
            </w: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208.87</w:t>
            </w: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1,405.27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1,228.86</w:t>
            </w: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1,437.73</w:t>
            </w: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1,437.73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8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1,437.73</w:t>
            </w:r>
          </w:p>
        </w:tc>
        <w:tc>
          <w:tcPr>
            <w:tcW w:w="1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1,437.73</w:t>
            </w:r>
          </w:p>
        </w:tc>
      </w:tr>
    </w:tbl>
    <w:p>
      <w:pPr>
        <w:pStyle w:val="2"/>
        <w:numPr>
          <w:ilvl w:val="0"/>
          <w:numId w:val="0"/>
        </w:numPr>
        <w:rPr>
          <w:rFonts w:hint="eastAsia"/>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sectPr>
          <w:pgSz w:w="11906" w:h="16838"/>
          <w:pgMar w:top="720" w:right="720" w:bottom="720" w:left="720" w:header="851" w:footer="992" w:gutter="0"/>
          <w:cols w:space="425" w:num="1"/>
          <w:docGrid w:type="lines" w:linePitch="312" w:charSpace="0"/>
        </w:sectPr>
      </w:pPr>
    </w:p>
    <w:tbl>
      <w:tblPr>
        <w:tblStyle w:val="5"/>
        <w:tblW w:w="4995"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85"/>
        <w:gridCol w:w="3566"/>
        <w:gridCol w:w="1013"/>
        <w:gridCol w:w="415"/>
        <w:gridCol w:w="814"/>
        <w:gridCol w:w="934"/>
        <w:gridCol w:w="906"/>
        <w:gridCol w:w="817"/>
        <w:gridCol w:w="643"/>
        <w:gridCol w:w="1013"/>
        <w:gridCol w:w="603"/>
        <w:gridCol w:w="795"/>
        <w:gridCol w:w="591"/>
        <w:gridCol w:w="730"/>
        <w:gridCol w:w="13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1" w:hRule="exact"/>
        </w:trPr>
        <w:tc>
          <w:tcPr>
            <w:tcW w:w="5000" w:type="pct"/>
            <w:gridSpan w:val="15"/>
            <w:tcBorders>
              <w:top w:val="nil"/>
              <w:left w:val="nil"/>
              <w:bottom w:val="nil"/>
              <w:right w:val="nil"/>
            </w:tcBorders>
            <w:shd w:val="clear" w:color="auto" w:fill="auto"/>
            <w:noWrap/>
            <w:vAlign w:val="center"/>
          </w:tcPr>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单位收入总表</w:t>
            </w:r>
            <w:r>
              <w:rPr>
                <w:rFonts w:hint="eastAsia" w:ascii="仿宋" w:hAnsi="仿宋" w:eastAsia="仿宋" w:cs="仿宋"/>
                <w:color w:val="auto"/>
                <w:sz w:val="32"/>
                <w:szCs w:val="32"/>
              </w:rPr>
              <w:t>》</w:t>
            </w:r>
          </w:p>
          <w:p>
            <w:pPr>
              <w:keepNext w:val="0"/>
              <w:keepLines w:val="0"/>
              <w:widowControl/>
              <w:suppressLineNumbers w:val="0"/>
              <w:tabs>
                <w:tab w:val="left" w:pos="235"/>
              </w:tabs>
              <w:jc w:val="left"/>
              <w:textAlignment w:val="center"/>
              <w:rPr>
                <w:rFonts w:hint="eastAsia" w:ascii="宋体" w:hAnsi="宋体" w:eastAsia="宋体" w:cs="宋体"/>
                <w:b/>
                <w:bCs/>
                <w:i w:val="0"/>
                <w:iCs w:val="0"/>
                <w:color w:val="000000"/>
                <w:kern w:val="0"/>
                <w:sz w:val="36"/>
                <w:szCs w:val="36"/>
                <w:u w:val="none"/>
                <w:lang w:val="en-US" w:eastAsia="zh-CN" w:bidi="ar"/>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1" w:hRule="exac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exac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[403023]兴国县城岗镇中心卫生院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exact"/>
        </w:trPr>
        <w:tc>
          <w:tcPr>
            <w:tcW w:w="4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功能科目</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编码</w:t>
            </w:r>
          </w:p>
        </w:tc>
        <w:tc>
          <w:tcPr>
            <w:tcW w:w="115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312"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2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1110"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20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312"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事业收入</w:t>
            </w:r>
          </w:p>
        </w:tc>
        <w:tc>
          <w:tcPr>
            <w:tcW w:w="195"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57"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19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23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4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9" w:hRule="exact"/>
        </w:trPr>
        <w:tc>
          <w:tcPr>
            <w:tcW w:w="44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2"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20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12"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95"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57"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9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exact"/>
        </w:trPr>
        <w:tc>
          <w:tcPr>
            <w:tcW w:w="44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5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5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0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6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0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1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9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5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9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3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44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exact"/>
        </w:trPr>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1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1,437.73</w:t>
            </w:r>
          </w:p>
        </w:tc>
        <w:tc>
          <w:tcPr>
            <w:tcW w:w="1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208.87</w:t>
            </w: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208.87</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1,228.86</w:t>
            </w: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exact"/>
        </w:trPr>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1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58.67</w:t>
            </w:r>
          </w:p>
        </w:tc>
        <w:tc>
          <w:tcPr>
            <w:tcW w:w="1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31.74</w:t>
            </w: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31.74</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26.93</w:t>
            </w: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exact"/>
        </w:trPr>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1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57.95</w:t>
            </w:r>
          </w:p>
        </w:tc>
        <w:tc>
          <w:tcPr>
            <w:tcW w:w="1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31.74</w:t>
            </w: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31.74</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26.21</w:t>
            </w: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exact"/>
        </w:trPr>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1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38.63</w:t>
            </w:r>
          </w:p>
        </w:tc>
        <w:tc>
          <w:tcPr>
            <w:tcW w:w="1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23.18</w:t>
            </w: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23.18</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15.45</w:t>
            </w: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exact"/>
        </w:trPr>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1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19.32</w:t>
            </w:r>
          </w:p>
        </w:tc>
        <w:tc>
          <w:tcPr>
            <w:tcW w:w="1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8.56</w:t>
            </w: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8.56</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10.76</w:t>
            </w: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exact"/>
        </w:trPr>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08</w:t>
            </w:r>
          </w:p>
        </w:tc>
        <w:tc>
          <w:tcPr>
            <w:tcW w:w="11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抚恤</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0.72</w:t>
            </w:r>
          </w:p>
        </w:tc>
        <w:tc>
          <w:tcPr>
            <w:tcW w:w="1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0.72</w:t>
            </w: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exact"/>
        </w:trPr>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2080801</w:t>
            </w:r>
          </w:p>
        </w:tc>
        <w:tc>
          <w:tcPr>
            <w:tcW w:w="11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死亡抚恤</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0.72</w:t>
            </w:r>
          </w:p>
        </w:tc>
        <w:tc>
          <w:tcPr>
            <w:tcW w:w="1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0.72</w:t>
            </w: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exact"/>
        </w:trPr>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1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1,343.16</w:t>
            </w:r>
          </w:p>
        </w:tc>
        <w:tc>
          <w:tcPr>
            <w:tcW w:w="1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177.13</w:t>
            </w: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177.13</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1,166.03</w:t>
            </w: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exact"/>
        </w:trPr>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1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1,331.15</w:t>
            </w:r>
          </w:p>
        </w:tc>
        <w:tc>
          <w:tcPr>
            <w:tcW w:w="1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169.32</w:t>
            </w: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169.32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1,161.83</w:t>
            </w: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exact"/>
        </w:trPr>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1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1,331.15</w:t>
            </w:r>
          </w:p>
        </w:tc>
        <w:tc>
          <w:tcPr>
            <w:tcW w:w="1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169.32</w:t>
            </w: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169.32</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1,161.83</w:t>
            </w: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exact"/>
        </w:trPr>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1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12.01</w:t>
            </w:r>
          </w:p>
        </w:tc>
        <w:tc>
          <w:tcPr>
            <w:tcW w:w="1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7.80</w:t>
            </w: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7.80</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w:t>
            </w: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exact"/>
        </w:trPr>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1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12.01</w:t>
            </w:r>
          </w:p>
        </w:tc>
        <w:tc>
          <w:tcPr>
            <w:tcW w:w="1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7.80</w:t>
            </w: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7.80</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w:t>
            </w: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exact"/>
        </w:trPr>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1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35.90</w:t>
            </w:r>
          </w:p>
        </w:tc>
        <w:tc>
          <w:tcPr>
            <w:tcW w:w="1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35.90</w:t>
            </w: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exact"/>
        </w:trPr>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1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35.90</w:t>
            </w:r>
          </w:p>
        </w:tc>
        <w:tc>
          <w:tcPr>
            <w:tcW w:w="1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35.90</w:t>
            </w: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1" w:hRule="exact"/>
        </w:trPr>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1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35.90</w:t>
            </w:r>
          </w:p>
        </w:tc>
        <w:tc>
          <w:tcPr>
            <w:tcW w:w="12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35.90</w:t>
            </w: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pStyle w:val="2"/>
        <w:rPr>
          <w:rFonts w:hint="eastAsia" w:ascii="仿宋" w:hAnsi="仿宋" w:eastAsia="仿宋" w:cs="仿宋"/>
          <w:color w:val="auto"/>
          <w:sz w:val="20"/>
          <w:szCs w:val="20"/>
        </w:rPr>
        <w:sectPr>
          <w:headerReference r:id="rId5" w:type="default"/>
          <w:pgSz w:w="16838" w:h="11906" w:orient="landscape"/>
          <w:pgMar w:top="720" w:right="720" w:bottom="720" w:left="720" w:header="510" w:footer="992" w:gutter="0"/>
          <w:cols w:space="425" w:num="1"/>
          <w:docGrid w:type="lines" w:linePitch="312" w:charSpace="0"/>
        </w:sectPr>
      </w:pPr>
    </w:p>
    <w:p>
      <w:pPr>
        <w:numPr>
          <w:ilvl w:val="0"/>
          <w:numId w:val="0"/>
        </w:numPr>
        <w:spacing w:line="560" w:lineRule="exact"/>
        <w:ind w:leftChars="0"/>
        <w:rPr>
          <w:rFonts w:hint="eastAsia" w:ascii="仿宋" w:hAnsi="仿宋" w:eastAsia="仿宋" w:cs="仿宋"/>
          <w:color w:val="auto"/>
          <w:sz w:val="20"/>
          <w:szCs w:val="20"/>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tbl>
      <w:tblPr>
        <w:tblStyle w:val="5"/>
        <w:tblW w:w="506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00"/>
        <w:gridCol w:w="3878"/>
        <w:gridCol w:w="2405"/>
        <w:gridCol w:w="1493"/>
        <w:gridCol w:w="14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[403023]兴国县城岗镇中心卫生院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5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111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89"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66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11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89"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6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3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79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1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8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6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1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1,437.73</w:t>
            </w:r>
          </w:p>
        </w:tc>
        <w:tc>
          <w:tcPr>
            <w:tcW w:w="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1,437.73</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11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32.46</w:t>
            </w:r>
          </w:p>
        </w:tc>
        <w:tc>
          <w:tcPr>
            <w:tcW w:w="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32.46</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11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31.74</w:t>
            </w:r>
          </w:p>
        </w:tc>
        <w:tc>
          <w:tcPr>
            <w:tcW w:w="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31.74</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11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23.18</w:t>
            </w:r>
          </w:p>
        </w:tc>
        <w:tc>
          <w:tcPr>
            <w:tcW w:w="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23.18</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11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8.56</w:t>
            </w:r>
          </w:p>
        </w:tc>
        <w:tc>
          <w:tcPr>
            <w:tcW w:w="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8.56</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08</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抚恤</w:t>
            </w:r>
          </w:p>
        </w:tc>
        <w:tc>
          <w:tcPr>
            <w:tcW w:w="11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0.72</w:t>
            </w:r>
          </w:p>
        </w:tc>
        <w:tc>
          <w:tcPr>
            <w:tcW w:w="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0.72</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2080801</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死亡抚恤</w:t>
            </w:r>
          </w:p>
        </w:tc>
        <w:tc>
          <w:tcPr>
            <w:tcW w:w="11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0.72</w:t>
            </w:r>
          </w:p>
        </w:tc>
        <w:tc>
          <w:tcPr>
            <w:tcW w:w="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0.72</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11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1,405.27</w:t>
            </w:r>
          </w:p>
        </w:tc>
        <w:tc>
          <w:tcPr>
            <w:tcW w:w="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1,405.27</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11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1,397.47</w:t>
            </w:r>
          </w:p>
        </w:tc>
        <w:tc>
          <w:tcPr>
            <w:tcW w:w="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1,397.47</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11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1,397.47</w:t>
            </w:r>
          </w:p>
        </w:tc>
        <w:tc>
          <w:tcPr>
            <w:tcW w:w="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1,397.47</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11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7.80</w:t>
            </w:r>
          </w:p>
        </w:tc>
        <w:tc>
          <w:tcPr>
            <w:tcW w:w="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7.80</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11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7.80</w:t>
            </w:r>
          </w:p>
        </w:tc>
        <w:tc>
          <w:tcPr>
            <w:tcW w:w="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7.80</w:t>
            </w: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79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1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8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ascii="仿宋" w:hAnsi="仿宋" w:eastAsia="仿宋" w:cs="仿宋"/>
          <w:color w:val="auto"/>
          <w:sz w:val="20"/>
          <w:szCs w:val="20"/>
        </w:rPr>
        <w:sectPr>
          <w:pgSz w:w="11906" w:h="16838"/>
          <w:pgMar w:top="720" w:right="720" w:bottom="720" w:left="720" w:header="851" w:footer="992" w:gutter="0"/>
          <w:cols w:space="425" w:num="1"/>
          <w:docGrid w:type="lines" w:linePitch="312" w:charSpace="0"/>
        </w:sectPr>
      </w:pPr>
    </w:p>
    <w:p>
      <w:pPr>
        <w:spacing w:line="560" w:lineRule="exact"/>
        <w:jc w:val="left"/>
        <w:rPr>
          <w:rFonts w:hint="eastAsia" w:ascii="仿宋" w:hAnsi="仿宋" w:eastAsia="仿宋" w:cs="仿宋"/>
          <w:color w:val="auto"/>
          <w:sz w:val="20"/>
          <w:szCs w:val="20"/>
        </w:rPr>
      </w:pPr>
      <w:r>
        <w:rPr>
          <w:rFonts w:hint="eastAsia" w:ascii="仿宋" w:hAnsi="仿宋" w:eastAsia="仿宋" w:cs="仿宋"/>
          <w:color w:val="auto"/>
          <w:sz w:val="32"/>
          <w:szCs w:val="32"/>
        </w:rPr>
        <w:t>四、《财政拨款收支总表》</w:t>
      </w:r>
    </w:p>
    <w:tbl>
      <w:tblPr>
        <w:tblStyle w:val="5"/>
        <w:tblW w:w="4942"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804"/>
        <w:gridCol w:w="971"/>
        <w:gridCol w:w="2079"/>
        <w:gridCol w:w="956"/>
        <w:gridCol w:w="1047"/>
        <w:gridCol w:w="1412"/>
        <w:gridCol w:w="12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8"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36"/>
                <w:szCs w:val="36"/>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[403023]兴国县城岗镇中心卫生院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trPr>
        <w:tc>
          <w:tcPr>
            <w:tcW w:w="178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21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984"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452"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95"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668"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208.87</w:t>
            </w:r>
          </w:p>
        </w:tc>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208.87</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208.87</w:t>
            </w: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208.87</w:t>
            </w:r>
          </w:p>
        </w:tc>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31.74</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31.74</w:t>
            </w: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177.13</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177.13</w:t>
            </w: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208.87</w:t>
            </w:r>
          </w:p>
        </w:tc>
        <w:tc>
          <w:tcPr>
            <w:tcW w:w="9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208.87</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208.87</w:t>
            </w:r>
          </w:p>
        </w:tc>
        <w:tc>
          <w:tcPr>
            <w:tcW w:w="6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bl>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spacing w:line="560" w:lineRule="exact"/>
        <w:rPr>
          <w:rFonts w:hint="eastAsia" w:ascii="仿宋" w:hAnsi="仿宋" w:eastAsia="仿宋" w:cs="仿宋"/>
          <w:color w:val="auto"/>
          <w:sz w:val="20"/>
          <w:szCs w:val="20"/>
        </w:rPr>
      </w:pPr>
      <w:r>
        <w:rPr>
          <w:rFonts w:hint="eastAsia" w:ascii="仿宋" w:hAnsi="仿宋" w:eastAsia="仿宋" w:cs="仿宋"/>
          <w:color w:val="auto"/>
          <w:sz w:val="32"/>
          <w:szCs w:val="32"/>
        </w:rPr>
        <w:t>五、《一般公共预算支出表》</w:t>
      </w:r>
    </w:p>
    <w:tbl>
      <w:tblPr>
        <w:tblStyle w:val="5"/>
        <w:tblW w:w="4831" w:type="pct"/>
        <w:tblInd w:w="32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86"/>
        <w:gridCol w:w="4320"/>
        <w:gridCol w:w="1623"/>
        <w:gridCol w:w="1098"/>
        <w:gridCol w:w="12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[403023]兴国县城岗镇中心卫生院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30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194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20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6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09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8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3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2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208.87</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208.87</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20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31.74</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31.74</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20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31.74</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31.74</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20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23.18</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23.18</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20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8.56</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8.56</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20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177.13</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177.13</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20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169.32</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169.32</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20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169.32</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169.32</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20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7.80</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7.80</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20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7.80</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7.80</w:t>
            </w: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48"/>
        <w:gridCol w:w="4211"/>
        <w:gridCol w:w="1653"/>
        <w:gridCol w:w="1168"/>
        <w:gridCol w:w="14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[403023]兴国县城岗镇中心卫生院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30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19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971"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5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97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9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208.87</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208.87</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9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208.87</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19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106.06</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106.06</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19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63.27</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63.27</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19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23.18</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23.18</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30109</w:t>
            </w:r>
          </w:p>
        </w:tc>
        <w:tc>
          <w:tcPr>
            <w:tcW w:w="19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职业年金缴费</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8.56</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8.56</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19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7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7.80</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7.80</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bl>
    <w:p>
      <w:pPr>
        <w:pStyle w:val="2"/>
        <w:rPr>
          <w:color w:val="auto"/>
          <w:sz w:val="20"/>
          <w:szCs w:val="20"/>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color w:val="auto"/>
        </w:rPr>
      </w:pPr>
    </w:p>
    <w:p>
      <w:pPr>
        <w:pStyle w:val="2"/>
        <w:rPr>
          <w:color w:val="auto"/>
        </w:rPr>
      </w:pPr>
    </w:p>
    <w:p>
      <w:pPr>
        <w:pStyle w:val="2"/>
        <w:rPr>
          <w:color w:val="auto"/>
        </w:rPr>
      </w:pPr>
    </w:p>
    <w:p>
      <w:pPr>
        <w:numPr>
          <w:ilvl w:val="0"/>
          <w:numId w:val="0"/>
        </w:numPr>
        <w:spacing w:line="560" w:lineRule="exact"/>
        <w:ind w:left="0" w:leftChars="0" w:firstLine="0" w:firstLineChars="0"/>
        <w:rPr>
          <w:color w:val="auto"/>
        </w:rPr>
      </w:pPr>
      <w:r>
        <w:rPr>
          <w:rFonts w:hint="eastAsia" w:ascii="仿宋" w:hAnsi="仿宋" w:eastAsia="仿宋" w:cs="仿宋"/>
          <w:color w:val="auto"/>
          <w:kern w:val="2"/>
          <w:sz w:val="32"/>
          <w:szCs w:val="32"/>
          <w:lang w:val="en-US" w:eastAsia="zh-CN" w:bidi="ar-SA"/>
        </w:rPr>
        <w:t>七、</w:t>
      </w:r>
      <w:r>
        <w:rPr>
          <w:rFonts w:hint="eastAsia" w:ascii="仿宋" w:hAnsi="仿宋" w:eastAsia="仿宋" w:cs="仿宋"/>
          <w:color w:val="auto"/>
          <w:sz w:val="32"/>
          <w:szCs w:val="32"/>
        </w:rPr>
        <w:t>《一般公共预算“三公”经费支出表》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11"/>
        <w:gridCol w:w="1246"/>
        <w:gridCol w:w="739"/>
        <w:gridCol w:w="1295"/>
        <w:gridCol w:w="1585"/>
        <w:gridCol w:w="2327"/>
        <w:gridCol w:w="16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7"/>
            <w:tcBorders>
              <w:top w:val="nil"/>
              <w:left w:val="nil"/>
              <w:bottom w:val="nil"/>
              <w:right w:val="nil"/>
            </w:tcBorders>
            <w:shd w:val="clear" w:color="auto" w:fill="auto"/>
            <w:noWrap/>
            <w:vAlign w:val="bottom"/>
          </w:tcPr>
          <w:p>
            <w:pPr>
              <w:jc w:val="righ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注：若为空表，则为该部门（单位）无“三公”经费支出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[403023]兴国县城岗镇中心卫生院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84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58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7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10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公务用车运行维护费</w:t>
            </w:r>
          </w:p>
        </w:tc>
        <w:tc>
          <w:tcPr>
            <w:tcW w:w="78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84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8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848"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83"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6"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06"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42"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9"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81"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bl>
    <w:p>
      <w:pPr>
        <w:pStyle w:val="2"/>
        <w:rPr>
          <w:color w:val="auto"/>
          <w:sz w:val="20"/>
          <w:szCs w:val="20"/>
        </w:rPr>
      </w:pPr>
    </w:p>
    <w:p>
      <w:pPr>
        <w:pStyle w:val="2"/>
        <w:rPr>
          <w:color w:val="auto"/>
          <w:sz w:val="20"/>
          <w:szCs w:val="20"/>
        </w:rPr>
      </w:pPr>
    </w:p>
    <w:p>
      <w:pPr>
        <w:pStyle w:val="2"/>
        <w:rPr>
          <w:color w:val="auto"/>
        </w:rPr>
      </w:pPr>
    </w:p>
    <w:p>
      <w:pPr>
        <w:pStyle w:val="2"/>
        <w:rPr>
          <w:color w:val="auto"/>
        </w:rPr>
      </w:pPr>
    </w:p>
    <w:p>
      <w:pPr>
        <w:pStyle w:val="2"/>
        <w:rPr>
          <w:color w:val="auto"/>
        </w:rPr>
      </w:pPr>
    </w:p>
    <w:p>
      <w:pPr>
        <w:pStyle w:val="2"/>
        <w:rPr>
          <w:color w:val="auto"/>
        </w:rPr>
      </w:pPr>
    </w:p>
    <w:p>
      <w:pPr>
        <w:numPr>
          <w:ilvl w:val="0"/>
          <w:numId w:val="0"/>
        </w:numPr>
        <w:spacing w:line="560" w:lineRule="exact"/>
        <w:ind w:leftChars="0"/>
        <w:rPr>
          <w:rFonts w:hint="eastAsia" w:ascii="仿宋" w:hAnsi="仿宋" w:eastAsia="仿宋" w:cs="仿宋"/>
          <w:color w:val="auto"/>
          <w:sz w:val="32"/>
          <w:szCs w:val="32"/>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240" w:lineRule="auto"/>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240" w:lineRule="auto"/>
        <w:ind w:left="0" w:leftChars="0" w:firstLine="0" w:firstLineChars="0"/>
        <w:rPr>
          <w:color w:val="auto"/>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70"/>
        <w:gridCol w:w="1475"/>
        <w:gridCol w:w="2312"/>
        <w:gridCol w:w="1660"/>
        <w:gridCol w:w="37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5000" w:type="pct"/>
            <w:gridSpan w:val="5"/>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[403023]兴国县城岗镇中心卫生院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37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362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0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68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8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76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color w:val="auto"/>
          <w:sz w:val="20"/>
          <w:szCs w:val="20"/>
        </w:rPr>
      </w:pPr>
    </w:p>
    <w:p>
      <w:pPr>
        <w:pStyle w:val="2"/>
        <w:rPr>
          <w:color w:val="auto"/>
        </w:rPr>
      </w:pPr>
    </w:p>
    <w:p>
      <w:pPr>
        <w:pStyle w:val="2"/>
        <w:rPr>
          <w:color w:val="auto"/>
        </w:rPr>
      </w:pPr>
    </w:p>
    <w:p>
      <w:pPr>
        <w:numPr>
          <w:ilvl w:val="0"/>
          <w:numId w:val="0"/>
        </w:numPr>
        <w:spacing w:line="560" w:lineRule="exact"/>
        <w:ind w:leftChars="0"/>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numPr>
          <w:ilvl w:val="0"/>
          <w:numId w:val="5"/>
        </w:numPr>
        <w:rPr>
          <w:color w:val="auto"/>
        </w:rPr>
      </w:pPr>
      <w:r>
        <w:rPr>
          <w:rFonts w:hint="eastAsia" w:eastAsia="仿宋"/>
          <w:color w:val="auto"/>
          <w:lang w:eastAsia="zh-CN"/>
        </w:rPr>
        <w:t>《国有资本经营预算支出表》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540"/>
        <w:gridCol w:w="1353"/>
        <w:gridCol w:w="810"/>
        <w:gridCol w:w="1353"/>
        <w:gridCol w:w="16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5000" w:type="pct"/>
            <w:gridSpan w:val="5"/>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[403023]兴国县城岗镇中心卫生院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32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177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3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bl>
    <w:p>
      <w:pPr>
        <w:pStyle w:val="2"/>
        <w:numPr>
          <w:ilvl w:val="0"/>
          <w:numId w:val="0"/>
        </w:numPr>
        <w:ind w:leftChars="0"/>
        <w:rPr>
          <w:color w:val="auto"/>
          <w:sz w:val="20"/>
          <w:szCs w:val="20"/>
        </w:rPr>
      </w:pPr>
    </w:p>
    <w:p>
      <w:pPr>
        <w:pStyle w:val="2"/>
        <w:numPr>
          <w:ilvl w:val="0"/>
          <w:numId w:val="0"/>
        </w:numPr>
        <w:ind w:leftChars="0"/>
        <w:rPr>
          <w:color w:val="auto"/>
          <w:sz w:val="20"/>
          <w:szCs w:val="20"/>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p>
      <w:pPr>
        <w:pStyle w:val="2"/>
        <w:numPr>
          <w:ilvl w:val="0"/>
          <w:numId w:val="0"/>
        </w:numPr>
        <w:ind w:leftChars="0" w:firstLine="640" w:firstLineChars="200"/>
        <w:rPr>
          <w:color w:val="auto"/>
          <w:highlight w:val="none"/>
        </w:rPr>
      </w:pPr>
      <w:r>
        <w:rPr>
          <w:rFonts w:hint="eastAsia" w:eastAsia="仿宋"/>
          <w:color w:val="auto"/>
          <w:highlight w:val="none"/>
          <w:lang w:val="en-US" w:eastAsia="zh-CN"/>
        </w:rPr>
        <w:t>无</w:t>
      </w: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sectPr>
          <w:pgSz w:w="11906" w:h="16838"/>
          <w:pgMar w:top="720" w:right="720" w:bottom="720" w:left="720" w:header="851" w:footer="992" w:gutter="0"/>
          <w:cols w:space="425" w:num="1"/>
          <w:docGrid w:type="lines" w:linePitch="312" w:charSpace="0"/>
        </w:sect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ind w:firstLine="640" w:firstLineChars="200"/>
      </w:pPr>
      <w:r>
        <w:rPr>
          <w:rFonts w:hint="eastAsia" w:ascii="仿宋" w:hAnsi="仿宋" w:eastAsia="仿宋" w:cs="仿宋"/>
          <w:color w:val="auto"/>
          <w:sz w:val="32"/>
          <w:szCs w:val="32"/>
        </w:rPr>
        <w:t>（六）死亡抚恤：反映单位遗属人员生活补助。</w:t>
      </w:r>
    </w:p>
    <w:sectPr>
      <w:pgSz w:w="11906" w:h="16838"/>
      <w:pgMar w:top="1587" w:right="1587" w:bottom="158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eastAsiaTheme="minorEastAsia"/>
        <w:lang w:val="en-US" w:eastAsia="zh-CN"/>
      </w:rPr>
    </w:pPr>
    <w:r>
      <w:rPr>
        <w:rFonts w:hint="eastAsia"/>
        <w:lang w:val="en-US"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60"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numPr>
        <w:ilvl w:val="0"/>
        <w:numId w:val="0"/>
      </w:num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abstractNum w:abstractNumId="1">
    <w:nsid w:val="C7CBD07C"/>
    <w:multiLevelType w:val="singleLevel"/>
    <w:tmpl w:val="C7CBD07C"/>
    <w:lvl w:ilvl="0" w:tentative="0">
      <w:start w:val="2"/>
      <w:numFmt w:val="chineseCounting"/>
      <w:suff w:val="space"/>
      <w:lvlText w:val="第%1部分"/>
      <w:lvlJc w:val="left"/>
      <w:rPr>
        <w:rFonts w:hint="eastAsia"/>
      </w:rPr>
    </w:lvl>
  </w:abstractNum>
  <w:abstractNum w:abstractNumId="2">
    <w:nsid w:val="D7DCF37F"/>
    <w:multiLevelType w:val="singleLevel"/>
    <w:tmpl w:val="D7DCF37F"/>
    <w:lvl w:ilvl="0" w:tentative="0">
      <w:start w:val="1"/>
      <w:numFmt w:val="chineseCounting"/>
      <w:suff w:val="space"/>
      <w:lvlText w:val="第%1部分"/>
      <w:lvlJc w:val="left"/>
      <w:rPr>
        <w:rFonts w:hint="eastAsia"/>
      </w:rPr>
    </w:lvl>
  </w:abstractNum>
  <w:abstractNum w:abstractNumId="3">
    <w:nsid w:val="ECF8594F"/>
    <w:multiLevelType w:val="singleLevel"/>
    <w:tmpl w:val="ECF8594F"/>
    <w:lvl w:ilvl="0" w:tentative="0">
      <w:start w:val="3"/>
      <w:numFmt w:val="chineseCounting"/>
      <w:suff w:val="space"/>
      <w:lvlText w:val="第%1部分"/>
      <w:lvlJc w:val="left"/>
      <w:rPr>
        <w:rFonts w:hint="eastAsia"/>
      </w:rPr>
    </w:lvl>
  </w:abstractNum>
  <w:abstractNum w:abstractNumId="4">
    <w:nsid w:val="523D3E4E"/>
    <w:multiLevelType w:val="singleLevel"/>
    <w:tmpl w:val="523D3E4E"/>
    <w:lvl w:ilvl="0" w:tentative="0">
      <w:start w:val="2"/>
      <w:numFmt w:val="chineseCounting"/>
      <w:suff w:val="nothing"/>
      <w:lvlText w:val="%1、"/>
      <w:lvlJc w:val="left"/>
      <w:rPr>
        <w:rFonts w:hint="eastAsia"/>
      </w:r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hY2FjODA2Mjg2NGJiNjUzYjdjMGE0NjBiNTAzMzQifQ=="/>
    <w:docVar w:name="KSO_WPS_MARK_KEY" w:val="6479cc12-9612-4962-b049-0eecf684853c"/>
  </w:docVars>
  <w:rsids>
    <w:rsidRoot w:val="31C93669"/>
    <w:rsid w:val="01123CBC"/>
    <w:rsid w:val="0139378E"/>
    <w:rsid w:val="01DB2D9A"/>
    <w:rsid w:val="024261A6"/>
    <w:rsid w:val="033B376C"/>
    <w:rsid w:val="033F65AC"/>
    <w:rsid w:val="05033781"/>
    <w:rsid w:val="05094D59"/>
    <w:rsid w:val="056239C2"/>
    <w:rsid w:val="05AA653C"/>
    <w:rsid w:val="060D1840"/>
    <w:rsid w:val="06913258"/>
    <w:rsid w:val="06C62F02"/>
    <w:rsid w:val="06DC0977"/>
    <w:rsid w:val="06EB2968"/>
    <w:rsid w:val="0774295E"/>
    <w:rsid w:val="08022676"/>
    <w:rsid w:val="094F7AA1"/>
    <w:rsid w:val="096153BB"/>
    <w:rsid w:val="09C73CC8"/>
    <w:rsid w:val="0B703A4D"/>
    <w:rsid w:val="0CC7558C"/>
    <w:rsid w:val="0D786F20"/>
    <w:rsid w:val="0DFC3E81"/>
    <w:rsid w:val="0E456E02"/>
    <w:rsid w:val="0E900DE6"/>
    <w:rsid w:val="0F305284"/>
    <w:rsid w:val="0FF7412C"/>
    <w:rsid w:val="114E421F"/>
    <w:rsid w:val="116B728B"/>
    <w:rsid w:val="11752EDA"/>
    <w:rsid w:val="120E39AF"/>
    <w:rsid w:val="12413D84"/>
    <w:rsid w:val="125A3098"/>
    <w:rsid w:val="12C75ECB"/>
    <w:rsid w:val="134578A4"/>
    <w:rsid w:val="157E0E4B"/>
    <w:rsid w:val="15D373E9"/>
    <w:rsid w:val="15E334FA"/>
    <w:rsid w:val="15EE4223"/>
    <w:rsid w:val="16247C45"/>
    <w:rsid w:val="16E3540A"/>
    <w:rsid w:val="174F484D"/>
    <w:rsid w:val="175E2CE2"/>
    <w:rsid w:val="17FE52AB"/>
    <w:rsid w:val="18187335"/>
    <w:rsid w:val="18567E5D"/>
    <w:rsid w:val="19153875"/>
    <w:rsid w:val="194505FE"/>
    <w:rsid w:val="1A554870"/>
    <w:rsid w:val="1AC07BCE"/>
    <w:rsid w:val="1AC92B69"/>
    <w:rsid w:val="1AD35795"/>
    <w:rsid w:val="1C161DDD"/>
    <w:rsid w:val="1C4921B3"/>
    <w:rsid w:val="1C6C108F"/>
    <w:rsid w:val="1D1F2F14"/>
    <w:rsid w:val="1DD41F50"/>
    <w:rsid w:val="1DEE7CDB"/>
    <w:rsid w:val="1E8E6D68"/>
    <w:rsid w:val="1EAF67C6"/>
    <w:rsid w:val="1F5922CD"/>
    <w:rsid w:val="1FB703E6"/>
    <w:rsid w:val="205904EB"/>
    <w:rsid w:val="20607ACB"/>
    <w:rsid w:val="21006EE6"/>
    <w:rsid w:val="21FC1A76"/>
    <w:rsid w:val="220A4192"/>
    <w:rsid w:val="22347461"/>
    <w:rsid w:val="226D4721"/>
    <w:rsid w:val="22765384"/>
    <w:rsid w:val="22AC524A"/>
    <w:rsid w:val="22BF7180"/>
    <w:rsid w:val="230961F8"/>
    <w:rsid w:val="23623B5A"/>
    <w:rsid w:val="24480942"/>
    <w:rsid w:val="244C1DE1"/>
    <w:rsid w:val="24977834"/>
    <w:rsid w:val="24AE34FB"/>
    <w:rsid w:val="25172CD9"/>
    <w:rsid w:val="251D41DD"/>
    <w:rsid w:val="25987046"/>
    <w:rsid w:val="25C96113"/>
    <w:rsid w:val="26377520"/>
    <w:rsid w:val="27277595"/>
    <w:rsid w:val="27AB1CB6"/>
    <w:rsid w:val="293B2E83"/>
    <w:rsid w:val="29C56BF1"/>
    <w:rsid w:val="29CA7718"/>
    <w:rsid w:val="29F179E6"/>
    <w:rsid w:val="2A597E09"/>
    <w:rsid w:val="2A833419"/>
    <w:rsid w:val="2C6A2949"/>
    <w:rsid w:val="2C6C77F8"/>
    <w:rsid w:val="2C8E3C12"/>
    <w:rsid w:val="2D1F5647"/>
    <w:rsid w:val="2DE47F8D"/>
    <w:rsid w:val="2E5073D1"/>
    <w:rsid w:val="2E7F1A64"/>
    <w:rsid w:val="2EB060C2"/>
    <w:rsid w:val="2F154177"/>
    <w:rsid w:val="2F4002D9"/>
    <w:rsid w:val="2F65630E"/>
    <w:rsid w:val="2FB219C5"/>
    <w:rsid w:val="2FD8767E"/>
    <w:rsid w:val="2FE9188B"/>
    <w:rsid w:val="30152E7A"/>
    <w:rsid w:val="30D53BBD"/>
    <w:rsid w:val="31C93669"/>
    <w:rsid w:val="322841C1"/>
    <w:rsid w:val="32700042"/>
    <w:rsid w:val="33345912"/>
    <w:rsid w:val="33D83968"/>
    <w:rsid w:val="343C3F54"/>
    <w:rsid w:val="344101EC"/>
    <w:rsid w:val="346C4839"/>
    <w:rsid w:val="350601DC"/>
    <w:rsid w:val="354E03E2"/>
    <w:rsid w:val="360A4309"/>
    <w:rsid w:val="38037262"/>
    <w:rsid w:val="388D1D36"/>
    <w:rsid w:val="3C5056EA"/>
    <w:rsid w:val="3C991F43"/>
    <w:rsid w:val="3CE05DC4"/>
    <w:rsid w:val="3CEA6C43"/>
    <w:rsid w:val="3D167A38"/>
    <w:rsid w:val="3D3B124C"/>
    <w:rsid w:val="3D654BC2"/>
    <w:rsid w:val="3F340649"/>
    <w:rsid w:val="3F415D65"/>
    <w:rsid w:val="40D45C40"/>
    <w:rsid w:val="40E35E83"/>
    <w:rsid w:val="40E84D51"/>
    <w:rsid w:val="42CB4E20"/>
    <w:rsid w:val="42CD751C"/>
    <w:rsid w:val="438F22F2"/>
    <w:rsid w:val="44801C3A"/>
    <w:rsid w:val="449C4CC6"/>
    <w:rsid w:val="44AE49FA"/>
    <w:rsid w:val="44F227B7"/>
    <w:rsid w:val="45010FCD"/>
    <w:rsid w:val="45E47D76"/>
    <w:rsid w:val="460F771A"/>
    <w:rsid w:val="46873754"/>
    <w:rsid w:val="47060B1D"/>
    <w:rsid w:val="47EA6595"/>
    <w:rsid w:val="48BB2BB2"/>
    <w:rsid w:val="48BF0F83"/>
    <w:rsid w:val="49537D22"/>
    <w:rsid w:val="4992662B"/>
    <w:rsid w:val="49D97E23"/>
    <w:rsid w:val="49F4305D"/>
    <w:rsid w:val="4A857FAB"/>
    <w:rsid w:val="4B254A30"/>
    <w:rsid w:val="4B8244EA"/>
    <w:rsid w:val="4BA3693A"/>
    <w:rsid w:val="4CF34D70"/>
    <w:rsid w:val="4D212ECD"/>
    <w:rsid w:val="4E717EDB"/>
    <w:rsid w:val="4F5774B3"/>
    <w:rsid w:val="4FCC21D8"/>
    <w:rsid w:val="50BC1561"/>
    <w:rsid w:val="50C11611"/>
    <w:rsid w:val="50EA6DB9"/>
    <w:rsid w:val="51031C29"/>
    <w:rsid w:val="518333EE"/>
    <w:rsid w:val="51840FBC"/>
    <w:rsid w:val="51CB6BEB"/>
    <w:rsid w:val="52416EAD"/>
    <w:rsid w:val="52681863"/>
    <w:rsid w:val="52C8137C"/>
    <w:rsid w:val="52D01FDF"/>
    <w:rsid w:val="53611E87"/>
    <w:rsid w:val="53A042C7"/>
    <w:rsid w:val="53A45945"/>
    <w:rsid w:val="53B65679"/>
    <w:rsid w:val="544B5DC1"/>
    <w:rsid w:val="54CB0CB0"/>
    <w:rsid w:val="55055F70"/>
    <w:rsid w:val="554F368F"/>
    <w:rsid w:val="556061D3"/>
    <w:rsid w:val="55D3606E"/>
    <w:rsid w:val="56044479"/>
    <w:rsid w:val="56811F6E"/>
    <w:rsid w:val="56D97F21"/>
    <w:rsid w:val="57061740"/>
    <w:rsid w:val="58262DCD"/>
    <w:rsid w:val="58BC2EB0"/>
    <w:rsid w:val="58F5279F"/>
    <w:rsid w:val="593A4C28"/>
    <w:rsid w:val="594159E5"/>
    <w:rsid w:val="598D237B"/>
    <w:rsid w:val="5ABC3575"/>
    <w:rsid w:val="5C7165E1"/>
    <w:rsid w:val="5CE2303B"/>
    <w:rsid w:val="5CE45005"/>
    <w:rsid w:val="5E583AA3"/>
    <w:rsid w:val="5F693DE4"/>
    <w:rsid w:val="5F744410"/>
    <w:rsid w:val="6022031E"/>
    <w:rsid w:val="6025396A"/>
    <w:rsid w:val="60587E80"/>
    <w:rsid w:val="60C53FFF"/>
    <w:rsid w:val="62C44F2B"/>
    <w:rsid w:val="62F87C4C"/>
    <w:rsid w:val="63536A40"/>
    <w:rsid w:val="637B7452"/>
    <w:rsid w:val="65E322FD"/>
    <w:rsid w:val="66415276"/>
    <w:rsid w:val="66E005EB"/>
    <w:rsid w:val="6761747C"/>
    <w:rsid w:val="680B78E9"/>
    <w:rsid w:val="6AFF7CB3"/>
    <w:rsid w:val="6D7C6B93"/>
    <w:rsid w:val="6DB91B96"/>
    <w:rsid w:val="6E856B69"/>
    <w:rsid w:val="6E9879FD"/>
    <w:rsid w:val="6F8C57B4"/>
    <w:rsid w:val="706E4EB9"/>
    <w:rsid w:val="712C09DD"/>
    <w:rsid w:val="72007D93"/>
    <w:rsid w:val="726B5B54"/>
    <w:rsid w:val="73C82B32"/>
    <w:rsid w:val="75153B55"/>
    <w:rsid w:val="75436915"/>
    <w:rsid w:val="755B0018"/>
    <w:rsid w:val="757B50E4"/>
    <w:rsid w:val="75B05232"/>
    <w:rsid w:val="76AA29C3"/>
    <w:rsid w:val="773109EF"/>
    <w:rsid w:val="77476464"/>
    <w:rsid w:val="776B2153"/>
    <w:rsid w:val="776C593C"/>
    <w:rsid w:val="77B138D3"/>
    <w:rsid w:val="78574485"/>
    <w:rsid w:val="78B43685"/>
    <w:rsid w:val="79181A11"/>
    <w:rsid w:val="79314CD6"/>
    <w:rsid w:val="79CF0EF5"/>
    <w:rsid w:val="7A074F0E"/>
    <w:rsid w:val="7AFF4CF5"/>
    <w:rsid w:val="7BE81275"/>
    <w:rsid w:val="7E355268"/>
    <w:rsid w:val="7E48597D"/>
    <w:rsid w:val="7E5C594E"/>
    <w:rsid w:val="7F0546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4279</Words>
  <Characters>5298</Characters>
  <Lines>0</Lines>
  <Paragraphs>0</Paragraphs>
  <TotalTime>10</TotalTime>
  <ScaleCrop>false</ScaleCrop>
  <LinksUpToDate>false</LinksUpToDate>
  <CharactersWithSpaces>6084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Administrator</cp:lastModifiedBy>
  <dcterms:modified xsi:type="dcterms:W3CDTF">2024-06-03T08:12:04Z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4BC5933AB6834B0B8C870008CCE034AB_13</vt:lpwstr>
  </property>
</Properties>
</file>