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pPr>
      <w:r>
        <w:rPr>
          <w:rFonts w:hint="eastAsia" w:ascii="宋体" w:hAnsi="宋体" w:eastAsia="宋体" w:cs="宋体"/>
          <w:bCs/>
          <w:sz w:val="28"/>
          <w:szCs w:val="28"/>
        </w:rPr>
        <w:t>附件2</w:t>
      </w:r>
    </w:p>
    <w:p>
      <w:pPr>
        <w:spacing w:line="56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 xml:space="preserve"> </w:t>
      </w:r>
      <w:r>
        <w:rPr>
          <w:rFonts w:hint="eastAsia" w:ascii="方正小标宋简体" w:hAnsi="方正小标宋简体" w:eastAsia="方正小标宋简体" w:cs="方正小标宋简体"/>
          <w:b/>
          <w:sz w:val="44"/>
          <w:szCs w:val="44"/>
        </w:rPr>
        <w:t>兴国县杰村乡卫生院2</w:t>
      </w:r>
      <w:r>
        <w:rPr>
          <w:rFonts w:hint="eastAsia" w:ascii="方正小标宋简体" w:hAnsi="方正小标宋简体" w:eastAsia="方正小标宋简体" w:cs="方正小标宋简体"/>
          <w:bCs/>
          <w:sz w:val="44"/>
          <w:szCs w:val="44"/>
        </w:rPr>
        <w:t>023年单位预算</w:t>
      </w: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编制说明</w:t>
      </w:r>
    </w:p>
    <w:p>
      <w:pPr>
        <w:spacing w:line="560" w:lineRule="exact"/>
        <w:jc w:val="center"/>
        <w:rPr>
          <w:rFonts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ascii="黑体" w:hAnsi="黑体" w:eastAsia="黑体" w:cs="黑体"/>
          <w:sz w:val="32"/>
          <w:szCs w:val="32"/>
        </w:rPr>
      </w:pP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 兴国县杰村乡卫生院位概况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一、单位主要职责</w:t>
      </w:r>
    </w:p>
    <w:p>
      <w:pPr>
        <w:numPr>
          <w:ilvl w:val="0"/>
          <w:numId w:val="1"/>
        </w:num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单位基本情况</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第二部分 兴国县杰村乡卫生院预算情况说明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一、2023年预算收支情况说明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二、2023年“三公”经费预算情况说明</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 兴国县杰村乡卫生院预算表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firstLine="640" w:firstLineChars="200"/>
      </w:pPr>
      <w:r>
        <w:rPr>
          <w:rFonts w:hint="eastAsia" w:ascii="仿宋" w:hAnsi="仿宋" w:eastAsia="仿宋" w:cs="仿宋"/>
          <w:sz w:val="32"/>
          <w:szCs w:val="32"/>
        </w:rPr>
        <w:t>二、《单位收入总表》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三、《单位支出总表》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firstLine="640"/>
        <w:rPr>
          <w:rFonts w:ascii="仿宋" w:hAnsi="仿宋" w:eastAsia="仿宋" w:cs="仿宋"/>
          <w:sz w:val="32"/>
          <w:szCs w:val="32"/>
        </w:rPr>
      </w:pPr>
      <w:r>
        <w:rPr>
          <w:rFonts w:hint="eastAsia" w:ascii="仿宋" w:hAnsi="仿宋" w:eastAsia="仿宋" w:cs="仿宋"/>
          <w:sz w:val="32"/>
          <w:szCs w:val="32"/>
        </w:rPr>
        <w:t>九、《国有资本经营预算支出表》</w:t>
      </w:r>
    </w:p>
    <w:p>
      <w:pPr>
        <w:pStyle w:val="2"/>
        <w:ind w:firstLine="640"/>
      </w:pPr>
      <w:r>
        <w:rPr>
          <w:rFonts w:hint="eastAsia" w:ascii="仿宋" w:hAnsi="仿宋" w:eastAsia="仿宋" w:cs="仿宋"/>
        </w:rPr>
        <w:t>十、《项目支出绩效目标表》</w:t>
      </w:r>
    </w:p>
    <w:p>
      <w:pPr>
        <w:spacing w:line="560" w:lineRule="exact"/>
        <w:rPr>
          <w:rFonts w:ascii="仿宋" w:hAnsi="仿宋" w:eastAsia="仿宋" w:cs="仿宋"/>
          <w:b/>
          <w:bCs/>
          <w:sz w:val="32"/>
          <w:szCs w:val="32"/>
        </w:rPr>
      </w:pPr>
      <w:r>
        <w:rPr>
          <w:rFonts w:hint="eastAsia" w:ascii="仿宋" w:hAnsi="仿宋" w:eastAsia="仿宋" w:cs="仿宋"/>
          <w:b/>
          <w:bCs/>
          <w:sz w:val="32"/>
          <w:szCs w:val="32"/>
        </w:rPr>
        <w:t>第四部分 名词解释</w:t>
      </w:r>
    </w:p>
    <w:p>
      <w:pPr>
        <w:spacing w:line="400" w:lineRule="atLeast"/>
        <w:ind w:firstLine="640" w:firstLineChars="200"/>
        <w:jc w:val="center"/>
        <w:rPr>
          <w:rFonts w:ascii="黑体" w:hAnsi="黑体" w:eastAsia="黑体" w:cs="黑体"/>
          <w:sz w:val="32"/>
          <w:szCs w:val="32"/>
        </w:rPr>
      </w:pPr>
      <w:r>
        <w:rPr>
          <w:rFonts w:hint="eastAsia" w:ascii="黑体" w:hAnsi="黑体" w:eastAsia="黑体" w:cs="黑体"/>
          <w:sz w:val="32"/>
          <w:szCs w:val="32"/>
        </w:rPr>
        <w:t>第一部分 兴国县杰村乡卫生院概况</w:t>
      </w:r>
    </w:p>
    <w:p>
      <w:pPr>
        <w:spacing w:line="400" w:lineRule="atLeast"/>
        <w:ind w:firstLine="643" w:firstLineChars="200"/>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一、单位主要职责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24"/>
        </w:rPr>
      </w:pPr>
      <w:r>
        <w:rPr>
          <w:rFonts w:hint="eastAsia" w:ascii="仿宋" w:hAnsi="仿宋" w:eastAsia="仿宋" w:cs="仿宋"/>
          <w:sz w:val="32"/>
          <w:szCs w:val="32"/>
        </w:rPr>
        <w:t>兴国县杰村乡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乡卫生院应承担本乡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二、单位基本情况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2023年杰村乡卫生院单位内设科室10个，包括：内外科、儿科、妇产科、B超室、收费室、护理组、中医馆、财务室、公卫科、办公室。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编制人数小计21人,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行政编制人数0人,参照公务员管理的事业编制人数0人,全部补助事业编制人数0人,部分补助事业编制人数21人</w:t>
      </w:r>
      <w:r>
        <w:rPr>
          <w:rFonts w:hint="eastAsia" w:ascii="仿宋" w:hAnsi="仿宋" w:eastAsia="仿宋" w:cs="仿宋"/>
          <w:sz w:val="32"/>
          <w:szCs w:val="32"/>
          <w:lang w:eastAsia="zh-CN"/>
        </w:rPr>
        <w:t>。</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实有人数小计21人,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在职人数小计21人,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行政在职人数0人,参照公务员管理的事业单位在职人数0人,部分补助事业在职人数21人。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离休人数小计0人,退休人数小计6人,退职人员0人,遗属人数3人。</w:t>
      </w:r>
      <w:r>
        <w:rPr>
          <w:rFonts w:hint="eastAsia" w:ascii="仿宋" w:hAnsi="仿宋" w:eastAsia="仿宋" w:cs="仿宋"/>
          <w:sz w:val="32"/>
          <w:szCs w:val="32"/>
        </w:rPr>
        <w:fldChar w:fldCharType="end"/>
      </w:r>
    </w:p>
    <w:p>
      <w:pPr>
        <w:spacing w:line="400" w:lineRule="atLeast"/>
        <w:ind w:firstLine="640" w:firstLineChars="200"/>
        <w:rPr>
          <w:rFonts w:ascii="仿宋" w:hAnsi="仿宋" w:eastAsia="仿宋" w:cs="仿宋"/>
          <w:sz w:val="32"/>
          <w:szCs w:val="32"/>
        </w:rPr>
      </w:pPr>
    </w:p>
    <w:p>
      <w:pPr>
        <w:spacing w:line="400" w:lineRule="atLeast"/>
        <w:ind w:firstLine="640" w:firstLineChars="200"/>
        <w:jc w:val="center"/>
        <w:rPr>
          <w:rFonts w:ascii="黑体" w:hAnsi="黑体" w:eastAsia="黑体" w:cs="黑体"/>
          <w:sz w:val="32"/>
          <w:szCs w:val="32"/>
        </w:rPr>
      </w:pPr>
    </w:p>
    <w:p>
      <w:pPr>
        <w:pStyle w:val="2"/>
      </w:pPr>
    </w:p>
    <w:p>
      <w:pPr>
        <w:numPr>
          <w:ilvl w:val="0"/>
          <w:numId w:val="2"/>
        </w:numPr>
        <w:spacing w:line="400" w:lineRule="atLeast"/>
        <w:ind w:firstLine="640" w:firstLineChars="200"/>
        <w:jc w:val="center"/>
        <w:rPr>
          <w:rFonts w:ascii="黑体" w:hAnsi="黑体" w:eastAsia="黑体" w:cs="黑体"/>
          <w:sz w:val="32"/>
          <w:szCs w:val="32"/>
        </w:rPr>
      </w:pPr>
      <w:r>
        <w:rPr>
          <w:rFonts w:hint="eastAsia" w:ascii="黑体" w:hAnsi="黑体" w:eastAsia="黑体" w:cs="黑体"/>
          <w:sz w:val="32"/>
          <w:szCs w:val="32"/>
        </w:rPr>
        <w:t>兴国县杰村乡卫生院预算情况说明</w:t>
      </w:r>
    </w:p>
    <w:p>
      <w:pPr>
        <w:pStyle w:val="2"/>
      </w:pPr>
    </w:p>
    <w:p>
      <w:pPr>
        <w:spacing w:line="400" w:lineRule="atLeas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一、2023年单位预算收支情况说明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2023年本单位收入预算总额739.38</w:t>
      </w:r>
      <w:r>
        <w:rPr>
          <w:rFonts w:hint="eastAsia" w:ascii="仿宋" w:hAnsi="仿宋" w:eastAsia="仿宋" w:cs="仿宋"/>
          <w:sz w:val="32"/>
          <w:szCs w:val="32"/>
        </w:rPr>
        <w:t>万元，较上年预算安排增加64.81万元，增长9.60%。增减变化主要原因是：增加了医疗设备，人员培训到位，提升了医疗服务水平，医疗业务收入有增加的趋势。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其中：财政拨款收入172.13万元，较上年预算安排增加1.07万元；政府性基金预算收入0万元,较</w:t>
      </w:r>
      <w:r>
        <w:rPr>
          <w:rFonts w:hint="eastAsia" w:ascii="仿宋" w:hAnsi="仿宋" w:eastAsia="仿宋" w:cs="仿宋"/>
          <w:sz w:val="32"/>
          <w:szCs w:val="32"/>
          <w:lang w:eastAsia="zh-CN"/>
        </w:rPr>
        <w:t>上</w:t>
      </w:r>
      <w:r>
        <w:rPr>
          <w:rFonts w:hint="eastAsia" w:ascii="仿宋" w:hAnsi="仿宋" w:eastAsia="仿宋" w:cs="仿宋"/>
          <w:sz w:val="32"/>
          <w:szCs w:val="32"/>
        </w:rPr>
        <w:t>年预算安排增加0万元;教育收费资金收入0万元,较</w:t>
      </w:r>
      <w:r>
        <w:rPr>
          <w:rFonts w:hint="eastAsia" w:ascii="仿宋" w:hAnsi="仿宋" w:eastAsia="仿宋" w:cs="仿宋"/>
          <w:sz w:val="32"/>
          <w:szCs w:val="32"/>
          <w:lang w:eastAsia="zh-CN"/>
        </w:rPr>
        <w:t>上</w:t>
      </w:r>
      <w:r>
        <w:rPr>
          <w:rFonts w:hint="eastAsia" w:ascii="仿宋" w:hAnsi="仿宋" w:eastAsia="仿宋" w:cs="仿宋"/>
          <w:sz w:val="32"/>
          <w:szCs w:val="32"/>
        </w:rPr>
        <w:t>年预算安排增加0万元;事业收入567.25万元，较上年预算安排增加63.73万元。上级补助收入0万元,较上年预算安排增加0万元；其他收入0万元，较上年预算安排增加0万元。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2023年本单位支出预算总额739.38万元，较上年预算安排增加64.79万元，增长9.60%。增减变化主要原因是：医疗业务收入增加，人员工资及耗材成本增长。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按支出项目类别及经济分类科目划分：基本支出739.38万元，较上年预算安排增加64.79万元，其中：工资福利支出391.89万元，商品和服务支出141.64万元，对个人和家庭的补助2.35万元，资本性支出203.50万元，项目支出0万元，较上年预算安排增长0 万元，其中：工资福利支出0万元，商品和服务支出0万元，对个人和家庭的补助0万元，资本性支出0万元，其他相关支出0万元。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按支出功能分类科目划分：社会保障和就业支出26.05万元，较上年预算安排增加4.29万元，卫生健康支出708.33万元,较上年预算安排增加69.80万元;住房保障支出5.00万元,较上年预算安排减少9.30万元;其他支出0万元,较上年预算安排增加0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2023年本单位财政拨款（补助）支出预算172.13万元，占本年支出预算额的23.28%，较上年预算安排增加1.07万元，增长0.62%。增减变化主要原因是：工资增长。具体为：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按支出项目类别及经济分类科目划分：基本支出172.13万元，较上年预算安排增加1.07万元，其中：工资福利支出172.13万元，商品和服务支出0万元，对个人和家庭的补助 0万元，资本性支出0万元。项目支出0万元，较上年预算安排增加0万元，其中：工资福利支出0万元，商品和服务支出0万元，对个人和家庭的补助 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按支出功能分类科目划分：社会保障和就业支出26.05万元，较上年预算安排增加4.29万元;卫生健康支出146.08万元,较上年预算安排减少3.22万元;住房保障支出0万元,较上年预算安排增加0万元;其他支出0万元,较上年预算安排增加0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ascii="仿宋" w:hAnsi="仿宋" w:eastAsia="仿宋" w:cs="仿宋"/>
          <w:sz w:val="24"/>
        </w:rPr>
      </w:pPr>
      <w:r>
        <w:rPr>
          <w:rFonts w:hint="eastAsia" w:ascii="仿宋" w:hAnsi="仿宋" w:eastAsia="仿宋" w:cs="仿宋"/>
          <w:sz w:val="32"/>
          <w:szCs w:val="32"/>
        </w:rPr>
        <w:t>2023年本单位无使用政府性基金预算拨款安排的支出。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widowControl/>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本单位非行政（参公）单位，无机关运行经费。</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2023年单位政府采购总额218.50万元，其中：政府采购货物预算218.50万元、政府采购工程预算0万元、政府采购服务预算0万元。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截至2022年12月31日单位共有车辆2辆，其中：一般公务用车0辆、执法执勤用车0辆、特种专业技术用车2辆。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2023年本单位预算安排购置车辆0辆，安排购置单位价值200万元以上大型设备具为：无。</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2023年实行绩效目标管理的项目0个，涉及资金0万元。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（九）国有资本经营情况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本单位无使用国有资本经营预算拨款安排的支出。</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二、2023年“三公”经费预算情况说明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2023年兴国县杰村乡卫生院单位“三公”经费一般公共预算安排0万元。其中：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因公出国（境）费0万元，比上年增加0万元，主要原因是：与上年安排保持一致。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公务接待费0万元，比上年增加0万元，主要原因是：与上年安排保持一致。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公务用车运行维护费0万元，比上年增加0万元，主要原因是：与上年安排保持一致。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公务用车购置费0万元，比上年增加0万元，主要原因是：与上年安排保持一致。</w:t>
      </w:r>
    </w:p>
    <w:p>
      <w:pPr>
        <w:spacing w:line="400" w:lineRule="atLeast"/>
        <w:ind w:firstLine="640" w:firstLineChars="200"/>
        <w:jc w:val="center"/>
        <w:rPr>
          <w:rFonts w:ascii="黑体" w:hAnsi="黑体" w:eastAsia="黑体" w:cs="黑体"/>
          <w:sz w:val="32"/>
          <w:szCs w:val="32"/>
        </w:rPr>
      </w:pPr>
    </w:p>
    <w:p>
      <w:pPr>
        <w:spacing w:line="400" w:lineRule="atLeast"/>
        <w:ind w:firstLine="640" w:firstLineChars="200"/>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sectPr>
          <w:footerReference r:id="rId3" w:type="default"/>
          <w:pgSz w:w="11906" w:h="16838"/>
          <w:pgMar w:top="1587" w:right="1587" w:bottom="1587" w:left="1587" w:header="851" w:footer="992" w:gutter="0"/>
          <w:cols w:space="425" w:num="1"/>
          <w:docGrid w:type="lines" w:linePitch="312" w:charSpace="0"/>
        </w:sectPr>
      </w:pPr>
    </w:p>
    <w:p>
      <w:pPr>
        <w:spacing w:line="560" w:lineRule="exact"/>
        <w:ind w:firstLine="2240" w:firstLineChars="700"/>
        <w:rPr>
          <w:rFonts w:ascii="黑体" w:hAnsi="黑体" w:eastAsia="黑体" w:cs="黑体"/>
          <w:sz w:val="32"/>
          <w:szCs w:val="32"/>
        </w:rPr>
      </w:pPr>
      <w:r>
        <w:rPr>
          <w:rFonts w:hint="eastAsia" w:ascii="黑体" w:hAnsi="黑体" w:eastAsia="黑体" w:cs="黑体"/>
          <w:sz w:val="32"/>
          <w:szCs w:val="32"/>
        </w:rPr>
        <w:t>第三部分 兴国县杰村乡卫生院2023年预算表</w:t>
      </w:r>
    </w:p>
    <w:p>
      <w:pPr>
        <w:spacing w:line="560" w:lineRule="exact"/>
        <w:rPr>
          <w:rFonts w:ascii="仿宋" w:hAnsi="仿宋" w:eastAsia="仿宋" w:cs="仿宋"/>
          <w:sz w:val="32"/>
          <w:szCs w:val="32"/>
        </w:rPr>
      </w:pPr>
      <w:r>
        <w:rPr>
          <w:rFonts w:hint="eastAsia" w:ascii="仿宋" w:hAnsi="仿宋" w:eastAsia="仿宋" w:cs="仿宋"/>
          <w:sz w:val="32"/>
          <w:szCs w:val="32"/>
        </w:rPr>
        <w:t>一、《收支预算总表》</w:t>
      </w:r>
    </w:p>
    <w:tbl>
      <w:tblPr>
        <w:tblStyle w:val="5"/>
        <w:tblW w:w="4999" w:type="pct"/>
        <w:tblInd w:w="0" w:type="dxa"/>
        <w:tblLayout w:type="autofit"/>
        <w:tblCellMar>
          <w:top w:w="0" w:type="dxa"/>
          <w:left w:w="108" w:type="dxa"/>
          <w:bottom w:w="0" w:type="dxa"/>
          <w:right w:w="108" w:type="dxa"/>
        </w:tblCellMar>
      </w:tblPr>
      <w:tblGrid>
        <w:gridCol w:w="4412"/>
        <w:gridCol w:w="1517"/>
        <w:gridCol w:w="3230"/>
        <w:gridCol w:w="1521"/>
      </w:tblGrid>
      <w:tr>
        <w:tblPrEx>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widowControl/>
              <w:jc w:val="center"/>
              <w:textAlignment w:val="center"/>
              <w:rPr>
                <w:rFonts w:ascii="宋体" w:hAnsi="宋体" w:eastAsia="宋体" w:cs="宋体"/>
                <w:b/>
                <w:bCs/>
                <w:color w:val="000000"/>
                <w:sz w:val="40"/>
                <w:szCs w:val="40"/>
              </w:rPr>
            </w:pPr>
            <w:r>
              <w:rPr>
                <w:rFonts w:hint="eastAsia" w:ascii="宋体" w:hAnsi="宋体" w:eastAsia="宋体" w:cs="宋体"/>
                <w:b/>
                <w:bCs/>
                <w:color w:val="000000"/>
                <w:kern w:val="0"/>
                <w:sz w:val="36"/>
                <w:szCs w:val="36"/>
              </w:rPr>
              <w:t>收支预算总表</w:t>
            </w:r>
          </w:p>
        </w:tc>
      </w:tr>
      <w:tr>
        <w:tblPrEx>
          <w:tblCellMar>
            <w:top w:w="0" w:type="dxa"/>
            <w:left w:w="108" w:type="dxa"/>
            <w:bottom w:w="0" w:type="dxa"/>
            <w:right w:w="108" w:type="dxa"/>
          </w:tblCellMar>
        </w:tblPrEx>
        <w:trPr>
          <w:trHeight w:val="345" w:hRule="atLeast"/>
        </w:trPr>
        <w:tc>
          <w:tcPr>
            <w:tcW w:w="2066" w:type="pct"/>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[403032]兴国县杰村乡卫生院</w:t>
            </w:r>
          </w:p>
        </w:tc>
        <w:tc>
          <w:tcPr>
            <w:tcW w:w="710" w:type="pct"/>
            <w:tcBorders>
              <w:top w:val="nil"/>
              <w:left w:val="nil"/>
              <w:bottom w:val="nil"/>
              <w:right w:val="nil"/>
            </w:tcBorders>
            <w:shd w:val="clear" w:color="auto" w:fill="auto"/>
            <w:noWrap/>
            <w:vAlign w:val="bottom"/>
          </w:tcPr>
          <w:p>
            <w:pPr>
              <w:rPr>
                <w:rFonts w:ascii="Calibri" w:hAnsi="Calibri" w:cs="Calibri"/>
                <w:color w:val="000000"/>
                <w:sz w:val="20"/>
                <w:szCs w:val="20"/>
              </w:rPr>
            </w:pPr>
          </w:p>
        </w:tc>
        <w:tc>
          <w:tcPr>
            <w:tcW w:w="1512" w:type="pct"/>
            <w:tcBorders>
              <w:top w:val="nil"/>
              <w:left w:val="nil"/>
              <w:bottom w:val="nil"/>
              <w:right w:val="nil"/>
            </w:tcBorders>
            <w:shd w:val="clear" w:color="auto" w:fill="auto"/>
            <w:noWrap/>
            <w:vAlign w:val="bottom"/>
          </w:tcPr>
          <w:p>
            <w:pPr>
              <w:rPr>
                <w:rFonts w:ascii="Calibri" w:hAnsi="Calibri" w:cs="Calibri"/>
                <w:color w:val="000000"/>
                <w:sz w:val="20"/>
                <w:szCs w:val="20"/>
              </w:rPr>
            </w:pPr>
          </w:p>
        </w:tc>
        <w:tc>
          <w:tcPr>
            <w:tcW w:w="711" w:type="pct"/>
            <w:tcBorders>
              <w:top w:val="nil"/>
              <w:left w:val="nil"/>
              <w:bottom w:val="nil"/>
              <w:right w:val="nil"/>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15" w:hRule="atLeast"/>
        </w:trPr>
        <w:tc>
          <w:tcPr>
            <w:tcW w:w="27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收      入</w:t>
            </w:r>
          </w:p>
        </w:tc>
        <w:tc>
          <w:tcPr>
            <w:tcW w:w="222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支出</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预算数</w:t>
            </w: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项目(按支出功能科目类级)</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预算数</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一、财政拨款收入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172.13</w:t>
            </w: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社会保障和就业支出</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26.05</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（一）一般公共预算收入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172.13</w:t>
            </w: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卫生健康支出</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708.33</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（二）政府性基金预算收入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住房保障支出</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5.00</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（三）国有资本经营预算收入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二、教育收费资金收入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三、事业收入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567.25</w:t>
            </w: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四、事业单位经营收入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五、附属单位上缴收入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六、上级补助收入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七、其他收入</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本年收入合计</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739.38</w:t>
            </w: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本年支出合计</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739.38</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八、使用非财政拨款结余</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结转下年</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九、上年结转（结余）</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r>
      <w:tr>
        <w:tblPrEx>
          <w:tblCellMar>
            <w:top w:w="0" w:type="dxa"/>
            <w:left w:w="108" w:type="dxa"/>
            <w:bottom w:w="0" w:type="dxa"/>
            <w:right w:w="108" w:type="dxa"/>
          </w:tblCellMar>
        </w:tblPrEx>
        <w:trPr>
          <w:trHeight w:val="315" w:hRule="atLeast"/>
        </w:trPr>
        <w:tc>
          <w:tcPr>
            <w:tcW w:w="20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收入总计</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739.38</w:t>
            </w:r>
          </w:p>
        </w:tc>
        <w:tc>
          <w:tcPr>
            <w:tcW w:w="1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支出总计</w:t>
            </w:r>
          </w:p>
        </w:tc>
        <w:tc>
          <w:tcPr>
            <w:tcW w:w="71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739.38</w:t>
            </w:r>
          </w:p>
        </w:tc>
      </w:tr>
    </w:tbl>
    <w:p>
      <w:pPr>
        <w:pStyle w:val="2"/>
        <w:rPr>
          <w:rFonts w:ascii="仿宋" w:hAnsi="仿宋" w:eastAsia="仿宋" w:cs="仿宋"/>
        </w:rPr>
        <w:sectPr>
          <w:pgSz w:w="11906" w:h="16838"/>
          <w:pgMar w:top="720" w:right="720" w:bottom="720" w:left="720" w:header="851" w:footer="992" w:gutter="0"/>
          <w:cols w:space="425" w:num="1"/>
          <w:docGrid w:type="lines" w:linePitch="312" w:charSpace="0"/>
        </w:sectPr>
      </w:pPr>
    </w:p>
    <w:p>
      <w:pPr>
        <w:pStyle w:val="2"/>
        <w:numPr>
          <w:ilvl w:val="0"/>
          <w:numId w:val="3"/>
        </w:numPr>
        <w:rPr>
          <w:rFonts w:ascii="仿宋" w:hAnsi="仿宋" w:eastAsia="仿宋" w:cs="仿宋"/>
        </w:rPr>
      </w:pPr>
      <w:r>
        <w:rPr>
          <w:rFonts w:hint="eastAsia" w:ascii="仿宋" w:hAnsi="仿宋" w:eastAsia="仿宋" w:cs="仿宋"/>
        </w:rPr>
        <w:t>《</w:t>
      </w:r>
      <w:r>
        <w:rPr>
          <w:rFonts w:hint="eastAsia" w:ascii="仿宋" w:hAnsi="仿宋" w:eastAsia="仿宋" w:cs="仿宋"/>
          <w:lang w:val="en-US"/>
        </w:rPr>
        <w:t>单位</w:t>
      </w:r>
      <w:r>
        <w:rPr>
          <w:rFonts w:hint="eastAsia" w:ascii="仿宋" w:hAnsi="仿宋" w:eastAsia="仿宋" w:cs="仿宋"/>
        </w:rPr>
        <w:t>收入总表》</w:t>
      </w:r>
    </w:p>
    <w:tbl>
      <w:tblPr>
        <w:tblStyle w:val="5"/>
        <w:tblW w:w="5000" w:type="pct"/>
        <w:tblInd w:w="0" w:type="dxa"/>
        <w:tblLayout w:type="fixed"/>
        <w:tblCellMar>
          <w:top w:w="0" w:type="dxa"/>
          <w:left w:w="108" w:type="dxa"/>
          <w:bottom w:w="0" w:type="dxa"/>
          <w:right w:w="108" w:type="dxa"/>
        </w:tblCellMar>
      </w:tblPr>
      <w:tblGrid>
        <w:gridCol w:w="1485"/>
        <w:gridCol w:w="3915"/>
        <w:gridCol w:w="825"/>
        <w:gridCol w:w="390"/>
        <w:gridCol w:w="817"/>
        <w:gridCol w:w="843"/>
        <w:gridCol w:w="871"/>
        <w:gridCol w:w="962"/>
        <w:gridCol w:w="796"/>
        <w:gridCol w:w="871"/>
        <w:gridCol w:w="943"/>
        <w:gridCol w:w="621"/>
        <w:gridCol w:w="681"/>
        <w:gridCol w:w="666"/>
        <w:gridCol w:w="928"/>
      </w:tblGrid>
      <w:tr>
        <w:tblPrEx>
          <w:tblCellMar>
            <w:top w:w="0" w:type="dxa"/>
            <w:left w:w="108" w:type="dxa"/>
            <w:bottom w:w="0" w:type="dxa"/>
            <w:right w:w="108" w:type="dxa"/>
          </w:tblCellMar>
        </w:tblPrEx>
        <w:trPr>
          <w:trHeight w:val="340" w:hRule="atLeast"/>
        </w:trPr>
        <w:tc>
          <w:tcPr>
            <w:tcW w:w="5000" w:type="pct"/>
            <w:gridSpan w:val="15"/>
            <w:tcBorders>
              <w:top w:val="nil"/>
              <w:left w:val="nil"/>
              <w:bottom w:val="nil"/>
              <w:right w:val="nil"/>
            </w:tcBorders>
            <w:shd w:val="clear" w:color="auto" w:fill="auto"/>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36"/>
                <w:szCs w:val="36"/>
              </w:rPr>
              <w:t>单位收入总表</w:t>
            </w:r>
          </w:p>
        </w:tc>
      </w:tr>
      <w:tr>
        <w:tblPrEx>
          <w:tblCellMar>
            <w:top w:w="0" w:type="dxa"/>
            <w:left w:w="108" w:type="dxa"/>
            <w:bottom w:w="0" w:type="dxa"/>
            <w:right w:w="108" w:type="dxa"/>
          </w:tblCellMar>
        </w:tblPrEx>
        <w:trPr>
          <w:trHeight w:val="340" w:hRule="atLeast"/>
        </w:trPr>
        <w:tc>
          <w:tcPr>
            <w:tcW w:w="1993" w:type="pct"/>
            <w:gridSpan w:val="3"/>
            <w:tcBorders>
              <w:top w:val="nil"/>
              <w:left w:val="nil"/>
              <w:bottom w:val="nil"/>
              <w:right w:val="nil"/>
            </w:tcBorders>
            <w:shd w:val="clear" w:color="auto" w:fill="auto"/>
            <w:noWrap/>
            <w:vAlign w:val="center"/>
          </w:tcPr>
          <w:p>
            <w:pPr>
              <w:rPr>
                <w:rFonts w:ascii="Calibri" w:hAnsi="Calibri" w:cs="Calibri"/>
                <w:color w:val="000000"/>
                <w:sz w:val="20"/>
                <w:szCs w:val="20"/>
              </w:rPr>
            </w:pPr>
            <w:r>
              <w:rPr>
                <w:rFonts w:hint="eastAsia" w:ascii="宋体" w:hAnsi="宋体" w:eastAsia="宋体" w:cs="宋体"/>
                <w:color w:val="000000"/>
                <w:kern w:val="0"/>
                <w:sz w:val="20"/>
                <w:szCs w:val="20"/>
              </w:rPr>
              <w:t>[403032]兴国县杰村乡卫生院</w:t>
            </w:r>
          </w:p>
        </w:tc>
        <w:tc>
          <w:tcPr>
            <w:tcW w:w="124" w:type="pct"/>
            <w:tcBorders>
              <w:top w:val="nil"/>
              <w:left w:val="nil"/>
              <w:bottom w:val="nil"/>
              <w:right w:val="nil"/>
            </w:tcBorders>
            <w:shd w:val="clear" w:color="auto" w:fill="auto"/>
            <w:noWrap/>
            <w:vAlign w:val="bottom"/>
          </w:tcPr>
          <w:p>
            <w:pPr>
              <w:rPr>
                <w:rFonts w:ascii="Calibri" w:hAnsi="Calibri" w:cs="Calibri"/>
                <w:color w:val="000000"/>
                <w:sz w:val="20"/>
                <w:szCs w:val="20"/>
              </w:rPr>
            </w:pPr>
          </w:p>
        </w:tc>
        <w:tc>
          <w:tcPr>
            <w:tcW w:w="261" w:type="pct"/>
            <w:tcBorders>
              <w:top w:val="nil"/>
              <w:left w:val="nil"/>
              <w:bottom w:val="nil"/>
              <w:right w:val="nil"/>
            </w:tcBorders>
            <w:shd w:val="clear" w:color="auto" w:fill="auto"/>
            <w:noWrap/>
            <w:vAlign w:val="bottom"/>
          </w:tcPr>
          <w:p>
            <w:pPr>
              <w:rPr>
                <w:rFonts w:ascii="Calibri" w:hAnsi="Calibri" w:cs="Calibri"/>
                <w:color w:val="000000"/>
                <w:sz w:val="20"/>
                <w:szCs w:val="20"/>
              </w:rPr>
            </w:pPr>
          </w:p>
        </w:tc>
        <w:tc>
          <w:tcPr>
            <w:tcW w:w="269" w:type="pct"/>
            <w:tcBorders>
              <w:top w:val="nil"/>
              <w:left w:val="nil"/>
              <w:bottom w:val="nil"/>
              <w:right w:val="nil"/>
            </w:tcBorders>
            <w:shd w:val="clear" w:color="auto" w:fill="auto"/>
            <w:noWrap/>
            <w:vAlign w:val="bottom"/>
          </w:tcPr>
          <w:p>
            <w:pPr>
              <w:rPr>
                <w:rFonts w:ascii="Calibri" w:hAnsi="Calibri" w:cs="Calibri"/>
                <w:color w:val="000000"/>
                <w:sz w:val="20"/>
                <w:szCs w:val="20"/>
              </w:rPr>
            </w:pPr>
          </w:p>
        </w:tc>
        <w:tc>
          <w:tcPr>
            <w:tcW w:w="278" w:type="pct"/>
            <w:tcBorders>
              <w:top w:val="nil"/>
              <w:left w:val="nil"/>
              <w:bottom w:val="nil"/>
              <w:right w:val="nil"/>
            </w:tcBorders>
            <w:shd w:val="clear" w:color="auto" w:fill="auto"/>
            <w:noWrap/>
            <w:vAlign w:val="bottom"/>
          </w:tcPr>
          <w:p>
            <w:pPr>
              <w:rPr>
                <w:rFonts w:ascii="Calibri" w:hAnsi="Calibri" w:cs="Calibri"/>
                <w:color w:val="000000"/>
                <w:sz w:val="20"/>
                <w:szCs w:val="20"/>
              </w:rPr>
            </w:pPr>
          </w:p>
        </w:tc>
        <w:tc>
          <w:tcPr>
            <w:tcW w:w="308" w:type="pct"/>
            <w:tcBorders>
              <w:top w:val="nil"/>
              <w:left w:val="nil"/>
              <w:bottom w:val="nil"/>
              <w:right w:val="nil"/>
            </w:tcBorders>
            <w:shd w:val="clear" w:color="auto" w:fill="auto"/>
            <w:noWrap/>
            <w:vAlign w:val="bottom"/>
          </w:tcPr>
          <w:p>
            <w:pPr>
              <w:rPr>
                <w:rFonts w:ascii="Calibri" w:hAnsi="Calibri" w:cs="Calibri"/>
                <w:color w:val="000000"/>
                <w:sz w:val="20"/>
                <w:szCs w:val="20"/>
              </w:rPr>
            </w:pPr>
          </w:p>
        </w:tc>
        <w:tc>
          <w:tcPr>
            <w:tcW w:w="254" w:type="pct"/>
            <w:tcBorders>
              <w:top w:val="nil"/>
              <w:left w:val="nil"/>
              <w:bottom w:val="nil"/>
              <w:right w:val="nil"/>
            </w:tcBorders>
            <w:shd w:val="clear" w:color="auto" w:fill="auto"/>
            <w:noWrap/>
            <w:vAlign w:val="bottom"/>
          </w:tcPr>
          <w:p>
            <w:pPr>
              <w:rPr>
                <w:rFonts w:ascii="Calibri" w:hAnsi="Calibri" w:cs="Calibri"/>
                <w:color w:val="000000"/>
                <w:sz w:val="20"/>
                <w:szCs w:val="20"/>
              </w:rPr>
            </w:pPr>
          </w:p>
        </w:tc>
        <w:tc>
          <w:tcPr>
            <w:tcW w:w="278" w:type="pct"/>
            <w:tcBorders>
              <w:top w:val="nil"/>
              <w:left w:val="nil"/>
              <w:bottom w:val="nil"/>
              <w:right w:val="nil"/>
            </w:tcBorders>
            <w:shd w:val="clear" w:color="auto" w:fill="auto"/>
            <w:noWrap/>
            <w:vAlign w:val="bottom"/>
          </w:tcPr>
          <w:p>
            <w:pPr>
              <w:rPr>
                <w:rFonts w:ascii="Calibri" w:hAnsi="Calibri" w:cs="Calibri"/>
                <w:color w:val="000000"/>
                <w:sz w:val="20"/>
                <w:szCs w:val="20"/>
              </w:rPr>
            </w:pPr>
          </w:p>
        </w:tc>
        <w:tc>
          <w:tcPr>
            <w:tcW w:w="301" w:type="pct"/>
            <w:tcBorders>
              <w:top w:val="nil"/>
              <w:left w:val="nil"/>
              <w:bottom w:val="nil"/>
              <w:right w:val="nil"/>
            </w:tcBorders>
            <w:shd w:val="clear" w:color="auto" w:fill="auto"/>
            <w:noWrap/>
            <w:vAlign w:val="bottom"/>
          </w:tcPr>
          <w:p>
            <w:pPr>
              <w:rPr>
                <w:rFonts w:ascii="Calibri" w:hAnsi="Calibri" w:cs="Calibri"/>
                <w:color w:val="000000"/>
                <w:sz w:val="20"/>
                <w:szCs w:val="20"/>
              </w:rPr>
            </w:pPr>
          </w:p>
        </w:tc>
        <w:tc>
          <w:tcPr>
            <w:tcW w:w="198" w:type="pct"/>
            <w:tcBorders>
              <w:top w:val="nil"/>
              <w:left w:val="nil"/>
              <w:bottom w:val="nil"/>
              <w:right w:val="nil"/>
            </w:tcBorders>
            <w:shd w:val="clear" w:color="auto" w:fill="auto"/>
            <w:noWrap/>
            <w:vAlign w:val="bottom"/>
          </w:tcPr>
          <w:p>
            <w:pPr>
              <w:rPr>
                <w:rFonts w:ascii="Calibri" w:hAnsi="Calibri" w:cs="Calibri"/>
                <w:color w:val="000000"/>
                <w:sz w:val="20"/>
                <w:szCs w:val="20"/>
              </w:rPr>
            </w:pPr>
          </w:p>
        </w:tc>
        <w:tc>
          <w:tcPr>
            <w:tcW w:w="728" w:type="pct"/>
            <w:gridSpan w:val="3"/>
            <w:tcBorders>
              <w:top w:val="nil"/>
              <w:left w:val="nil"/>
              <w:bottom w:val="nil"/>
              <w:right w:val="nil"/>
            </w:tcBorders>
            <w:shd w:val="clear" w:color="auto" w:fill="auto"/>
            <w:noWrap/>
            <w:vAlign w:val="bottom"/>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47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功能科目</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编码</w:t>
            </w:r>
          </w:p>
        </w:tc>
        <w:tc>
          <w:tcPr>
            <w:tcW w:w="125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功能科目名称</w:t>
            </w:r>
          </w:p>
        </w:tc>
        <w:tc>
          <w:tcPr>
            <w:tcW w:w="264"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合计</w:t>
            </w:r>
          </w:p>
        </w:tc>
        <w:tc>
          <w:tcPr>
            <w:tcW w:w="1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上年结转</w:t>
            </w:r>
          </w:p>
        </w:tc>
        <w:tc>
          <w:tcPr>
            <w:tcW w:w="111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财政拨款</w:t>
            </w:r>
          </w:p>
        </w:tc>
        <w:tc>
          <w:tcPr>
            <w:tcW w:w="254" w:type="pct"/>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教育收费资金收入</w:t>
            </w:r>
          </w:p>
        </w:tc>
        <w:tc>
          <w:tcPr>
            <w:tcW w:w="278" w:type="pct"/>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事业</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收入</w:t>
            </w:r>
          </w:p>
        </w:tc>
        <w:tc>
          <w:tcPr>
            <w:tcW w:w="301" w:type="pct"/>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事业单位经营收入</w:t>
            </w:r>
          </w:p>
        </w:tc>
        <w:tc>
          <w:tcPr>
            <w:tcW w:w="198" w:type="pct"/>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附属单位上缴收入</w:t>
            </w:r>
          </w:p>
        </w:tc>
        <w:tc>
          <w:tcPr>
            <w:tcW w:w="218" w:type="pct"/>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上级补助收入</w:t>
            </w:r>
          </w:p>
        </w:tc>
        <w:tc>
          <w:tcPr>
            <w:tcW w:w="213" w:type="pct"/>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其他收入</w:t>
            </w:r>
          </w:p>
        </w:tc>
        <w:tc>
          <w:tcPr>
            <w:tcW w:w="29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使用非财政拨款结余</w:t>
            </w:r>
          </w:p>
        </w:tc>
      </w:tr>
      <w:tr>
        <w:tblPrEx>
          <w:tblCellMar>
            <w:top w:w="0" w:type="dxa"/>
            <w:left w:w="108" w:type="dxa"/>
            <w:bottom w:w="0" w:type="dxa"/>
            <w:right w:w="108" w:type="dxa"/>
          </w:tblCellMar>
        </w:tblPrEx>
        <w:trPr>
          <w:trHeight w:val="340" w:hRule="atLeast"/>
        </w:trPr>
        <w:tc>
          <w:tcPr>
            <w:tcW w:w="47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12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264"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1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小计</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一般公共预算拨款收入</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政府性基金预算拨款收入</w:t>
            </w:r>
          </w:p>
        </w:tc>
        <w:tc>
          <w:tcPr>
            <w:tcW w:w="30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国有资本经营预算收入</w:t>
            </w:r>
          </w:p>
        </w:tc>
        <w:tc>
          <w:tcPr>
            <w:tcW w:w="25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ascii="宋体" w:hAnsi="宋体" w:eastAsia="宋体" w:cs="宋体"/>
                <w:color w:val="000000"/>
                <w:sz w:val="20"/>
                <w:szCs w:val="20"/>
              </w:rPr>
            </w:pPr>
          </w:p>
        </w:tc>
        <w:tc>
          <w:tcPr>
            <w:tcW w:w="27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ascii="宋体" w:hAnsi="宋体" w:eastAsia="宋体" w:cs="宋体"/>
                <w:color w:val="000000"/>
                <w:sz w:val="20"/>
                <w:szCs w:val="20"/>
              </w:rPr>
            </w:pPr>
          </w:p>
        </w:tc>
        <w:tc>
          <w:tcPr>
            <w:tcW w:w="30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ascii="宋体" w:hAnsi="宋体" w:eastAsia="宋体" w:cs="宋体"/>
                <w:color w:val="000000"/>
                <w:sz w:val="20"/>
                <w:szCs w:val="20"/>
              </w:rPr>
            </w:pPr>
          </w:p>
        </w:tc>
        <w:tc>
          <w:tcPr>
            <w:tcW w:w="19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ascii="宋体" w:hAnsi="宋体" w:eastAsia="宋体" w:cs="宋体"/>
                <w:color w:val="000000"/>
                <w:sz w:val="20"/>
                <w:szCs w:val="20"/>
              </w:rPr>
            </w:pPr>
          </w:p>
        </w:tc>
        <w:tc>
          <w:tcPr>
            <w:tcW w:w="21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ascii="宋体" w:hAnsi="宋体" w:eastAsia="宋体" w:cs="宋体"/>
                <w:color w:val="000000"/>
                <w:sz w:val="20"/>
                <w:szCs w:val="20"/>
              </w:rPr>
            </w:pPr>
          </w:p>
        </w:tc>
        <w:tc>
          <w:tcPr>
            <w:tcW w:w="21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ascii="宋体" w:hAnsi="宋体" w:eastAsia="宋体" w:cs="宋体"/>
                <w:color w:val="000000"/>
                <w:sz w:val="20"/>
                <w:szCs w:val="20"/>
              </w:rPr>
            </w:pPr>
          </w:p>
        </w:tc>
        <w:tc>
          <w:tcPr>
            <w:tcW w:w="29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r>
      <w:tr>
        <w:tblPrEx>
          <w:tblCellMar>
            <w:top w:w="0" w:type="dxa"/>
            <w:left w:w="108" w:type="dxa"/>
            <w:bottom w:w="0" w:type="dxa"/>
            <w:right w:w="108" w:type="dxa"/>
          </w:tblCellMar>
        </w:tblPrEx>
        <w:trPr>
          <w:trHeight w:val="340" w:hRule="atLeast"/>
        </w:trPr>
        <w:tc>
          <w:tcPr>
            <w:tcW w:w="475"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w:t>
            </w:r>
          </w:p>
        </w:tc>
        <w:tc>
          <w:tcPr>
            <w:tcW w:w="1253"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w:t>
            </w:r>
          </w:p>
        </w:tc>
        <w:tc>
          <w:tcPr>
            <w:tcW w:w="264"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124"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261"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c>
          <w:tcPr>
            <w:tcW w:w="269"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w:t>
            </w: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w:t>
            </w:r>
          </w:p>
        </w:tc>
        <w:tc>
          <w:tcPr>
            <w:tcW w:w="308"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254"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c>
          <w:tcPr>
            <w:tcW w:w="278"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w:t>
            </w:r>
          </w:p>
        </w:tc>
        <w:tc>
          <w:tcPr>
            <w:tcW w:w="301"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w:t>
            </w:r>
          </w:p>
        </w:tc>
        <w:tc>
          <w:tcPr>
            <w:tcW w:w="198"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w:t>
            </w:r>
          </w:p>
        </w:tc>
        <w:tc>
          <w:tcPr>
            <w:tcW w:w="218"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w:t>
            </w:r>
          </w:p>
        </w:tc>
        <w:tc>
          <w:tcPr>
            <w:tcW w:w="213"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w:t>
            </w:r>
          </w:p>
        </w:tc>
        <w:tc>
          <w:tcPr>
            <w:tcW w:w="297"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w:t>
            </w:r>
          </w:p>
        </w:tc>
      </w:tr>
      <w:tr>
        <w:tblPrEx>
          <w:tblCellMar>
            <w:top w:w="0" w:type="dxa"/>
            <w:left w:w="108" w:type="dxa"/>
            <w:bottom w:w="0" w:type="dxa"/>
            <w:right w:w="108" w:type="dxa"/>
          </w:tblCellMar>
        </w:tblPrEx>
        <w:trPr>
          <w:trHeight w:val="3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合计</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739.38</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172.13</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172.13</w:t>
            </w: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567.25</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r>
      <w:tr>
        <w:tblPrEx>
          <w:tblCellMar>
            <w:top w:w="0" w:type="dxa"/>
            <w:left w:w="108" w:type="dxa"/>
            <w:bottom w:w="0" w:type="dxa"/>
            <w:right w:w="108" w:type="dxa"/>
          </w:tblCellMar>
        </w:tblPrEx>
        <w:trPr>
          <w:trHeight w:val="3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208</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社会保障和就业支出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30.06</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26.05</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26.05</w:t>
            </w: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4.01</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r>
      <w:tr>
        <w:tblPrEx>
          <w:tblCellMar>
            <w:top w:w="0" w:type="dxa"/>
            <w:left w:w="108" w:type="dxa"/>
            <w:bottom w:w="0" w:type="dxa"/>
            <w:right w:w="108" w:type="dxa"/>
          </w:tblCellMar>
        </w:tblPrEx>
        <w:trPr>
          <w:trHeight w:val="3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05</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行政事业单位养老支出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30.06</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26.05</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26.05</w:t>
            </w: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4.01</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r>
      <w:tr>
        <w:tblPrEx>
          <w:tblCellMar>
            <w:top w:w="0" w:type="dxa"/>
            <w:left w:w="108" w:type="dxa"/>
            <w:bottom w:w="0" w:type="dxa"/>
            <w:right w:w="108" w:type="dxa"/>
          </w:tblCellMar>
        </w:tblPrEx>
        <w:trPr>
          <w:trHeight w:val="3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2080505</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机关事业单位基本养老保险缴费支出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18.97</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18.97</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18.97</w:t>
            </w: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bookmarkStart w:id="0" w:name="_GoBack"/>
            <w:bookmarkEnd w:id="0"/>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r>
      <w:tr>
        <w:tblPrEx>
          <w:tblCellMar>
            <w:top w:w="0" w:type="dxa"/>
            <w:left w:w="108" w:type="dxa"/>
            <w:bottom w:w="0" w:type="dxa"/>
            <w:right w:w="108" w:type="dxa"/>
          </w:tblCellMar>
        </w:tblPrEx>
        <w:trPr>
          <w:trHeight w:val="3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2080506</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机关事业单位职业年金缴费支出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11.09</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7.08</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7.08</w:t>
            </w: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4.01</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r>
      <w:tr>
        <w:tblPrEx>
          <w:tblCellMar>
            <w:top w:w="0" w:type="dxa"/>
            <w:left w:w="108" w:type="dxa"/>
            <w:bottom w:w="0" w:type="dxa"/>
            <w:right w:w="108" w:type="dxa"/>
          </w:tblCellMar>
        </w:tblPrEx>
        <w:trPr>
          <w:trHeight w:val="3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210</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卫生健康支出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682.17</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146.08</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146.08</w:t>
            </w: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536.09</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r>
      <w:tr>
        <w:tblPrEx>
          <w:tblCellMar>
            <w:top w:w="0" w:type="dxa"/>
            <w:left w:w="108" w:type="dxa"/>
            <w:bottom w:w="0" w:type="dxa"/>
            <w:right w:w="108" w:type="dxa"/>
          </w:tblCellMar>
        </w:tblPrEx>
        <w:trPr>
          <w:trHeight w:val="3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03</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基层医疗卫生机构</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676.03</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139.95</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139.95</w:t>
            </w: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536.09</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r>
      <w:tr>
        <w:tblPrEx>
          <w:tblCellMar>
            <w:top w:w="0" w:type="dxa"/>
            <w:left w:w="108" w:type="dxa"/>
            <w:bottom w:w="0" w:type="dxa"/>
            <w:right w:w="108" w:type="dxa"/>
          </w:tblCellMar>
        </w:tblPrEx>
        <w:trPr>
          <w:trHeight w:val="3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2100302</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乡镇卫生院</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676.03</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139.95</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139.95</w:t>
            </w: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536.09</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r>
      <w:tr>
        <w:tblPrEx>
          <w:tblCellMar>
            <w:top w:w="0" w:type="dxa"/>
            <w:left w:w="108" w:type="dxa"/>
            <w:bottom w:w="0" w:type="dxa"/>
            <w:right w:w="108" w:type="dxa"/>
          </w:tblCellMar>
        </w:tblPrEx>
        <w:trPr>
          <w:trHeight w:val="3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11</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行政事业单位医疗</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6.13</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6.13</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6.13</w:t>
            </w: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r>
      <w:tr>
        <w:tblPrEx>
          <w:tblCellMar>
            <w:top w:w="0" w:type="dxa"/>
            <w:left w:w="108" w:type="dxa"/>
            <w:bottom w:w="0" w:type="dxa"/>
            <w:right w:w="108" w:type="dxa"/>
          </w:tblCellMar>
        </w:tblPrEx>
        <w:trPr>
          <w:trHeight w:val="3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2101102</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事业单位医疗</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6.13</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6.13</w:t>
            </w: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6.13</w:t>
            </w: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r>
      <w:tr>
        <w:tblPrEx>
          <w:tblCellMar>
            <w:top w:w="0" w:type="dxa"/>
            <w:left w:w="108" w:type="dxa"/>
            <w:bottom w:w="0" w:type="dxa"/>
            <w:right w:w="108" w:type="dxa"/>
          </w:tblCellMar>
        </w:tblPrEx>
        <w:trPr>
          <w:trHeight w:val="3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221</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住房保障支出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27.16</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27.16</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r>
      <w:tr>
        <w:tblPrEx>
          <w:tblCellMar>
            <w:top w:w="0" w:type="dxa"/>
            <w:left w:w="108" w:type="dxa"/>
            <w:bottom w:w="0" w:type="dxa"/>
            <w:right w:w="108" w:type="dxa"/>
          </w:tblCellMar>
        </w:tblPrEx>
        <w:trPr>
          <w:trHeight w:val="3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02</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住房改革支出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27.16</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27.16</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r>
      <w:tr>
        <w:tblPrEx>
          <w:tblCellMar>
            <w:top w:w="0" w:type="dxa"/>
            <w:left w:w="108" w:type="dxa"/>
            <w:bottom w:w="0" w:type="dxa"/>
            <w:right w:w="108" w:type="dxa"/>
          </w:tblCellMar>
        </w:tblPrEx>
        <w:trPr>
          <w:trHeight w:val="34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2210201</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住房公积金</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27.16</w:t>
            </w:r>
          </w:p>
        </w:tc>
        <w:tc>
          <w:tcPr>
            <w:tcW w:w="12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6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6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3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27.16</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29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r>
    </w:tbl>
    <w:p>
      <w:pPr>
        <w:pStyle w:val="2"/>
        <w:rPr>
          <w:rFonts w:ascii="仿宋" w:hAnsi="仿宋" w:eastAsia="仿宋" w:cs="仿宋"/>
        </w:rPr>
        <w:sectPr>
          <w:pgSz w:w="16838" w:h="11906" w:orient="landscape"/>
          <w:pgMar w:top="720" w:right="720" w:bottom="720" w:left="720" w:header="851" w:footer="992" w:gutter="0"/>
          <w:cols w:space="425" w:num="1"/>
          <w:docGrid w:type="lines" w:linePitch="312" w:charSpace="0"/>
        </w:sectPr>
      </w:pPr>
    </w:p>
    <w:p>
      <w:pPr>
        <w:numPr>
          <w:ilvl w:val="0"/>
          <w:numId w:val="3"/>
        </w:numPr>
        <w:spacing w:line="560" w:lineRule="exact"/>
        <w:rPr>
          <w:rFonts w:ascii="仿宋" w:hAnsi="仿宋" w:eastAsia="仿宋" w:cs="仿宋"/>
          <w:sz w:val="32"/>
          <w:szCs w:val="32"/>
        </w:rPr>
      </w:pPr>
      <w:r>
        <w:rPr>
          <w:rFonts w:hint="eastAsia" w:ascii="仿宋" w:hAnsi="仿宋" w:eastAsia="仿宋" w:cs="仿宋"/>
          <w:sz w:val="32"/>
          <w:szCs w:val="32"/>
        </w:rPr>
        <w:t>《单位支出总表》</w:t>
      </w:r>
    </w:p>
    <w:tbl>
      <w:tblPr>
        <w:tblStyle w:val="5"/>
        <w:tblW w:w="5000" w:type="pct"/>
        <w:tblInd w:w="0" w:type="dxa"/>
        <w:tblLayout w:type="fixed"/>
        <w:tblCellMar>
          <w:top w:w="0" w:type="dxa"/>
          <w:left w:w="108" w:type="dxa"/>
          <w:bottom w:w="0" w:type="dxa"/>
          <w:right w:w="108" w:type="dxa"/>
        </w:tblCellMar>
      </w:tblPr>
      <w:tblGrid>
        <w:gridCol w:w="3337"/>
        <w:gridCol w:w="3901"/>
        <w:gridCol w:w="1019"/>
        <w:gridCol w:w="1333"/>
        <w:gridCol w:w="1092"/>
      </w:tblGrid>
      <w:tr>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widowControl/>
              <w:jc w:val="center"/>
              <w:textAlignment w:val="center"/>
              <w:rPr>
                <w:rFonts w:ascii="宋体" w:hAnsi="宋体" w:eastAsia="宋体" w:cs="宋体"/>
                <w:b/>
                <w:bCs/>
                <w:color w:val="000000"/>
                <w:sz w:val="44"/>
                <w:szCs w:val="44"/>
              </w:rPr>
            </w:pPr>
            <w:r>
              <w:rPr>
                <w:rFonts w:hint="eastAsia" w:ascii="宋体" w:hAnsi="宋体" w:eastAsia="宋体" w:cs="宋体"/>
                <w:b/>
                <w:bCs/>
                <w:color w:val="000000"/>
                <w:kern w:val="0"/>
                <w:sz w:val="36"/>
                <w:szCs w:val="36"/>
              </w:rPr>
              <w:t>单位支出总表</w:t>
            </w:r>
          </w:p>
        </w:tc>
      </w:tr>
      <w:tr>
        <w:tblPrEx>
          <w:tblCellMar>
            <w:top w:w="0" w:type="dxa"/>
            <w:left w:w="108" w:type="dxa"/>
            <w:bottom w:w="0" w:type="dxa"/>
            <w:right w:w="108" w:type="dxa"/>
          </w:tblCellMar>
        </w:tblPrEx>
        <w:trPr>
          <w:trHeight w:val="420" w:hRule="atLeast"/>
        </w:trPr>
        <w:tc>
          <w:tcPr>
            <w:tcW w:w="3388" w:type="pct"/>
            <w:gridSpan w:val="2"/>
            <w:tcBorders>
              <w:top w:val="nil"/>
              <w:left w:val="nil"/>
              <w:bottom w:val="nil"/>
              <w:right w:val="nil"/>
            </w:tcBorders>
            <w:shd w:val="clear" w:color="auto" w:fill="auto"/>
            <w:noWrap/>
            <w:vAlign w:val="center"/>
          </w:tcPr>
          <w:p>
            <w:pPr>
              <w:rPr>
                <w:rFonts w:ascii="宋体" w:hAnsi="宋体" w:eastAsia="宋体" w:cs="宋体"/>
                <w:color w:val="000000"/>
                <w:sz w:val="20"/>
                <w:szCs w:val="20"/>
              </w:rPr>
            </w:pPr>
            <w:r>
              <w:rPr>
                <w:rFonts w:hint="eastAsia" w:ascii="宋体" w:hAnsi="宋体" w:eastAsia="宋体" w:cs="宋体"/>
                <w:color w:val="000000"/>
                <w:kern w:val="0"/>
                <w:sz w:val="20"/>
                <w:szCs w:val="20"/>
              </w:rPr>
              <w:t>[403032]兴国县杰村乡卫生院</w:t>
            </w:r>
          </w:p>
        </w:tc>
        <w:tc>
          <w:tcPr>
            <w:tcW w:w="477" w:type="pct"/>
            <w:tcBorders>
              <w:top w:val="nil"/>
              <w:left w:val="nil"/>
              <w:bottom w:val="nil"/>
              <w:right w:val="nil"/>
            </w:tcBorders>
            <w:shd w:val="clear" w:color="auto" w:fill="auto"/>
            <w:noWrap/>
            <w:vAlign w:val="bottom"/>
          </w:tcPr>
          <w:p>
            <w:pPr>
              <w:rPr>
                <w:rFonts w:ascii="宋体" w:hAnsi="宋体" w:eastAsia="宋体" w:cs="宋体"/>
                <w:color w:val="000000"/>
                <w:sz w:val="20"/>
                <w:szCs w:val="20"/>
              </w:rPr>
            </w:pPr>
          </w:p>
        </w:tc>
        <w:tc>
          <w:tcPr>
            <w:tcW w:w="1134" w:type="pct"/>
            <w:gridSpan w:val="2"/>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20" w:hRule="atLeast"/>
        </w:trPr>
        <w:tc>
          <w:tcPr>
            <w:tcW w:w="338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支出功能分类科目</w:t>
            </w:r>
          </w:p>
        </w:tc>
        <w:tc>
          <w:tcPr>
            <w:tcW w:w="477" w:type="pct"/>
            <w:vMerge w:val="restart"/>
            <w:tcBorders>
              <w:top w:val="single" w:color="000000" w:sz="4" w:space="0"/>
              <w:left w:val="single" w:color="000000" w:sz="4" w:space="0"/>
              <w:bottom w:val="single" w:color="000000" w:sz="4" w:space="0"/>
              <w:right w:val="nil"/>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合计</w:t>
            </w:r>
          </w:p>
        </w:tc>
        <w:tc>
          <w:tcPr>
            <w:tcW w:w="624" w:type="pct"/>
            <w:vMerge w:val="restart"/>
            <w:tcBorders>
              <w:top w:val="single" w:color="000000" w:sz="4" w:space="0"/>
              <w:left w:val="single" w:color="000000" w:sz="4" w:space="0"/>
              <w:bottom w:val="single" w:color="000000" w:sz="4" w:space="0"/>
              <w:right w:val="nil"/>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基本支出</w:t>
            </w:r>
          </w:p>
        </w:tc>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项目支出</w:t>
            </w:r>
          </w:p>
        </w:tc>
      </w:tr>
      <w:tr>
        <w:tblPrEx>
          <w:tblCellMar>
            <w:top w:w="0" w:type="dxa"/>
            <w:left w:w="108" w:type="dxa"/>
            <w:bottom w:w="0" w:type="dxa"/>
            <w:right w:w="108" w:type="dxa"/>
          </w:tblCellMar>
        </w:tblPrEx>
        <w:trPr>
          <w:trHeight w:val="420" w:hRule="atLeast"/>
        </w:trPr>
        <w:tc>
          <w:tcPr>
            <w:tcW w:w="15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科目编码</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科目名称 </w:t>
            </w:r>
          </w:p>
        </w:tc>
        <w:tc>
          <w:tcPr>
            <w:tcW w:w="47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ascii="宋体" w:hAnsi="宋体" w:eastAsia="宋体" w:cs="宋体"/>
                <w:color w:val="000000"/>
                <w:sz w:val="20"/>
                <w:szCs w:val="20"/>
              </w:rPr>
            </w:pPr>
          </w:p>
        </w:tc>
        <w:tc>
          <w:tcPr>
            <w:tcW w:w="624"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ascii="宋体" w:hAnsi="宋体" w:eastAsia="宋体" w:cs="宋体"/>
                <w:color w:val="000000"/>
                <w:sz w:val="20"/>
                <w:szCs w:val="20"/>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r>
      <w:tr>
        <w:tblPrEx>
          <w:tblCellMar>
            <w:top w:w="0" w:type="dxa"/>
            <w:left w:w="108" w:type="dxa"/>
            <w:bottom w:w="0" w:type="dxa"/>
            <w:right w:w="108" w:type="dxa"/>
          </w:tblCellMar>
        </w:tblPrEx>
        <w:trPr>
          <w:trHeight w:val="420" w:hRule="atLeast"/>
        </w:trPr>
        <w:tc>
          <w:tcPr>
            <w:tcW w:w="1562" w:type="pct"/>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w:t>
            </w:r>
          </w:p>
        </w:tc>
        <w:tc>
          <w:tcPr>
            <w:tcW w:w="1825" w:type="pct"/>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w:t>
            </w:r>
          </w:p>
        </w:tc>
        <w:tc>
          <w:tcPr>
            <w:tcW w:w="477" w:type="pct"/>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624"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509"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r>
      <w:tr>
        <w:tblPrEx>
          <w:tblCellMar>
            <w:top w:w="0" w:type="dxa"/>
            <w:left w:w="108" w:type="dxa"/>
            <w:bottom w:w="0" w:type="dxa"/>
            <w:right w:w="108" w:type="dxa"/>
          </w:tblCellMar>
        </w:tblPrEx>
        <w:trPr>
          <w:trHeight w:val="540" w:hRule="atLeast"/>
        </w:trPr>
        <w:tc>
          <w:tcPr>
            <w:tcW w:w="15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合计</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739.38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739.38</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5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208</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社会保障和就业支出</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26.05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26.05</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5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05</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行政事业单位养老支出</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26.05</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26.05</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5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2080505</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机关事业单位基本养老保险缴费支出</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18.97</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18.97</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5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2080506</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机关事业单位职业年金缴费支出</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7.08</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7.08</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5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210</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卫生健康支出</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708.33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708.33</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5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03</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基层医疗卫生机构</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702.20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702.20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5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2100302</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乡镇卫生院</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702.20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702.20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5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11</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行政事业单位医疗</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6.13</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5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2101102</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事业单位医疗</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6.13</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6.13</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5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221</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住房保障支出</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5.00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5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02</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住房改革支出</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5.00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5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2210201</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住房公积金</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5.00</w:t>
            </w: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5.00</w:t>
            </w: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420" w:hRule="atLeast"/>
        </w:trPr>
        <w:tc>
          <w:tcPr>
            <w:tcW w:w="156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r>
    </w:tbl>
    <w:p>
      <w:pPr>
        <w:pStyle w:val="2"/>
        <w:rPr>
          <w:rFonts w:ascii="仿宋" w:hAnsi="仿宋" w:eastAsia="仿宋" w:cs="仿宋"/>
          <w:sz w:val="20"/>
          <w:szCs w:val="20"/>
        </w:rPr>
      </w:pPr>
    </w:p>
    <w:p>
      <w:pPr>
        <w:pStyle w:val="2"/>
        <w:rPr>
          <w:rFonts w:ascii="仿宋" w:hAnsi="仿宋" w:eastAsia="仿宋" w:cs="仿宋"/>
          <w:sz w:val="20"/>
          <w:szCs w:val="20"/>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numPr>
          <w:ilvl w:val="0"/>
          <w:numId w:val="3"/>
        </w:numPr>
        <w:spacing w:line="560" w:lineRule="exact"/>
        <w:rPr>
          <w:rFonts w:ascii="仿宋" w:hAnsi="仿宋" w:eastAsia="仿宋" w:cs="仿宋"/>
          <w:sz w:val="32"/>
          <w:szCs w:val="32"/>
        </w:rPr>
      </w:pPr>
      <w:r>
        <w:rPr>
          <w:rFonts w:hint="eastAsia" w:ascii="仿宋" w:hAnsi="仿宋" w:eastAsia="仿宋" w:cs="仿宋"/>
          <w:sz w:val="32"/>
          <w:szCs w:val="32"/>
        </w:rPr>
        <w:t>《财政拨款收支总表》</w:t>
      </w:r>
    </w:p>
    <w:tbl>
      <w:tblPr>
        <w:tblStyle w:val="5"/>
        <w:tblW w:w="5000" w:type="pct"/>
        <w:tblInd w:w="0" w:type="dxa"/>
        <w:tblLayout w:type="fixed"/>
        <w:tblCellMar>
          <w:top w:w="0" w:type="dxa"/>
          <w:left w:w="108" w:type="dxa"/>
          <w:bottom w:w="0" w:type="dxa"/>
          <w:right w:w="108" w:type="dxa"/>
        </w:tblCellMar>
      </w:tblPr>
      <w:tblGrid>
        <w:gridCol w:w="2755"/>
        <w:gridCol w:w="829"/>
        <w:gridCol w:w="2245"/>
        <w:gridCol w:w="1228"/>
        <w:gridCol w:w="1019"/>
        <w:gridCol w:w="1348"/>
        <w:gridCol w:w="1258"/>
      </w:tblGrid>
      <w:tr>
        <w:tblPrEx>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ascii="宋体" w:hAnsi="宋体" w:eastAsia="宋体" w:cs="宋体"/>
                <w:color w:val="000000"/>
                <w:sz w:val="24"/>
              </w:rPr>
            </w:pPr>
            <w:r>
              <w:rPr>
                <w:rFonts w:hint="eastAsia" w:ascii="宋体" w:hAnsi="宋体" w:eastAsia="宋体" w:cs="宋体"/>
                <w:b/>
                <w:bCs/>
                <w:color w:val="000000"/>
                <w:kern w:val="0"/>
                <w:sz w:val="36"/>
                <w:szCs w:val="36"/>
              </w:rPr>
              <w:t>财政拨款收支总表</w:t>
            </w:r>
          </w:p>
        </w:tc>
      </w:tr>
      <w:tr>
        <w:tblPrEx>
          <w:tblCellMar>
            <w:top w:w="0" w:type="dxa"/>
            <w:left w:w="108" w:type="dxa"/>
            <w:bottom w:w="0" w:type="dxa"/>
            <w:right w:w="108" w:type="dxa"/>
          </w:tblCellMar>
        </w:tblPrEx>
        <w:trPr>
          <w:trHeight w:val="345" w:hRule="atLeast"/>
        </w:trPr>
        <w:tc>
          <w:tcPr>
            <w:tcW w:w="2728" w:type="pct"/>
            <w:gridSpan w:val="3"/>
            <w:tcBorders>
              <w:top w:val="nil"/>
              <w:left w:val="nil"/>
              <w:bottom w:val="nil"/>
              <w:right w:val="nil"/>
            </w:tcBorders>
            <w:shd w:val="clear" w:color="auto" w:fill="auto"/>
            <w:noWrap/>
            <w:vAlign w:val="center"/>
          </w:tcPr>
          <w:p>
            <w:pPr>
              <w:rPr>
                <w:rFonts w:ascii="宋体" w:hAnsi="宋体" w:eastAsia="宋体" w:cs="宋体"/>
                <w:color w:val="000000"/>
                <w:sz w:val="20"/>
                <w:szCs w:val="20"/>
              </w:rPr>
            </w:pPr>
            <w:r>
              <w:rPr>
                <w:rFonts w:hint="eastAsia" w:ascii="宋体" w:hAnsi="宋体" w:eastAsia="宋体" w:cs="宋体"/>
                <w:color w:val="000000"/>
                <w:kern w:val="0"/>
                <w:sz w:val="20"/>
                <w:szCs w:val="20"/>
              </w:rPr>
              <w:t>[403032]兴国县杰村乡卫生院</w:t>
            </w:r>
          </w:p>
        </w:tc>
        <w:tc>
          <w:tcPr>
            <w:tcW w:w="575" w:type="pct"/>
            <w:tcBorders>
              <w:top w:val="nil"/>
              <w:left w:val="nil"/>
              <w:bottom w:val="nil"/>
              <w:right w:val="nil"/>
            </w:tcBorders>
            <w:shd w:val="clear" w:color="auto" w:fill="auto"/>
            <w:noWrap/>
            <w:vAlign w:val="bottom"/>
          </w:tcPr>
          <w:p>
            <w:pPr>
              <w:rPr>
                <w:rFonts w:ascii="宋体" w:hAnsi="宋体" w:eastAsia="宋体" w:cs="宋体"/>
                <w:color w:val="000000"/>
                <w:sz w:val="20"/>
                <w:szCs w:val="20"/>
              </w:rPr>
            </w:pPr>
          </w:p>
        </w:tc>
        <w:tc>
          <w:tcPr>
            <w:tcW w:w="477" w:type="pct"/>
            <w:tcBorders>
              <w:top w:val="nil"/>
              <w:left w:val="nil"/>
              <w:bottom w:val="nil"/>
              <w:right w:val="nil"/>
            </w:tcBorders>
            <w:shd w:val="clear" w:color="auto" w:fill="auto"/>
            <w:noWrap/>
            <w:vAlign w:val="bottom"/>
          </w:tcPr>
          <w:p>
            <w:pPr>
              <w:rPr>
                <w:rFonts w:ascii="宋体" w:hAnsi="宋体" w:eastAsia="宋体" w:cs="宋体"/>
                <w:color w:val="000000"/>
                <w:sz w:val="20"/>
                <w:szCs w:val="20"/>
              </w:rPr>
            </w:pPr>
          </w:p>
        </w:tc>
        <w:tc>
          <w:tcPr>
            <w:tcW w:w="631" w:type="pct"/>
            <w:tcBorders>
              <w:top w:val="nil"/>
              <w:left w:val="nil"/>
              <w:bottom w:val="nil"/>
              <w:right w:val="nil"/>
            </w:tcBorders>
            <w:shd w:val="clear" w:color="auto" w:fill="auto"/>
            <w:noWrap/>
            <w:vAlign w:val="center"/>
          </w:tcPr>
          <w:p>
            <w:pPr>
              <w:jc w:val="right"/>
              <w:rPr>
                <w:rFonts w:ascii="宋体" w:hAnsi="宋体" w:eastAsia="宋体" w:cs="宋体"/>
                <w:color w:val="000000"/>
                <w:sz w:val="20"/>
                <w:szCs w:val="20"/>
              </w:rPr>
            </w:pPr>
          </w:p>
        </w:tc>
        <w:tc>
          <w:tcPr>
            <w:tcW w:w="586" w:type="pct"/>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5"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收      入</w:t>
            </w:r>
          </w:p>
        </w:tc>
        <w:tc>
          <w:tcPr>
            <w:tcW w:w="332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支出 </w:t>
            </w:r>
          </w:p>
        </w:tc>
      </w:tr>
      <w:tr>
        <w:tblPrEx>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预算数</w:t>
            </w:r>
          </w:p>
        </w:tc>
        <w:tc>
          <w:tcPr>
            <w:tcW w:w="1050"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项目(按支出功能科目类级)</w:t>
            </w:r>
          </w:p>
        </w:tc>
        <w:tc>
          <w:tcPr>
            <w:tcW w:w="575"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合计</w:t>
            </w:r>
          </w:p>
        </w:tc>
        <w:tc>
          <w:tcPr>
            <w:tcW w:w="477"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一般公共预算支出</w:t>
            </w:r>
          </w:p>
        </w:tc>
        <w:tc>
          <w:tcPr>
            <w:tcW w:w="631"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政府性基金预算支出</w:t>
            </w: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国有资本经营预算支出</w:t>
            </w:r>
          </w:p>
        </w:tc>
      </w:tr>
      <w:tr>
        <w:tblPrEx>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一、财政拨款收入</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172.13</w:t>
            </w:r>
          </w:p>
        </w:tc>
        <w:tc>
          <w:tcPr>
            <w:tcW w:w="10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一、本年支出</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172.13</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172.13</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r>
        <w:tblPrEx>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一般公共预算拨款收入</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172.13</w:t>
            </w:r>
          </w:p>
        </w:tc>
        <w:tc>
          <w:tcPr>
            <w:tcW w:w="10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社会保障和就业支出</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26.05</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26.05</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政府性基金预算拨款收入</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10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卫生健康支出</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146.08</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146.08</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国有资本经营预算收入</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0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0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0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0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0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345"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eastAsia="宋体" w:cs="宋体"/>
                <w:color w:val="000000"/>
                <w:sz w:val="20"/>
                <w:szCs w:val="20"/>
              </w:rPr>
            </w:pPr>
          </w:p>
        </w:tc>
        <w:tc>
          <w:tcPr>
            <w:tcW w:w="10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630" w:hRule="atLeast"/>
        </w:trPr>
        <w:tc>
          <w:tcPr>
            <w:tcW w:w="12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收入总计</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172.13</w:t>
            </w:r>
          </w:p>
        </w:tc>
        <w:tc>
          <w:tcPr>
            <w:tcW w:w="10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支出总计</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172.13</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172.13</w:t>
            </w: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c>
          <w:tcPr>
            <w:tcW w:w="58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jc w:val="left"/>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 xml:space="preserve"> </w:t>
            </w:r>
          </w:p>
        </w:tc>
      </w:tr>
    </w:tbl>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numPr>
          <w:ilvl w:val="0"/>
          <w:numId w:val="3"/>
        </w:numPr>
        <w:spacing w:line="560" w:lineRule="exact"/>
        <w:rPr>
          <w:rFonts w:ascii="仿宋" w:hAnsi="仿宋" w:eastAsia="仿宋" w:cs="仿宋"/>
          <w:sz w:val="32"/>
          <w:szCs w:val="32"/>
        </w:rPr>
      </w:pPr>
      <w:r>
        <w:rPr>
          <w:rFonts w:hint="eastAsia" w:ascii="仿宋" w:hAnsi="仿宋" w:eastAsia="仿宋" w:cs="仿宋"/>
          <w:sz w:val="32"/>
          <w:szCs w:val="32"/>
        </w:rPr>
        <w:t>《一般公共预算支出表》</w:t>
      </w:r>
    </w:p>
    <w:tbl>
      <w:tblPr>
        <w:tblStyle w:val="5"/>
        <w:tblW w:w="5000" w:type="pct"/>
        <w:tblInd w:w="0" w:type="dxa"/>
        <w:tblLayout w:type="fixed"/>
        <w:tblCellMar>
          <w:top w:w="0" w:type="dxa"/>
          <w:left w:w="108" w:type="dxa"/>
          <w:bottom w:w="0" w:type="dxa"/>
          <w:right w:w="108" w:type="dxa"/>
        </w:tblCellMar>
      </w:tblPr>
      <w:tblGrid>
        <w:gridCol w:w="2756"/>
        <w:gridCol w:w="3779"/>
        <w:gridCol w:w="1278"/>
        <w:gridCol w:w="1540"/>
        <w:gridCol w:w="1329"/>
      </w:tblGrid>
      <w:tr>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widowControl/>
              <w:jc w:val="center"/>
              <w:textAlignment w:val="center"/>
              <w:rPr>
                <w:rFonts w:ascii="宋体" w:hAnsi="宋体" w:eastAsia="宋体" w:cs="宋体"/>
                <w:b/>
                <w:bCs/>
                <w:color w:val="000000"/>
                <w:sz w:val="44"/>
                <w:szCs w:val="44"/>
              </w:rPr>
            </w:pPr>
            <w:r>
              <w:rPr>
                <w:rFonts w:hint="eastAsia" w:ascii="宋体" w:hAnsi="宋体" w:eastAsia="宋体" w:cs="宋体"/>
                <w:b/>
                <w:bCs/>
                <w:color w:val="000000"/>
                <w:kern w:val="0"/>
                <w:sz w:val="36"/>
                <w:szCs w:val="36"/>
              </w:rPr>
              <w:t>一般公共预算支出表</w:t>
            </w:r>
          </w:p>
        </w:tc>
      </w:tr>
      <w:tr>
        <w:tblPrEx>
          <w:tblCellMar>
            <w:top w:w="0" w:type="dxa"/>
            <w:left w:w="108" w:type="dxa"/>
            <w:bottom w:w="0" w:type="dxa"/>
            <w:right w:w="108" w:type="dxa"/>
          </w:tblCellMar>
        </w:tblPrEx>
        <w:trPr>
          <w:trHeight w:val="420" w:hRule="atLeast"/>
        </w:trPr>
        <w:tc>
          <w:tcPr>
            <w:tcW w:w="3059" w:type="pct"/>
            <w:gridSpan w:val="2"/>
            <w:tcBorders>
              <w:top w:val="nil"/>
              <w:left w:val="nil"/>
              <w:bottom w:val="nil"/>
              <w:right w:val="nil"/>
            </w:tcBorders>
            <w:shd w:val="clear" w:color="auto" w:fill="auto"/>
            <w:noWrap/>
            <w:vAlign w:val="center"/>
          </w:tcPr>
          <w:p>
            <w:pPr>
              <w:rPr>
                <w:rFonts w:ascii="宋体" w:hAnsi="宋体" w:eastAsia="宋体" w:cs="宋体"/>
                <w:color w:val="000000"/>
                <w:sz w:val="20"/>
                <w:szCs w:val="20"/>
              </w:rPr>
            </w:pPr>
            <w:r>
              <w:rPr>
                <w:rFonts w:hint="eastAsia" w:ascii="宋体" w:hAnsi="宋体" w:eastAsia="宋体" w:cs="宋体"/>
                <w:color w:val="000000"/>
                <w:kern w:val="0"/>
                <w:sz w:val="20"/>
                <w:szCs w:val="20"/>
              </w:rPr>
              <w:t>[403032]兴国县杰村乡卫生院</w:t>
            </w:r>
          </w:p>
        </w:tc>
        <w:tc>
          <w:tcPr>
            <w:tcW w:w="598" w:type="pct"/>
            <w:tcBorders>
              <w:top w:val="nil"/>
              <w:left w:val="nil"/>
              <w:bottom w:val="nil"/>
              <w:right w:val="nil"/>
            </w:tcBorders>
            <w:shd w:val="clear" w:color="auto" w:fill="auto"/>
            <w:noWrap/>
            <w:vAlign w:val="bottom"/>
          </w:tcPr>
          <w:p>
            <w:pPr>
              <w:rPr>
                <w:rFonts w:ascii="宋体" w:hAnsi="宋体" w:eastAsia="宋体" w:cs="宋体"/>
                <w:color w:val="000000"/>
                <w:sz w:val="20"/>
                <w:szCs w:val="20"/>
              </w:rPr>
            </w:pPr>
          </w:p>
        </w:tc>
        <w:tc>
          <w:tcPr>
            <w:tcW w:w="1342" w:type="pct"/>
            <w:gridSpan w:val="2"/>
            <w:tcBorders>
              <w:top w:val="nil"/>
              <w:left w:val="nil"/>
              <w:bottom w:val="nil"/>
              <w:right w:val="nil"/>
            </w:tcBorders>
            <w:shd w:val="clear" w:color="auto" w:fill="auto"/>
            <w:noWrap/>
            <w:vAlign w:val="bottom"/>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5" w:hRule="atLeast"/>
        </w:trPr>
        <w:tc>
          <w:tcPr>
            <w:tcW w:w="30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支出功能分类科目</w:t>
            </w:r>
          </w:p>
        </w:tc>
        <w:tc>
          <w:tcPr>
            <w:tcW w:w="194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2023年预算数</w:t>
            </w:r>
          </w:p>
        </w:tc>
      </w:tr>
      <w:tr>
        <w:tblPrEx>
          <w:tblCellMar>
            <w:top w:w="0" w:type="dxa"/>
            <w:left w:w="108" w:type="dxa"/>
            <w:bottom w:w="0" w:type="dxa"/>
            <w:right w:w="108" w:type="dxa"/>
          </w:tblCellMar>
        </w:tblPrEx>
        <w:trPr>
          <w:trHeight w:val="420" w:hRule="atLeast"/>
        </w:trPr>
        <w:tc>
          <w:tcPr>
            <w:tcW w:w="1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科目编码</w:t>
            </w:r>
          </w:p>
        </w:tc>
        <w:tc>
          <w:tcPr>
            <w:tcW w:w="1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科目名称 </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合计</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基本支出</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项目支出</w:t>
            </w:r>
          </w:p>
        </w:tc>
      </w:tr>
      <w:tr>
        <w:tblPrEx>
          <w:tblCellMar>
            <w:top w:w="0" w:type="dxa"/>
            <w:left w:w="108" w:type="dxa"/>
            <w:bottom w:w="0" w:type="dxa"/>
            <w:right w:w="108" w:type="dxa"/>
          </w:tblCellMar>
        </w:tblPrEx>
        <w:trPr>
          <w:trHeight w:val="420" w:hRule="atLeast"/>
        </w:trPr>
        <w:tc>
          <w:tcPr>
            <w:tcW w:w="1290" w:type="pct"/>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w:t>
            </w:r>
          </w:p>
        </w:tc>
        <w:tc>
          <w:tcPr>
            <w:tcW w:w="1768" w:type="pct"/>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w:t>
            </w:r>
          </w:p>
        </w:tc>
        <w:tc>
          <w:tcPr>
            <w:tcW w:w="598"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721"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620"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r>
      <w:tr>
        <w:tblPrEx>
          <w:tblCellMar>
            <w:top w:w="0" w:type="dxa"/>
            <w:left w:w="108" w:type="dxa"/>
            <w:bottom w:w="0" w:type="dxa"/>
            <w:right w:w="108" w:type="dxa"/>
          </w:tblCellMar>
        </w:tblPrEx>
        <w:trPr>
          <w:trHeight w:val="570" w:hRule="atLeast"/>
        </w:trPr>
        <w:tc>
          <w:tcPr>
            <w:tcW w:w="1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1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合计</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172.13</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172.13</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70" w:hRule="atLeast"/>
        </w:trPr>
        <w:tc>
          <w:tcPr>
            <w:tcW w:w="1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208</w:t>
            </w:r>
          </w:p>
        </w:tc>
        <w:tc>
          <w:tcPr>
            <w:tcW w:w="1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社会保障和就业支出</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26.05</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26.05</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70" w:hRule="atLeast"/>
        </w:trPr>
        <w:tc>
          <w:tcPr>
            <w:tcW w:w="1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05</w:t>
            </w:r>
          </w:p>
        </w:tc>
        <w:tc>
          <w:tcPr>
            <w:tcW w:w="1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行政事业单位养老支出</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26.05</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26.05</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70" w:hRule="atLeast"/>
        </w:trPr>
        <w:tc>
          <w:tcPr>
            <w:tcW w:w="1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2080505</w:t>
            </w:r>
          </w:p>
        </w:tc>
        <w:tc>
          <w:tcPr>
            <w:tcW w:w="1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机关事业单位基本养老保险缴费支出</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18.97</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18.97</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70" w:hRule="atLeast"/>
        </w:trPr>
        <w:tc>
          <w:tcPr>
            <w:tcW w:w="1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2080506</w:t>
            </w:r>
          </w:p>
        </w:tc>
        <w:tc>
          <w:tcPr>
            <w:tcW w:w="1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机关事业单位职业年金缴费支出</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7.08</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7.08</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70" w:hRule="atLeast"/>
        </w:trPr>
        <w:tc>
          <w:tcPr>
            <w:tcW w:w="1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210</w:t>
            </w:r>
          </w:p>
        </w:tc>
        <w:tc>
          <w:tcPr>
            <w:tcW w:w="1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卫生健康支出</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146.08</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146.08</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70" w:hRule="atLeast"/>
        </w:trPr>
        <w:tc>
          <w:tcPr>
            <w:tcW w:w="1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03</w:t>
            </w:r>
          </w:p>
        </w:tc>
        <w:tc>
          <w:tcPr>
            <w:tcW w:w="1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基层医疗卫生机构</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139.95</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139.95</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70" w:hRule="atLeast"/>
        </w:trPr>
        <w:tc>
          <w:tcPr>
            <w:tcW w:w="1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2100302</w:t>
            </w:r>
          </w:p>
        </w:tc>
        <w:tc>
          <w:tcPr>
            <w:tcW w:w="1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乡镇卫生院</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139.95</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139.95</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70" w:hRule="atLeast"/>
        </w:trPr>
        <w:tc>
          <w:tcPr>
            <w:tcW w:w="1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11</w:t>
            </w:r>
          </w:p>
        </w:tc>
        <w:tc>
          <w:tcPr>
            <w:tcW w:w="1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行政事业单位医疗</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6.13</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6.13</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70" w:hRule="atLeast"/>
        </w:trPr>
        <w:tc>
          <w:tcPr>
            <w:tcW w:w="1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2101102</w:t>
            </w:r>
          </w:p>
        </w:tc>
        <w:tc>
          <w:tcPr>
            <w:tcW w:w="1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事业单位医疗</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6.13</w:t>
            </w:r>
          </w:p>
        </w:tc>
        <w:tc>
          <w:tcPr>
            <w:tcW w:w="7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6.13</w:t>
            </w:r>
          </w:p>
        </w:tc>
        <w:tc>
          <w:tcPr>
            <w:tcW w:w="6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r>
    </w:tbl>
    <w:p>
      <w:pPr>
        <w:pStyle w:val="2"/>
        <w:rPr>
          <w:rFonts w:ascii="仿宋" w:hAnsi="仿宋" w:eastAsia="仿宋" w:cs="仿宋"/>
          <w:sz w:val="20"/>
          <w:szCs w:val="20"/>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numPr>
          <w:ilvl w:val="0"/>
          <w:numId w:val="3"/>
        </w:numPr>
        <w:spacing w:line="560" w:lineRule="exact"/>
        <w:rPr>
          <w:rFonts w:ascii="仿宋" w:hAnsi="仿宋" w:eastAsia="仿宋" w:cs="仿宋"/>
          <w:sz w:val="32"/>
          <w:szCs w:val="32"/>
        </w:rPr>
      </w:pPr>
      <w:r>
        <w:rPr>
          <w:rFonts w:hint="eastAsia" w:ascii="仿宋" w:hAnsi="仿宋" w:eastAsia="仿宋" w:cs="仿宋"/>
          <w:sz w:val="32"/>
          <w:szCs w:val="32"/>
        </w:rPr>
        <w:t>《一般公共预算基本支出表》</w:t>
      </w:r>
    </w:p>
    <w:tbl>
      <w:tblPr>
        <w:tblStyle w:val="5"/>
        <w:tblW w:w="5000" w:type="pct"/>
        <w:tblInd w:w="0" w:type="dxa"/>
        <w:tblLayout w:type="fixed"/>
        <w:tblCellMar>
          <w:top w:w="0" w:type="dxa"/>
          <w:left w:w="108" w:type="dxa"/>
          <w:bottom w:w="0" w:type="dxa"/>
          <w:right w:w="108" w:type="dxa"/>
        </w:tblCellMar>
      </w:tblPr>
      <w:tblGrid>
        <w:gridCol w:w="2208"/>
        <w:gridCol w:w="3235"/>
        <w:gridCol w:w="1748"/>
        <w:gridCol w:w="1897"/>
        <w:gridCol w:w="1594"/>
      </w:tblGrid>
      <w:tr>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widowControl/>
              <w:jc w:val="center"/>
              <w:textAlignment w:val="center"/>
              <w:rPr>
                <w:rFonts w:ascii="宋体" w:hAnsi="宋体" w:eastAsia="宋体" w:cs="宋体"/>
                <w:b/>
                <w:bCs/>
                <w:color w:val="000000"/>
                <w:sz w:val="44"/>
                <w:szCs w:val="44"/>
              </w:rPr>
            </w:pPr>
            <w:r>
              <w:rPr>
                <w:rFonts w:hint="eastAsia" w:ascii="宋体" w:hAnsi="宋体" w:eastAsia="宋体" w:cs="宋体"/>
                <w:b/>
                <w:bCs/>
                <w:color w:val="000000"/>
                <w:kern w:val="0"/>
                <w:sz w:val="36"/>
                <w:szCs w:val="36"/>
              </w:rPr>
              <w:t>一般公共预算基本支出表</w:t>
            </w:r>
          </w:p>
        </w:tc>
      </w:tr>
      <w:tr>
        <w:tblPrEx>
          <w:tblCellMar>
            <w:top w:w="0" w:type="dxa"/>
            <w:left w:w="108" w:type="dxa"/>
            <w:bottom w:w="0" w:type="dxa"/>
            <w:right w:w="108" w:type="dxa"/>
          </w:tblCellMar>
        </w:tblPrEx>
        <w:trPr>
          <w:trHeight w:val="420" w:hRule="atLeast"/>
        </w:trPr>
        <w:tc>
          <w:tcPr>
            <w:tcW w:w="2548" w:type="pct"/>
            <w:gridSpan w:val="2"/>
            <w:tcBorders>
              <w:top w:val="nil"/>
              <w:left w:val="nil"/>
              <w:bottom w:val="nil"/>
              <w:right w:val="nil"/>
            </w:tcBorders>
            <w:shd w:val="clear" w:color="auto" w:fill="auto"/>
            <w:noWrap/>
            <w:vAlign w:val="center"/>
          </w:tcPr>
          <w:p>
            <w:pPr>
              <w:rPr>
                <w:rFonts w:ascii="宋体" w:hAnsi="宋体" w:eastAsia="宋体" w:cs="宋体"/>
                <w:color w:val="000000"/>
                <w:sz w:val="20"/>
                <w:szCs w:val="20"/>
              </w:rPr>
            </w:pPr>
            <w:r>
              <w:rPr>
                <w:rFonts w:hint="eastAsia" w:ascii="宋体" w:hAnsi="宋体" w:eastAsia="宋体" w:cs="宋体"/>
                <w:color w:val="000000"/>
                <w:kern w:val="0"/>
                <w:sz w:val="20"/>
                <w:szCs w:val="20"/>
              </w:rPr>
              <w:t>[403032]兴国县杰村乡卫生院</w:t>
            </w:r>
          </w:p>
        </w:tc>
        <w:tc>
          <w:tcPr>
            <w:tcW w:w="818" w:type="pct"/>
            <w:tcBorders>
              <w:top w:val="nil"/>
              <w:left w:val="nil"/>
              <w:bottom w:val="nil"/>
              <w:right w:val="nil"/>
            </w:tcBorders>
            <w:shd w:val="clear" w:color="auto" w:fill="auto"/>
            <w:noWrap/>
            <w:vAlign w:val="bottom"/>
          </w:tcPr>
          <w:p>
            <w:pPr>
              <w:rPr>
                <w:rFonts w:ascii="宋体" w:hAnsi="宋体" w:eastAsia="宋体" w:cs="宋体"/>
                <w:color w:val="000000"/>
                <w:sz w:val="20"/>
                <w:szCs w:val="20"/>
              </w:rPr>
            </w:pPr>
          </w:p>
        </w:tc>
        <w:tc>
          <w:tcPr>
            <w:tcW w:w="1632" w:type="pct"/>
            <w:gridSpan w:val="2"/>
            <w:tcBorders>
              <w:top w:val="nil"/>
              <w:left w:val="nil"/>
              <w:bottom w:val="nil"/>
              <w:right w:val="nil"/>
            </w:tcBorders>
            <w:shd w:val="clear" w:color="auto" w:fill="auto"/>
            <w:noWrap/>
            <w:vAlign w:val="bottom"/>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5" w:hRule="atLeast"/>
        </w:trPr>
        <w:tc>
          <w:tcPr>
            <w:tcW w:w="25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支出经济分类科目</w:t>
            </w:r>
          </w:p>
        </w:tc>
        <w:tc>
          <w:tcPr>
            <w:tcW w:w="245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2023年基本支出</w:t>
            </w:r>
          </w:p>
        </w:tc>
      </w:tr>
      <w:tr>
        <w:tblPrEx>
          <w:tblCellMar>
            <w:top w:w="0" w:type="dxa"/>
            <w:left w:w="108" w:type="dxa"/>
            <w:bottom w:w="0" w:type="dxa"/>
            <w:right w:w="108" w:type="dxa"/>
          </w:tblCellMar>
        </w:tblPrEx>
        <w:trPr>
          <w:trHeight w:val="420" w:hRule="atLeast"/>
        </w:trPr>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科目编码</w:t>
            </w:r>
          </w:p>
        </w:tc>
        <w:tc>
          <w:tcPr>
            <w:tcW w:w="1513" w:type="pct"/>
            <w:tcBorders>
              <w:top w:val="single" w:color="000000" w:sz="4" w:space="0"/>
              <w:left w:val="single" w:color="000000" w:sz="4" w:space="0"/>
              <w:bottom w:val="single" w:color="000000" w:sz="4" w:space="0"/>
              <w:right w:val="nil"/>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科目名称 </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合计</w:t>
            </w:r>
          </w:p>
        </w:tc>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人员经费</w:t>
            </w: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公用经费</w:t>
            </w:r>
          </w:p>
        </w:tc>
      </w:tr>
      <w:tr>
        <w:tblPrEx>
          <w:tblCellMar>
            <w:top w:w="0" w:type="dxa"/>
            <w:left w:w="108" w:type="dxa"/>
            <w:bottom w:w="0" w:type="dxa"/>
            <w:right w:w="108" w:type="dxa"/>
          </w:tblCellMar>
        </w:tblPrEx>
        <w:trPr>
          <w:trHeight w:val="420" w:hRule="atLeast"/>
        </w:trPr>
        <w:tc>
          <w:tcPr>
            <w:tcW w:w="1034" w:type="pct"/>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w:t>
            </w:r>
          </w:p>
        </w:tc>
        <w:tc>
          <w:tcPr>
            <w:tcW w:w="1513" w:type="pct"/>
            <w:tcBorders>
              <w:top w:val="single" w:color="000000" w:sz="4" w:space="0"/>
              <w:left w:val="single" w:color="000000" w:sz="4" w:space="0"/>
              <w:bottom w:val="nil"/>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8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r>
      <w:tr>
        <w:tblPrEx>
          <w:tblCellMar>
            <w:top w:w="0" w:type="dxa"/>
            <w:left w:w="108" w:type="dxa"/>
            <w:bottom w:w="0" w:type="dxa"/>
            <w:right w:w="108" w:type="dxa"/>
          </w:tblCellMar>
        </w:tblPrEx>
        <w:trPr>
          <w:trHeight w:val="540" w:hRule="atLeast"/>
        </w:trPr>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0"/>
                <w:szCs w:val="20"/>
              </w:rPr>
            </w:pPr>
          </w:p>
        </w:tc>
        <w:tc>
          <w:tcPr>
            <w:tcW w:w="1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合计</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172.13</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172.13</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301</w:t>
            </w:r>
          </w:p>
        </w:tc>
        <w:tc>
          <w:tcPr>
            <w:tcW w:w="1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工资福利支出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172.13</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30101</w:t>
            </w:r>
          </w:p>
        </w:tc>
        <w:tc>
          <w:tcPr>
            <w:tcW w:w="1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基本工资</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89.54</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89.54</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30102</w:t>
            </w:r>
          </w:p>
        </w:tc>
        <w:tc>
          <w:tcPr>
            <w:tcW w:w="1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津贴补贴</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50.41</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50.41</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30108</w:t>
            </w:r>
          </w:p>
        </w:tc>
        <w:tc>
          <w:tcPr>
            <w:tcW w:w="1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机关事业单位基本养老保险缴费</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18.97</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18.97</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30109</w:t>
            </w:r>
          </w:p>
        </w:tc>
        <w:tc>
          <w:tcPr>
            <w:tcW w:w="1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职业年金缴费</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7.08</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7.08</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r>
        <w:tblPrEx>
          <w:tblCellMar>
            <w:top w:w="0" w:type="dxa"/>
            <w:left w:w="108" w:type="dxa"/>
            <w:bottom w:w="0" w:type="dxa"/>
            <w:right w:w="108" w:type="dxa"/>
          </w:tblCellMar>
        </w:tblPrEx>
        <w:trPr>
          <w:trHeight w:val="540" w:hRule="atLeast"/>
        </w:trPr>
        <w:tc>
          <w:tcPr>
            <w:tcW w:w="10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30110</w:t>
            </w:r>
          </w:p>
        </w:tc>
        <w:tc>
          <w:tcPr>
            <w:tcW w:w="1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职工基本医疗保险缴费</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6.13</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6.13</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0"/>
                <w:szCs w:val="20"/>
              </w:rPr>
            </w:pPr>
          </w:p>
        </w:tc>
      </w:tr>
    </w:tbl>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pPr>
    </w:p>
    <w:p>
      <w:pPr>
        <w:pStyle w:val="2"/>
      </w:pPr>
    </w:p>
    <w:p>
      <w:pPr>
        <w:pStyle w:val="2"/>
      </w:pPr>
    </w:p>
    <w:p>
      <w:pPr>
        <w:pStyle w:val="2"/>
      </w:pPr>
    </w:p>
    <w:p>
      <w:pPr>
        <w:numPr>
          <w:ilvl w:val="0"/>
          <w:numId w:val="3"/>
        </w:numPr>
        <w:spacing w:line="560" w:lineRule="exact"/>
        <w:rPr>
          <w:rFonts w:ascii="仿宋" w:hAnsi="仿宋" w:eastAsia="仿宋" w:cs="仿宋"/>
          <w:sz w:val="32"/>
          <w:szCs w:val="32"/>
        </w:rPr>
      </w:pPr>
      <w:r>
        <w:rPr>
          <w:rFonts w:hint="eastAsia" w:ascii="仿宋" w:hAnsi="仿宋" w:eastAsia="仿宋" w:cs="仿宋"/>
          <w:sz w:val="32"/>
          <w:szCs w:val="32"/>
        </w:rPr>
        <w:t>《一般公共预算“三公”经费支出表》</w:t>
      </w:r>
    </w:p>
    <w:tbl>
      <w:tblPr>
        <w:tblStyle w:val="5"/>
        <w:tblW w:w="5000" w:type="pct"/>
        <w:tblInd w:w="0" w:type="dxa"/>
        <w:tblLayout w:type="autofit"/>
        <w:tblCellMar>
          <w:top w:w="0" w:type="dxa"/>
          <w:left w:w="108" w:type="dxa"/>
          <w:bottom w:w="0" w:type="dxa"/>
          <w:right w:w="108" w:type="dxa"/>
        </w:tblCellMar>
      </w:tblPr>
      <w:tblGrid>
        <w:gridCol w:w="1530"/>
        <w:gridCol w:w="1478"/>
        <w:gridCol w:w="1310"/>
        <w:gridCol w:w="1512"/>
        <w:gridCol w:w="1444"/>
        <w:gridCol w:w="1734"/>
        <w:gridCol w:w="1674"/>
      </w:tblGrid>
      <w:tr>
        <w:tblPrEx>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widowControl/>
              <w:jc w:val="center"/>
              <w:textAlignment w:val="center"/>
              <w:rPr>
                <w:rFonts w:ascii="宋体" w:hAnsi="宋体" w:eastAsia="宋体" w:cs="宋体"/>
                <w:b/>
                <w:bCs/>
                <w:color w:val="000000"/>
                <w:sz w:val="44"/>
                <w:szCs w:val="44"/>
              </w:rPr>
            </w:pPr>
            <w:r>
              <w:rPr>
                <w:rFonts w:hint="eastAsia" w:ascii="宋体" w:hAnsi="宋体" w:eastAsia="宋体" w:cs="宋体"/>
                <w:b/>
                <w:bCs/>
                <w:color w:val="000000"/>
                <w:kern w:val="0"/>
                <w:sz w:val="36"/>
                <w:szCs w:val="36"/>
              </w:rPr>
              <w:t>财政拨款“三公”经费支出表</w:t>
            </w:r>
          </w:p>
        </w:tc>
      </w:tr>
      <w:tr>
        <w:tblPrEx>
          <w:tblCellMar>
            <w:top w:w="0" w:type="dxa"/>
            <w:left w:w="108" w:type="dxa"/>
            <w:bottom w:w="0" w:type="dxa"/>
            <w:right w:w="108" w:type="dxa"/>
          </w:tblCellMar>
        </w:tblPrEx>
        <w:trPr>
          <w:trHeight w:val="360" w:hRule="atLeast"/>
        </w:trPr>
        <w:tc>
          <w:tcPr>
            <w:tcW w:w="5000" w:type="pct"/>
            <w:gridSpan w:val="7"/>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[403032]兴国县杰村乡卫生院                                                                     单位：万元</w:t>
            </w:r>
          </w:p>
        </w:tc>
      </w:tr>
      <w:tr>
        <w:tblPrEx>
          <w:tblCellMar>
            <w:top w:w="0" w:type="dxa"/>
            <w:left w:w="108" w:type="dxa"/>
            <w:bottom w:w="0" w:type="dxa"/>
            <w:right w:w="108" w:type="dxa"/>
          </w:tblCellMar>
        </w:tblPrEx>
        <w:trPr>
          <w:trHeight w:val="630" w:hRule="atLeast"/>
        </w:trPr>
        <w:tc>
          <w:tcPr>
            <w:tcW w:w="71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单位编码</w:t>
            </w:r>
          </w:p>
        </w:tc>
        <w:tc>
          <w:tcPr>
            <w:tcW w:w="69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单位名称</w:t>
            </w:r>
          </w:p>
        </w:tc>
        <w:tc>
          <w:tcPr>
            <w:tcW w:w="6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合计</w:t>
            </w:r>
          </w:p>
        </w:tc>
        <w:tc>
          <w:tcPr>
            <w:tcW w:w="7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因公出国</w:t>
            </w:r>
          </w:p>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(境)费</w:t>
            </w:r>
          </w:p>
        </w:tc>
        <w:tc>
          <w:tcPr>
            <w:tcW w:w="67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公务接待费</w:t>
            </w:r>
          </w:p>
        </w:tc>
        <w:tc>
          <w:tcPr>
            <w:tcW w:w="8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公务用车运行维护费</w:t>
            </w:r>
          </w:p>
        </w:tc>
        <w:tc>
          <w:tcPr>
            <w:tcW w:w="78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公务用车购置</w:t>
            </w:r>
          </w:p>
        </w:tc>
      </w:tr>
      <w:tr>
        <w:tblPrEx>
          <w:tblCellMar>
            <w:top w:w="0" w:type="dxa"/>
            <w:left w:w="108" w:type="dxa"/>
            <w:bottom w:w="0" w:type="dxa"/>
            <w:right w:w="108" w:type="dxa"/>
          </w:tblCellMar>
        </w:tblPrEx>
        <w:trPr>
          <w:trHeight w:val="360" w:hRule="atLeast"/>
        </w:trPr>
        <w:tc>
          <w:tcPr>
            <w:tcW w:w="71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69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6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0"/>
                <w:szCs w:val="20"/>
              </w:rPr>
            </w:pPr>
          </w:p>
        </w:tc>
        <w:tc>
          <w:tcPr>
            <w:tcW w:w="7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6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8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78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r>
      <w:tr>
        <w:tblPrEx>
          <w:tblCellMar>
            <w:top w:w="0" w:type="dxa"/>
            <w:left w:w="108" w:type="dxa"/>
            <w:bottom w:w="0" w:type="dxa"/>
            <w:right w:w="108" w:type="dxa"/>
          </w:tblCellMar>
        </w:tblPrEx>
        <w:trPr>
          <w:trHeight w:val="435" w:hRule="atLeast"/>
        </w:trPr>
        <w:tc>
          <w:tcPr>
            <w:tcW w:w="71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w:t>
            </w:r>
          </w:p>
        </w:tc>
        <w:tc>
          <w:tcPr>
            <w:tcW w:w="61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70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67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w:t>
            </w:r>
          </w:p>
        </w:tc>
      </w:tr>
      <w:tr>
        <w:tblPrEx>
          <w:tblCellMar>
            <w:top w:w="0" w:type="dxa"/>
            <w:left w:w="108" w:type="dxa"/>
            <w:bottom w:w="0" w:type="dxa"/>
            <w:right w:w="108" w:type="dxa"/>
          </w:tblCellMar>
        </w:tblPrEx>
        <w:trPr>
          <w:trHeight w:val="300" w:hRule="atLeast"/>
        </w:trPr>
        <w:tc>
          <w:tcPr>
            <w:tcW w:w="71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c>
          <w:tcPr>
            <w:tcW w:w="69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c>
          <w:tcPr>
            <w:tcW w:w="7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c>
          <w:tcPr>
            <w:tcW w:w="67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c>
          <w:tcPr>
            <w:tcW w:w="78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r>
    </w:tbl>
    <w:p>
      <w:pPr>
        <w:pStyle w:val="2"/>
        <w:rPr>
          <w:rFonts w:ascii="仿宋" w:hAnsi="仿宋" w:eastAsia="仿宋" w:cs="仿宋"/>
          <w:sz w:val="20"/>
          <w:szCs w:val="20"/>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numPr>
          <w:ilvl w:val="0"/>
          <w:numId w:val="3"/>
        </w:numPr>
        <w:spacing w:line="560" w:lineRule="exact"/>
        <w:rPr>
          <w:rFonts w:ascii="仿宋" w:hAnsi="仿宋" w:eastAsia="仿宋" w:cs="仿宋"/>
          <w:sz w:val="32"/>
          <w:szCs w:val="32"/>
        </w:rPr>
      </w:pPr>
      <w:r>
        <w:rPr>
          <w:rFonts w:hint="eastAsia" w:ascii="仿宋" w:hAnsi="仿宋" w:eastAsia="仿宋" w:cs="仿宋"/>
          <w:sz w:val="32"/>
          <w:szCs w:val="32"/>
        </w:rPr>
        <w:t>《政府性基金预算支出表》</w:t>
      </w:r>
    </w:p>
    <w:p>
      <w:pPr>
        <w:pStyle w:val="2"/>
        <w:rPr>
          <w:sz w:val="20"/>
          <w:szCs w:val="20"/>
        </w:rPr>
      </w:pPr>
    </w:p>
    <w:tbl>
      <w:tblPr>
        <w:tblStyle w:val="5"/>
        <w:tblW w:w="4998" w:type="pct"/>
        <w:tblInd w:w="0" w:type="dxa"/>
        <w:tblLayout w:type="autofit"/>
        <w:tblCellMar>
          <w:top w:w="0" w:type="dxa"/>
          <w:left w:w="108" w:type="dxa"/>
          <w:bottom w:w="0" w:type="dxa"/>
          <w:right w:w="108" w:type="dxa"/>
        </w:tblCellMar>
      </w:tblPr>
      <w:tblGrid>
        <w:gridCol w:w="2816"/>
        <w:gridCol w:w="2018"/>
        <w:gridCol w:w="828"/>
        <w:gridCol w:w="2272"/>
        <w:gridCol w:w="2744"/>
      </w:tblGrid>
      <w:tr>
        <w:tblPrEx>
          <w:tblCellMar>
            <w:top w:w="0" w:type="dxa"/>
            <w:left w:w="108" w:type="dxa"/>
            <w:bottom w:w="0" w:type="dxa"/>
            <w:right w:w="108" w:type="dxa"/>
          </w:tblCellMar>
        </w:tblPrEx>
        <w:trPr>
          <w:trHeight w:val="450" w:hRule="atLeast"/>
        </w:trPr>
        <w:tc>
          <w:tcPr>
            <w:tcW w:w="542" w:type="pct"/>
            <w:tcBorders>
              <w:top w:val="nil"/>
              <w:left w:val="nil"/>
              <w:bottom w:val="nil"/>
              <w:right w:val="nil"/>
            </w:tcBorders>
            <w:shd w:val="clear" w:color="auto" w:fill="auto"/>
            <w:noWrap/>
            <w:vAlign w:val="bottom"/>
          </w:tcPr>
          <w:p>
            <w:pPr>
              <w:rPr>
                <w:rFonts w:ascii="宋体" w:hAnsi="宋体" w:eastAsia="宋体" w:cs="宋体"/>
                <w:color w:val="000000"/>
                <w:sz w:val="20"/>
                <w:szCs w:val="20"/>
              </w:rPr>
            </w:pPr>
          </w:p>
        </w:tc>
        <w:tc>
          <w:tcPr>
            <w:tcW w:w="1597" w:type="pct"/>
            <w:tcBorders>
              <w:top w:val="nil"/>
              <w:left w:val="nil"/>
              <w:bottom w:val="nil"/>
              <w:right w:val="nil"/>
            </w:tcBorders>
            <w:shd w:val="clear" w:color="auto" w:fill="auto"/>
            <w:noWrap/>
            <w:vAlign w:val="bottom"/>
          </w:tcPr>
          <w:p>
            <w:pPr>
              <w:rPr>
                <w:rFonts w:ascii="宋体" w:hAnsi="宋体" w:eastAsia="宋体" w:cs="宋体"/>
                <w:color w:val="000000"/>
                <w:sz w:val="20"/>
                <w:szCs w:val="20"/>
              </w:rPr>
            </w:pPr>
          </w:p>
        </w:tc>
        <w:tc>
          <w:tcPr>
            <w:tcW w:w="1040" w:type="pct"/>
            <w:tcBorders>
              <w:top w:val="nil"/>
              <w:left w:val="nil"/>
              <w:bottom w:val="nil"/>
              <w:right w:val="nil"/>
            </w:tcBorders>
            <w:shd w:val="clear" w:color="auto" w:fill="auto"/>
            <w:noWrap/>
            <w:vAlign w:val="bottom"/>
          </w:tcPr>
          <w:p>
            <w:pPr>
              <w:rPr>
                <w:rFonts w:ascii="宋体" w:hAnsi="宋体" w:eastAsia="宋体" w:cs="宋体"/>
                <w:color w:val="000000"/>
                <w:sz w:val="20"/>
                <w:szCs w:val="20"/>
              </w:rPr>
            </w:pPr>
          </w:p>
        </w:tc>
        <w:tc>
          <w:tcPr>
            <w:tcW w:w="1820" w:type="pct"/>
            <w:gridSpan w:val="2"/>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20"/>
                <w:szCs w:val="20"/>
              </w:rPr>
            </w:pPr>
            <w:r>
              <w:rPr>
                <w:rFonts w:hint="eastAsia" w:ascii="宋体" w:hAnsi="宋体" w:eastAsia="宋体" w:cs="宋体"/>
                <w:color w:val="000000"/>
                <w:kern w:val="0"/>
                <w:sz w:val="20"/>
                <w:szCs w:val="20"/>
              </w:rPr>
              <w:t>注：若为空表，则为该部门（单位）无政府性基金收支</w:t>
            </w:r>
          </w:p>
        </w:tc>
      </w:tr>
      <w:tr>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36"/>
                <w:szCs w:val="36"/>
              </w:rPr>
              <w:t>政府性基金预算支出表</w:t>
            </w:r>
          </w:p>
        </w:tc>
      </w:tr>
      <w:tr>
        <w:tblPrEx>
          <w:tblCellMar>
            <w:top w:w="0" w:type="dxa"/>
            <w:left w:w="108" w:type="dxa"/>
            <w:bottom w:w="0" w:type="dxa"/>
            <w:right w:w="108" w:type="dxa"/>
          </w:tblCellMar>
        </w:tblPrEx>
        <w:trPr>
          <w:trHeight w:val="420" w:hRule="atLeast"/>
        </w:trPr>
        <w:tc>
          <w:tcPr>
            <w:tcW w:w="542" w:type="pct"/>
            <w:tcBorders>
              <w:top w:val="nil"/>
              <w:left w:val="nil"/>
              <w:bottom w:val="nil"/>
              <w:right w:val="nil"/>
            </w:tcBorders>
            <w:shd w:val="clear" w:color="auto" w:fill="auto"/>
            <w:noWrap/>
            <w:vAlign w:val="center"/>
          </w:tcPr>
          <w:p>
            <w:pPr>
              <w:jc w:val="left"/>
              <w:rPr>
                <w:rFonts w:ascii="宋体" w:hAnsi="宋体" w:eastAsia="宋体" w:cs="宋体"/>
                <w:color w:val="000000"/>
                <w:sz w:val="20"/>
                <w:szCs w:val="20"/>
              </w:rPr>
            </w:pPr>
            <w:r>
              <w:rPr>
                <w:rFonts w:hint="eastAsia" w:ascii="宋体" w:hAnsi="宋体" w:eastAsia="宋体" w:cs="宋体"/>
                <w:color w:val="000000"/>
                <w:kern w:val="0"/>
                <w:sz w:val="20"/>
                <w:szCs w:val="20"/>
              </w:rPr>
              <w:t xml:space="preserve">[403032]兴国县杰村乡卫生院 </w:t>
            </w:r>
          </w:p>
        </w:tc>
        <w:tc>
          <w:tcPr>
            <w:tcW w:w="1597" w:type="pct"/>
            <w:tcBorders>
              <w:top w:val="nil"/>
              <w:left w:val="nil"/>
              <w:bottom w:val="nil"/>
              <w:right w:val="nil"/>
            </w:tcBorders>
            <w:shd w:val="clear" w:color="auto" w:fill="auto"/>
            <w:noWrap/>
            <w:vAlign w:val="bottom"/>
          </w:tcPr>
          <w:p>
            <w:pPr>
              <w:rPr>
                <w:rFonts w:ascii="宋体" w:hAnsi="宋体" w:eastAsia="宋体" w:cs="宋体"/>
                <w:color w:val="000000"/>
                <w:sz w:val="20"/>
                <w:szCs w:val="20"/>
              </w:rPr>
            </w:pPr>
          </w:p>
        </w:tc>
        <w:tc>
          <w:tcPr>
            <w:tcW w:w="1040" w:type="pct"/>
            <w:tcBorders>
              <w:top w:val="nil"/>
              <w:left w:val="nil"/>
              <w:bottom w:val="nil"/>
              <w:right w:val="nil"/>
            </w:tcBorders>
            <w:shd w:val="clear" w:color="auto" w:fill="auto"/>
            <w:noWrap/>
            <w:vAlign w:val="bottom"/>
          </w:tcPr>
          <w:p>
            <w:pPr>
              <w:rPr>
                <w:rFonts w:ascii="宋体" w:hAnsi="宋体" w:eastAsia="宋体" w:cs="宋体"/>
                <w:color w:val="000000"/>
                <w:sz w:val="20"/>
                <w:szCs w:val="20"/>
              </w:rPr>
            </w:pPr>
          </w:p>
        </w:tc>
        <w:tc>
          <w:tcPr>
            <w:tcW w:w="825" w:type="pct"/>
            <w:tcBorders>
              <w:top w:val="nil"/>
              <w:left w:val="nil"/>
              <w:bottom w:val="nil"/>
              <w:right w:val="nil"/>
            </w:tcBorders>
            <w:shd w:val="clear" w:color="auto" w:fill="auto"/>
            <w:noWrap/>
            <w:vAlign w:val="bottom"/>
          </w:tcPr>
          <w:p>
            <w:pPr>
              <w:rPr>
                <w:rFonts w:ascii="宋体" w:hAnsi="宋体" w:eastAsia="宋体" w:cs="宋体"/>
                <w:color w:val="000000"/>
                <w:sz w:val="20"/>
                <w:szCs w:val="20"/>
              </w:rPr>
            </w:pPr>
          </w:p>
        </w:tc>
        <w:tc>
          <w:tcPr>
            <w:tcW w:w="994" w:type="pct"/>
            <w:tcBorders>
              <w:top w:val="nil"/>
              <w:left w:val="nil"/>
              <w:bottom w:val="nil"/>
              <w:right w:val="nil"/>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95" w:hRule="atLeast"/>
        </w:trPr>
        <w:tc>
          <w:tcPr>
            <w:tcW w:w="21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支出功能分类科目</w:t>
            </w:r>
          </w:p>
        </w:tc>
        <w:tc>
          <w:tcPr>
            <w:tcW w:w="286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2023年预算数</w:t>
            </w:r>
          </w:p>
        </w:tc>
      </w:tr>
      <w:tr>
        <w:tblPrEx>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科目编码</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科目名称 </w:t>
            </w:r>
          </w:p>
        </w:tc>
        <w:tc>
          <w:tcPr>
            <w:tcW w:w="10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合计</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基本支出</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项目支出</w:t>
            </w:r>
          </w:p>
        </w:tc>
      </w:tr>
      <w:tr>
        <w:tblPrEx>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w:t>
            </w:r>
          </w:p>
        </w:tc>
        <w:tc>
          <w:tcPr>
            <w:tcW w:w="10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r>
      <w:tr>
        <w:tblPrEx>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c>
          <w:tcPr>
            <w:tcW w:w="104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ascii="Calibri" w:hAnsi="Calibri" w:cs="Calibri"/>
                <w:color w:val="000000"/>
                <w:sz w:val="20"/>
                <w:szCs w:val="20"/>
              </w:rPr>
            </w:pPr>
          </w:p>
        </w:tc>
      </w:tr>
    </w:tbl>
    <w:p>
      <w:pPr>
        <w:pStyle w:val="2"/>
        <w:rPr>
          <w:sz w:val="20"/>
          <w:szCs w:val="20"/>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numPr>
          <w:ilvl w:val="0"/>
          <w:numId w:val="3"/>
        </w:numPr>
        <w:spacing w:line="560" w:lineRule="exact"/>
        <w:rPr>
          <w:sz w:val="32"/>
          <w:szCs w:val="32"/>
        </w:rPr>
      </w:pPr>
      <w:r>
        <w:rPr>
          <w:rFonts w:hint="eastAsia" w:ascii="仿宋" w:hAnsi="仿宋" w:eastAsia="仿宋" w:cs="仿宋"/>
          <w:sz w:val="32"/>
          <w:szCs w:val="32"/>
        </w:rPr>
        <w:t>《国有资本经营预算支出表》</w:t>
      </w:r>
    </w:p>
    <w:p>
      <w:pPr>
        <w:pStyle w:val="2"/>
        <w:rPr>
          <w:sz w:val="20"/>
          <w:szCs w:val="20"/>
        </w:rPr>
      </w:pPr>
    </w:p>
    <w:tbl>
      <w:tblPr>
        <w:tblStyle w:val="5"/>
        <w:tblW w:w="5000" w:type="pct"/>
        <w:tblInd w:w="0" w:type="dxa"/>
        <w:tblLayout w:type="autofit"/>
        <w:tblCellMar>
          <w:top w:w="0" w:type="dxa"/>
          <w:left w:w="108" w:type="dxa"/>
          <w:bottom w:w="0" w:type="dxa"/>
          <w:right w:w="108" w:type="dxa"/>
        </w:tblCellMar>
      </w:tblPr>
      <w:tblGrid>
        <w:gridCol w:w="3167"/>
        <w:gridCol w:w="1163"/>
        <w:gridCol w:w="1353"/>
        <w:gridCol w:w="2265"/>
        <w:gridCol w:w="2734"/>
      </w:tblGrid>
      <w:tr>
        <w:tblPrEx>
          <w:tblCellMar>
            <w:top w:w="0" w:type="dxa"/>
            <w:left w:w="108" w:type="dxa"/>
            <w:bottom w:w="0" w:type="dxa"/>
            <w:right w:w="108" w:type="dxa"/>
          </w:tblCellMar>
        </w:tblPrEx>
        <w:trPr>
          <w:trHeight w:val="525" w:hRule="atLeast"/>
        </w:trPr>
        <w:tc>
          <w:tcPr>
            <w:tcW w:w="1483" w:type="pct"/>
            <w:tcBorders>
              <w:top w:val="nil"/>
              <w:left w:val="nil"/>
              <w:bottom w:val="nil"/>
              <w:right w:val="nil"/>
            </w:tcBorders>
            <w:shd w:val="clear" w:color="auto" w:fill="auto"/>
            <w:noWrap/>
            <w:vAlign w:val="bottom"/>
          </w:tcPr>
          <w:p>
            <w:pPr>
              <w:rPr>
                <w:rFonts w:ascii="宋体" w:hAnsi="宋体" w:eastAsia="宋体" w:cs="宋体"/>
                <w:color w:val="000000"/>
                <w:sz w:val="20"/>
                <w:szCs w:val="20"/>
              </w:rPr>
            </w:pPr>
          </w:p>
        </w:tc>
        <w:tc>
          <w:tcPr>
            <w:tcW w:w="543" w:type="pct"/>
            <w:tcBorders>
              <w:top w:val="nil"/>
              <w:left w:val="nil"/>
              <w:bottom w:val="nil"/>
              <w:right w:val="nil"/>
            </w:tcBorders>
            <w:shd w:val="clear" w:color="auto" w:fill="auto"/>
            <w:noWrap/>
            <w:vAlign w:val="bottom"/>
          </w:tcPr>
          <w:p>
            <w:pPr>
              <w:rPr>
                <w:rFonts w:ascii="宋体" w:hAnsi="宋体" w:eastAsia="宋体" w:cs="宋体"/>
                <w:color w:val="000000"/>
                <w:sz w:val="20"/>
                <w:szCs w:val="20"/>
              </w:rPr>
            </w:pPr>
          </w:p>
        </w:tc>
        <w:tc>
          <w:tcPr>
            <w:tcW w:w="2972" w:type="pct"/>
            <w:gridSpan w:val="3"/>
            <w:tcBorders>
              <w:top w:val="nil"/>
              <w:left w:val="nil"/>
              <w:bottom w:val="nil"/>
              <w:right w:val="nil"/>
            </w:tcBorders>
            <w:shd w:val="clear" w:color="auto" w:fill="auto"/>
            <w:noWrap/>
            <w:vAlign w:val="center"/>
          </w:tcPr>
          <w:p>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注：若为空表，则为该部门（单位）无国有资本经营预算收支</w:t>
            </w:r>
          </w:p>
        </w:tc>
      </w:tr>
      <w:tr>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color w:val="000000"/>
                <w:kern w:val="0"/>
                <w:sz w:val="36"/>
                <w:szCs w:val="36"/>
              </w:rPr>
              <w:t>国有资本经营预算支出表</w:t>
            </w:r>
          </w:p>
        </w:tc>
      </w:tr>
      <w:tr>
        <w:tblPrEx>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noWrap/>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[403032]兴国县杰村乡卫生院                                                                     单位：万元</w:t>
            </w:r>
          </w:p>
        </w:tc>
      </w:tr>
      <w:tr>
        <w:tblPrEx>
          <w:tblCellMar>
            <w:top w:w="0" w:type="dxa"/>
            <w:left w:w="108" w:type="dxa"/>
            <w:bottom w:w="0" w:type="dxa"/>
            <w:right w:w="108" w:type="dxa"/>
          </w:tblCellMar>
        </w:tblPrEx>
        <w:trPr>
          <w:trHeight w:val="510" w:hRule="atLeast"/>
        </w:trPr>
        <w:tc>
          <w:tcPr>
            <w:tcW w:w="20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支出功能分类科目</w:t>
            </w:r>
          </w:p>
        </w:tc>
        <w:tc>
          <w:tcPr>
            <w:tcW w:w="297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2023年预算数</w:t>
            </w:r>
          </w:p>
        </w:tc>
      </w:tr>
      <w:tr>
        <w:tblPrEx>
          <w:tblCellMar>
            <w:top w:w="0" w:type="dxa"/>
            <w:left w:w="108" w:type="dxa"/>
            <w:bottom w:w="0" w:type="dxa"/>
            <w:right w:w="108" w:type="dxa"/>
          </w:tblCellMar>
        </w:tblPrEx>
        <w:trPr>
          <w:trHeight w:val="570" w:hRule="atLeast"/>
        </w:trPr>
        <w:tc>
          <w:tcPr>
            <w:tcW w:w="14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科目编码</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科目名称 </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合计</w:t>
            </w: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基本支出</w:t>
            </w: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项目支出</w:t>
            </w:r>
          </w:p>
        </w:tc>
      </w:tr>
      <w:tr>
        <w:tblPrEx>
          <w:tblCellMar>
            <w:top w:w="0" w:type="dxa"/>
            <w:left w:w="108" w:type="dxa"/>
            <w:bottom w:w="0" w:type="dxa"/>
            <w:right w:w="108" w:type="dxa"/>
          </w:tblCellMar>
        </w:tblPrEx>
        <w:trPr>
          <w:trHeight w:val="420" w:hRule="atLeast"/>
        </w:trPr>
        <w:tc>
          <w:tcPr>
            <w:tcW w:w="14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w:t>
            </w:r>
          </w:p>
        </w:tc>
        <w:tc>
          <w:tcPr>
            <w:tcW w:w="5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12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r>
    </w:tbl>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numPr>
          <w:ilvl w:val="0"/>
          <w:numId w:val="3"/>
        </w:numPr>
        <w:spacing w:line="560" w:lineRule="exact"/>
        <w:rPr>
          <w:rFonts w:ascii="仿宋" w:hAnsi="仿宋" w:eastAsia="仿宋" w:cs="仿宋"/>
          <w:sz w:val="32"/>
          <w:szCs w:val="32"/>
        </w:rPr>
      </w:pPr>
      <w:r>
        <w:rPr>
          <w:rFonts w:hint="eastAsia" w:ascii="仿宋" w:hAnsi="仿宋" w:eastAsia="仿宋" w:cs="仿宋"/>
          <w:sz w:val="32"/>
          <w:szCs w:val="32"/>
        </w:rPr>
        <w:t>《项目支出绩效目标表》</w:t>
      </w:r>
    </w:p>
    <w:p>
      <w:pPr>
        <w:pStyle w:val="2"/>
        <w:ind w:firstLine="960" w:firstLineChars="300"/>
        <w:rPr>
          <w:rFonts w:eastAsia="仿宋"/>
          <w:lang w:val="en-US"/>
        </w:rPr>
      </w:pPr>
      <w:r>
        <w:rPr>
          <w:rFonts w:hint="eastAsia" w:ascii="仿宋" w:hAnsi="仿宋" w:eastAsia="仿宋" w:cs="仿宋"/>
          <w:lang w:val="en-US"/>
        </w:rPr>
        <w:t>无</w:t>
      </w:r>
    </w:p>
    <w:p>
      <w:pPr>
        <w:pStyle w:val="2"/>
        <w:rPr>
          <w:rFonts w:ascii="仿宋" w:hAnsi="仿宋" w:eastAsia="仿宋" w:cs="仿宋"/>
          <w:lang w:val="en-US"/>
        </w:rPr>
      </w:pPr>
    </w:p>
    <w:p>
      <w:pPr>
        <w:pStyle w:val="2"/>
        <w:rPr>
          <w:rFonts w:ascii="仿宋" w:hAnsi="仿宋" w:eastAsia="仿宋" w:cs="仿宋"/>
          <w:lang w:val="en-US"/>
        </w:rPr>
      </w:pPr>
    </w:p>
    <w:p>
      <w:pPr>
        <w:pStyle w:val="2"/>
        <w:rPr>
          <w:rFonts w:ascii="仿宋" w:hAnsi="仿宋" w:eastAsia="仿宋" w:cs="仿宋"/>
          <w:lang w:val="en-US"/>
        </w:rPr>
      </w:pPr>
    </w:p>
    <w:p>
      <w:pPr>
        <w:pStyle w:val="2"/>
        <w:rPr>
          <w:rFonts w:ascii="仿宋" w:hAnsi="仿宋" w:eastAsia="仿宋" w:cs="仿宋"/>
          <w:lang w:val="en-US"/>
        </w:rPr>
      </w:pPr>
    </w:p>
    <w:p>
      <w:pPr>
        <w:pStyle w:val="2"/>
        <w:rPr>
          <w:rFonts w:ascii="仿宋" w:hAnsi="仿宋" w:eastAsia="仿宋" w:cs="仿宋"/>
          <w:lang w:val="en-US"/>
        </w:rPr>
      </w:pPr>
    </w:p>
    <w:p>
      <w:pPr>
        <w:pStyle w:val="2"/>
        <w:rPr>
          <w:rFonts w:ascii="仿宋" w:hAnsi="仿宋" w:eastAsia="仿宋" w:cs="仿宋"/>
          <w:lang w:val="en-US"/>
        </w:rPr>
      </w:pPr>
    </w:p>
    <w:p>
      <w:pPr>
        <w:pStyle w:val="2"/>
        <w:rPr>
          <w:rFonts w:ascii="仿宋" w:hAnsi="仿宋" w:eastAsia="仿宋" w:cs="仿宋"/>
          <w:lang w:val="en-US"/>
        </w:rPr>
      </w:pPr>
    </w:p>
    <w:p>
      <w:pPr>
        <w:pStyle w:val="2"/>
        <w:rPr>
          <w:rFonts w:ascii="仿宋" w:hAnsi="仿宋" w:eastAsia="仿宋" w:cs="仿宋"/>
          <w:lang w:val="en-US"/>
        </w:rPr>
      </w:pPr>
    </w:p>
    <w:p>
      <w:pPr>
        <w:pStyle w:val="2"/>
        <w:rPr>
          <w:rFonts w:ascii="仿宋" w:hAnsi="仿宋" w:eastAsia="仿宋" w:cs="仿宋"/>
          <w:lang w:val="en-US"/>
        </w:rPr>
      </w:pPr>
    </w:p>
    <w:p>
      <w:pPr>
        <w:pStyle w:val="2"/>
        <w:rPr>
          <w:rFonts w:ascii="仿宋" w:hAnsi="仿宋" w:eastAsia="仿宋" w:cs="仿宋"/>
          <w:lang w:val="en-US"/>
        </w:rPr>
      </w:pPr>
    </w:p>
    <w:p>
      <w:pPr>
        <w:pStyle w:val="2"/>
        <w:rPr>
          <w:rFonts w:ascii="仿宋" w:hAnsi="仿宋" w:eastAsia="仿宋" w:cs="仿宋"/>
          <w:lang w:val="en-US"/>
        </w:rPr>
      </w:pPr>
    </w:p>
    <w:p>
      <w:pPr>
        <w:pStyle w:val="2"/>
        <w:rPr>
          <w:rFonts w:ascii="仿宋" w:hAnsi="仿宋" w:eastAsia="仿宋" w:cs="仿宋"/>
          <w:lang w:val="en-US"/>
        </w:rPr>
      </w:pPr>
    </w:p>
    <w:p>
      <w:pPr>
        <w:pStyle w:val="2"/>
        <w:rPr>
          <w:rFonts w:ascii="仿宋" w:hAnsi="仿宋" w:eastAsia="仿宋" w:cs="仿宋"/>
          <w:lang w:val="en-US"/>
        </w:rPr>
      </w:pPr>
    </w:p>
    <w:p>
      <w:pPr>
        <w:pStyle w:val="2"/>
        <w:rPr>
          <w:rFonts w:ascii="仿宋" w:hAnsi="仿宋" w:eastAsia="仿宋" w:cs="仿宋"/>
          <w:lang w:val="en-US"/>
        </w:rPr>
      </w:pPr>
    </w:p>
    <w:p>
      <w:pPr>
        <w:pStyle w:val="2"/>
        <w:rPr>
          <w:rFonts w:ascii="仿宋" w:hAnsi="仿宋" w:eastAsia="仿宋" w:cs="仿宋"/>
          <w:lang w:val="en-US"/>
        </w:rPr>
      </w:pPr>
    </w:p>
    <w:p>
      <w:pPr>
        <w:pStyle w:val="2"/>
        <w:rPr>
          <w:rFonts w:ascii="仿宋" w:hAnsi="仿宋" w:eastAsia="仿宋" w:cs="仿宋"/>
          <w:lang w:val="en-US"/>
        </w:rPr>
      </w:pPr>
    </w:p>
    <w:p>
      <w:pPr>
        <w:pStyle w:val="2"/>
        <w:rPr>
          <w:rFonts w:ascii="仿宋" w:hAnsi="仿宋" w:eastAsia="仿宋" w:cs="仿宋"/>
          <w:lang w:val="en-US"/>
        </w:rPr>
        <w:sectPr>
          <w:pgSz w:w="11906" w:h="16838"/>
          <w:pgMar w:top="720" w:right="720" w:bottom="720" w:left="720" w:header="851" w:footer="992" w:gutter="0"/>
          <w:cols w:space="425" w:num="1"/>
          <w:docGrid w:type="lines" w:linePitch="312" w:charSpace="0"/>
        </w:sectPr>
      </w:pPr>
    </w:p>
    <w:p>
      <w:pPr>
        <w:spacing w:line="560" w:lineRule="exact"/>
        <w:ind w:firstLine="320" w:firstLineChars="100"/>
        <w:jc w:val="center"/>
        <w:rPr>
          <w:rFonts w:ascii="黑体" w:hAnsi="黑体" w:eastAsia="黑体" w:cs="黑体"/>
          <w:sz w:val="32"/>
          <w:szCs w:val="32"/>
        </w:rPr>
      </w:pPr>
      <w:r>
        <w:rPr>
          <w:rFonts w:hint="eastAsia" w:ascii="黑体" w:hAnsi="黑体" w:eastAsia="黑体" w:cs="黑体"/>
          <w:sz w:val="32"/>
          <w:szCs w:val="32"/>
        </w:rPr>
        <w:t>第四部分 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（七）使用非财政拨款结余：填列历年滚存的非限定用途的非统计财政拨款结余弥补2023年收支差额的数额。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（八）上年结转和结余：填列2022年全部结转和结余的资金数，包括当年结转结余资金和历年滚存结转结余资金。</w:t>
      </w: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pPr>
      <w:r>
        <w:rPr>
          <w:rFonts w:hint="eastAsia" w:ascii="仿宋" w:hAnsi="仿宋" w:eastAsia="仿宋" w:cs="仿宋"/>
          <w:sz w:val="32"/>
          <w:szCs w:val="32"/>
        </w:rPr>
        <w:t>（六）死亡抚恤：反映单位遗属人员生活补助。</w:t>
      </w:r>
    </w:p>
    <w:sectPr>
      <w:pgSz w:w="11906" w:h="16838"/>
      <w:pgMar w:top="1587"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rPr>
        <w:rFonts w:hint="eastAsia"/>
      </w:rPr>
    </w:lvl>
  </w:abstractNum>
  <w:abstractNum w:abstractNumId="1">
    <w:nsid w:val="4AB3F3A9"/>
    <w:multiLevelType w:val="singleLevel"/>
    <w:tmpl w:val="4AB3F3A9"/>
    <w:lvl w:ilvl="0" w:tentative="0">
      <w:start w:val="2"/>
      <w:numFmt w:val="chineseCounting"/>
      <w:suff w:val="space"/>
      <w:lvlText w:val="第%1部分"/>
      <w:lvlJc w:val="left"/>
      <w:rPr>
        <w:rFonts w:hint="eastAsia"/>
      </w:rPr>
    </w:lvl>
  </w:abstractNum>
  <w:abstractNum w:abstractNumId="2">
    <w:nsid w:val="523D3E4E"/>
    <w:multiLevelType w:val="singleLevel"/>
    <w:tmpl w:val="523D3E4E"/>
    <w:lvl w:ilvl="0" w:tentative="0">
      <w:start w:val="2"/>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2637c6bc-6abc-4e94-b5d3-df77001c4cf6"/>
  </w:docVars>
  <w:rsids>
    <w:rsidRoot w:val="31C93669"/>
    <w:rsid w:val="0044166C"/>
    <w:rsid w:val="00575D92"/>
    <w:rsid w:val="006328DA"/>
    <w:rsid w:val="009836A0"/>
    <w:rsid w:val="00A45B3D"/>
    <w:rsid w:val="00CB5CF2"/>
    <w:rsid w:val="01DB2D9A"/>
    <w:rsid w:val="033F65AC"/>
    <w:rsid w:val="04AA47FB"/>
    <w:rsid w:val="05033781"/>
    <w:rsid w:val="05094D59"/>
    <w:rsid w:val="06913258"/>
    <w:rsid w:val="06CE625A"/>
    <w:rsid w:val="06EB2968"/>
    <w:rsid w:val="0774295E"/>
    <w:rsid w:val="08071A24"/>
    <w:rsid w:val="09B039F5"/>
    <w:rsid w:val="09C73CC8"/>
    <w:rsid w:val="0B5D7BAD"/>
    <w:rsid w:val="0C5D030A"/>
    <w:rsid w:val="0C851A7B"/>
    <w:rsid w:val="0CC7558C"/>
    <w:rsid w:val="0D7D10F7"/>
    <w:rsid w:val="0DF02F5A"/>
    <w:rsid w:val="0DFC3E81"/>
    <w:rsid w:val="0ECD1B40"/>
    <w:rsid w:val="0F305284"/>
    <w:rsid w:val="0F3D6D5B"/>
    <w:rsid w:val="0FF7412C"/>
    <w:rsid w:val="103E0F42"/>
    <w:rsid w:val="10E84EA8"/>
    <w:rsid w:val="116B728B"/>
    <w:rsid w:val="120E39AF"/>
    <w:rsid w:val="12154D3D"/>
    <w:rsid w:val="12413D84"/>
    <w:rsid w:val="128B4058"/>
    <w:rsid w:val="12C549B5"/>
    <w:rsid w:val="130C7119"/>
    <w:rsid w:val="139A7BF0"/>
    <w:rsid w:val="157E0E4B"/>
    <w:rsid w:val="158D365A"/>
    <w:rsid w:val="161E0A8C"/>
    <w:rsid w:val="16247C45"/>
    <w:rsid w:val="162D5336"/>
    <w:rsid w:val="16E3540A"/>
    <w:rsid w:val="174F484D"/>
    <w:rsid w:val="17571537"/>
    <w:rsid w:val="175E2CE2"/>
    <w:rsid w:val="18187335"/>
    <w:rsid w:val="186C48D3"/>
    <w:rsid w:val="19153875"/>
    <w:rsid w:val="194505FE"/>
    <w:rsid w:val="1A9D669C"/>
    <w:rsid w:val="1AC07BCE"/>
    <w:rsid w:val="1AC92B69"/>
    <w:rsid w:val="1AD35795"/>
    <w:rsid w:val="1B7F0948"/>
    <w:rsid w:val="1C556C67"/>
    <w:rsid w:val="1C6C108F"/>
    <w:rsid w:val="1D1F2F14"/>
    <w:rsid w:val="1D2941FB"/>
    <w:rsid w:val="1DD947E5"/>
    <w:rsid w:val="1F5642FC"/>
    <w:rsid w:val="1F5922CD"/>
    <w:rsid w:val="20607ACB"/>
    <w:rsid w:val="21006EE6"/>
    <w:rsid w:val="21FC1A76"/>
    <w:rsid w:val="21FC7973"/>
    <w:rsid w:val="220A4192"/>
    <w:rsid w:val="223905D4"/>
    <w:rsid w:val="229E48DB"/>
    <w:rsid w:val="22AC524A"/>
    <w:rsid w:val="22F97D63"/>
    <w:rsid w:val="23623B5A"/>
    <w:rsid w:val="24977834"/>
    <w:rsid w:val="25172CD9"/>
    <w:rsid w:val="251B2213"/>
    <w:rsid w:val="255D6CCF"/>
    <w:rsid w:val="25D9577C"/>
    <w:rsid w:val="26E1123A"/>
    <w:rsid w:val="271E6A5F"/>
    <w:rsid w:val="27AB1CB6"/>
    <w:rsid w:val="281D62A2"/>
    <w:rsid w:val="282F2AF8"/>
    <w:rsid w:val="28353401"/>
    <w:rsid w:val="293B2E83"/>
    <w:rsid w:val="29AD41E8"/>
    <w:rsid w:val="29BD3672"/>
    <w:rsid w:val="29C56BF1"/>
    <w:rsid w:val="2A597E09"/>
    <w:rsid w:val="2A833419"/>
    <w:rsid w:val="2C6C77F8"/>
    <w:rsid w:val="2C8E3C12"/>
    <w:rsid w:val="2D157390"/>
    <w:rsid w:val="2DE55AB4"/>
    <w:rsid w:val="2E7F1A64"/>
    <w:rsid w:val="2EB060C2"/>
    <w:rsid w:val="2F154177"/>
    <w:rsid w:val="2FB219C5"/>
    <w:rsid w:val="2FC55B9D"/>
    <w:rsid w:val="2FD8767E"/>
    <w:rsid w:val="2FF4615F"/>
    <w:rsid w:val="302E742B"/>
    <w:rsid w:val="31C93669"/>
    <w:rsid w:val="323C5A5D"/>
    <w:rsid w:val="32700042"/>
    <w:rsid w:val="33643DB3"/>
    <w:rsid w:val="33DA3717"/>
    <w:rsid w:val="343C3F54"/>
    <w:rsid w:val="346C4839"/>
    <w:rsid w:val="34D2416B"/>
    <w:rsid w:val="354E03E2"/>
    <w:rsid w:val="360A4309"/>
    <w:rsid w:val="36883480"/>
    <w:rsid w:val="379419BE"/>
    <w:rsid w:val="38037262"/>
    <w:rsid w:val="388D1D36"/>
    <w:rsid w:val="3902751A"/>
    <w:rsid w:val="390F482E"/>
    <w:rsid w:val="393A4831"/>
    <w:rsid w:val="39B36A66"/>
    <w:rsid w:val="3A944AE9"/>
    <w:rsid w:val="3C5502A8"/>
    <w:rsid w:val="3D1D165D"/>
    <w:rsid w:val="400A0B15"/>
    <w:rsid w:val="401A15ED"/>
    <w:rsid w:val="402C70C6"/>
    <w:rsid w:val="40A62E81"/>
    <w:rsid w:val="40D45C40"/>
    <w:rsid w:val="40E35E83"/>
    <w:rsid w:val="40E84D51"/>
    <w:rsid w:val="41195DF8"/>
    <w:rsid w:val="411C75E7"/>
    <w:rsid w:val="41273D47"/>
    <w:rsid w:val="418C02C8"/>
    <w:rsid w:val="42CB4E20"/>
    <w:rsid w:val="438F22F2"/>
    <w:rsid w:val="44801C3A"/>
    <w:rsid w:val="44F227B7"/>
    <w:rsid w:val="45010FCD"/>
    <w:rsid w:val="453E4BD2"/>
    <w:rsid w:val="460F771A"/>
    <w:rsid w:val="4631631C"/>
    <w:rsid w:val="46873754"/>
    <w:rsid w:val="47B24801"/>
    <w:rsid w:val="47EA6595"/>
    <w:rsid w:val="484D6DEC"/>
    <w:rsid w:val="49277148"/>
    <w:rsid w:val="49D97E23"/>
    <w:rsid w:val="4A857FAB"/>
    <w:rsid w:val="4ABA1BCB"/>
    <w:rsid w:val="4BFA2B96"/>
    <w:rsid w:val="4C2F4368"/>
    <w:rsid w:val="4D3D4B6D"/>
    <w:rsid w:val="4D811AA5"/>
    <w:rsid w:val="500D0826"/>
    <w:rsid w:val="50CB7DCA"/>
    <w:rsid w:val="51031C29"/>
    <w:rsid w:val="51840FBC"/>
    <w:rsid w:val="51CB6BEB"/>
    <w:rsid w:val="51F22534"/>
    <w:rsid w:val="51F86D45"/>
    <w:rsid w:val="522D49A4"/>
    <w:rsid w:val="52681863"/>
    <w:rsid w:val="5268443A"/>
    <w:rsid w:val="52C673B2"/>
    <w:rsid w:val="52D01FDF"/>
    <w:rsid w:val="53A042C7"/>
    <w:rsid w:val="53F96359"/>
    <w:rsid w:val="54CB0CB0"/>
    <w:rsid w:val="553C0616"/>
    <w:rsid w:val="554F368F"/>
    <w:rsid w:val="55D3606E"/>
    <w:rsid w:val="56044479"/>
    <w:rsid w:val="56206DD9"/>
    <w:rsid w:val="56811F6E"/>
    <w:rsid w:val="56CB4F97"/>
    <w:rsid w:val="57061740"/>
    <w:rsid w:val="580544D9"/>
    <w:rsid w:val="581D7A74"/>
    <w:rsid w:val="58747CD7"/>
    <w:rsid w:val="58977827"/>
    <w:rsid w:val="58AC6244"/>
    <w:rsid w:val="58BC2EB0"/>
    <w:rsid w:val="58ED5699"/>
    <w:rsid w:val="58F5279F"/>
    <w:rsid w:val="594159E5"/>
    <w:rsid w:val="598D29D8"/>
    <w:rsid w:val="59914276"/>
    <w:rsid w:val="59BD0EF5"/>
    <w:rsid w:val="5ABC3575"/>
    <w:rsid w:val="5BB16E51"/>
    <w:rsid w:val="5BFD0408"/>
    <w:rsid w:val="5C723E7A"/>
    <w:rsid w:val="5C983B6D"/>
    <w:rsid w:val="5D61015C"/>
    <w:rsid w:val="5D7E2D63"/>
    <w:rsid w:val="5DCB1D21"/>
    <w:rsid w:val="5E8F4637"/>
    <w:rsid w:val="5EA600B9"/>
    <w:rsid w:val="5F693DE4"/>
    <w:rsid w:val="5F7B685A"/>
    <w:rsid w:val="60587E80"/>
    <w:rsid w:val="611C2FBF"/>
    <w:rsid w:val="630D37FA"/>
    <w:rsid w:val="63536A40"/>
    <w:rsid w:val="64814F72"/>
    <w:rsid w:val="65E322FD"/>
    <w:rsid w:val="66E005EB"/>
    <w:rsid w:val="672A7E5E"/>
    <w:rsid w:val="67652E7F"/>
    <w:rsid w:val="685360F8"/>
    <w:rsid w:val="68923B67"/>
    <w:rsid w:val="68A5554E"/>
    <w:rsid w:val="6AFF7CB3"/>
    <w:rsid w:val="6B961AF3"/>
    <w:rsid w:val="6BD267A9"/>
    <w:rsid w:val="6C841A18"/>
    <w:rsid w:val="6DB91B96"/>
    <w:rsid w:val="6DCB5401"/>
    <w:rsid w:val="6E9879FD"/>
    <w:rsid w:val="7004359C"/>
    <w:rsid w:val="706E4EB9"/>
    <w:rsid w:val="712C09DD"/>
    <w:rsid w:val="72007D93"/>
    <w:rsid w:val="726B5B54"/>
    <w:rsid w:val="73C82B32"/>
    <w:rsid w:val="75153B55"/>
    <w:rsid w:val="75952EE8"/>
    <w:rsid w:val="75F81FE2"/>
    <w:rsid w:val="76514C17"/>
    <w:rsid w:val="773109EF"/>
    <w:rsid w:val="77476464"/>
    <w:rsid w:val="78574485"/>
    <w:rsid w:val="78B43685"/>
    <w:rsid w:val="79425135"/>
    <w:rsid w:val="7A074F0E"/>
    <w:rsid w:val="7A3B6881"/>
    <w:rsid w:val="7AF8717C"/>
    <w:rsid w:val="7B641393"/>
    <w:rsid w:val="7B9F499A"/>
    <w:rsid w:val="7BE81275"/>
    <w:rsid w:val="7E0A3481"/>
    <w:rsid w:val="7E48597D"/>
    <w:rsid w:val="7E5D0587"/>
    <w:rsid w:val="7EE875BD"/>
    <w:rsid w:val="7F2826D7"/>
    <w:rsid w:val="7FD12D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4223</Words>
  <Characters>5166</Characters>
  <Lines>50</Lines>
  <Paragraphs>14</Paragraphs>
  <TotalTime>66</TotalTime>
  <ScaleCrop>false</ScaleCrop>
  <LinksUpToDate>false</LinksUpToDate>
  <CharactersWithSpaces>5504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2024-06-02T11:29:00Z</dcterms:created>
  <dc:creator>熙</dc:creator>
  <cp:lastModifiedBy>荣@</cp:lastModifiedBy>
  <dcterms:modified xsi:type="dcterms:W3CDTF">2024-06-03T08:39:25Z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3C3888D456184027AD0BDB575F48A588_13</vt:lpwstr>
  </property>
</Properties>
</file>