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兴国县樟木乡卫生院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樟木乡卫生院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樟木乡卫生院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樟木乡卫生院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240" w:lineRule="auto"/>
        <w:ind w:left="0" w:leftChars="0" w:firstLine="640" w:firstLineChars="200"/>
        <w:rPr>
          <w:rFonts w:hint="default" w:ascii="Times New Roman" w:hAnsi="Times New Roman" w:eastAsia="宋体" w:cs="Times New Roman"/>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6"/>
          <w:szCs w:val="36"/>
        </w:rPr>
      </w:pPr>
      <w:r>
        <w:rPr>
          <w:rFonts w:hint="eastAsia" w:ascii="黑体" w:hAnsi="黑体" w:eastAsia="黑体" w:cs="黑体"/>
          <w:b w:val="0"/>
          <w:bCs w:val="0"/>
          <w:color w:val="auto"/>
          <w:sz w:val="36"/>
          <w:szCs w:val="36"/>
        </w:rPr>
        <w:t>第一部分</w:t>
      </w:r>
      <w:r>
        <w:rPr>
          <w:rFonts w:hint="eastAsia" w:ascii="黑体" w:hAnsi="黑体" w:eastAsia="黑体" w:cs="黑体"/>
          <w:b w:val="0"/>
          <w:bCs w:val="0"/>
          <w:color w:val="auto"/>
          <w:sz w:val="36"/>
          <w:szCs w:val="36"/>
          <w:lang w:val="en-US" w:eastAsia="zh-CN"/>
        </w:rPr>
        <w:t xml:space="preserve"> 兴国县樟</w:t>
      </w:r>
      <w:r>
        <w:rPr>
          <w:rFonts w:hint="eastAsia" w:ascii="黑体" w:hAnsi="黑体" w:eastAsia="黑体" w:cs="黑体"/>
          <w:b w:val="0"/>
          <w:bCs w:val="0"/>
          <w:color w:val="auto"/>
          <w:sz w:val="36"/>
          <w:szCs w:val="36"/>
          <w:lang w:val="en-US" w:eastAsia="zh-CN"/>
        </w:rPr>
        <w:t>木乡卫生院</w:t>
      </w:r>
      <w:r>
        <w:rPr>
          <w:rFonts w:hint="eastAsia" w:ascii="黑体" w:hAnsi="黑体" w:eastAsia="黑体" w:cs="黑体"/>
          <w:b w:val="0"/>
          <w:bCs w:val="0"/>
          <w:color w:val="auto"/>
          <w:sz w:val="36"/>
          <w:szCs w:val="36"/>
        </w:rPr>
        <w:t>概况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center"/>
        <w:textAlignment w:val="auto"/>
        <w:rPr>
          <w:rFonts w:hint="eastAsia"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樟木</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樟木乡卫生院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科室10</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内外科、儿科、B超室、收费室、护理组、中医馆、财务室、公卫科、办公室、放射科(DR室)。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14</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1</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1</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atLeast"/>
        <w:ind w:firstLine="640" w:firstLineChars="200"/>
        <w:jc w:val="center"/>
        <w:textAlignment w:val="auto"/>
        <w:rPr>
          <w:rFonts w:hint="eastAsia" w:ascii="黑体" w:hAnsi="黑体" w:eastAsia="黑体" w:cs="黑体"/>
          <w:b w:val="0"/>
          <w:bCs w:val="0"/>
          <w:color w:val="auto"/>
          <w:sz w:val="32"/>
          <w:szCs w:val="32"/>
        </w:rPr>
      </w:pPr>
    </w:p>
    <w:p>
      <w:pPr>
        <w:keepNext w:val="0"/>
        <w:keepLines w:val="0"/>
        <w:pageBreakBefore w:val="0"/>
        <w:kinsoku/>
        <w:wordWrap/>
        <w:overflowPunct/>
        <w:topLinePunct w:val="0"/>
        <w:autoSpaceDE/>
        <w:autoSpaceDN/>
        <w:bidi w:val="0"/>
        <w:adjustRightInd/>
        <w:snapToGrid/>
        <w:spacing w:line="560" w:lineRule="atLeast"/>
        <w:ind w:firstLine="640" w:firstLineChars="200"/>
        <w:jc w:val="center"/>
        <w:textAlignment w:val="auto"/>
        <w:rPr>
          <w:rFonts w:hint="eastAsia" w:ascii="黑体" w:hAnsi="黑体" w:eastAsia="黑体" w:cs="黑体"/>
          <w:b w:val="0"/>
          <w:bCs w:val="0"/>
          <w:color w:val="auto"/>
          <w:sz w:val="32"/>
          <w:szCs w:val="32"/>
        </w:rPr>
      </w:pPr>
    </w:p>
    <w:p>
      <w:pPr>
        <w:keepNext w:val="0"/>
        <w:keepLines w:val="0"/>
        <w:pageBreakBefore w:val="0"/>
        <w:kinsoku/>
        <w:wordWrap/>
        <w:overflowPunct/>
        <w:topLinePunct w:val="0"/>
        <w:autoSpaceDE/>
        <w:autoSpaceDN/>
        <w:bidi w:val="0"/>
        <w:adjustRightInd/>
        <w:snapToGrid/>
        <w:spacing w:line="560" w:lineRule="atLeast"/>
        <w:ind w:firstLine="640" w:firstLineChars="200"/>
        <w:jc w:val="center"/>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仿宋" w:hAnsi="仿宋" w:eastAsia="仿宋" w:cs="仿宋"/>
          <w:b/>
          <w:bCs/>
          <w:color w:val="auto"/>
          <w:sz w:val="32"/>
          <w:szCs w:val="32"/>
          <w:lang w:val="en-US" w:eastAsia="zh-CN"/>
        </w:rPr>
        <w:t>樟</w:t>
      </w:r>
      <w:r>
        <w:rPr>
          <w:rFonts w:hint="eastAsia" w:ascii="黑体" w:hAnsi="黑体" w:eastAsia="黑体" w:cs="黑体"/>
          <w:b w:val="0"/>
          <w:bCs w:val="0"/>
          <w:color w:val="auto"/>
          <w:sz w:val="32"/>
          <w:szCs w:val="32"/>
          <w:lang w:val="en-US" w:eastAsia="zh-CN"/>
        </w:rPr>
        <w:t>木乡卫生院</w:t>
      </w:r>
      <w:r>
        <w:rPr>
          <w:rFonts w:hint="eastAsia" w:ascii="黑体" w:hAnsi="黑体" w:eastAsia="黑体" w:cs="黑体"/>
          <w:b w:val="0"/>
          <w:bCs w:val="0"/>
          <w:color w:val="auto"/>
          <w:sz w:val="32"/>
          <w:szCs w:val="32"/>
        </w:rPr>
        <w:t>预算情况说明</w:t>
      </w:r>
    </w:p>
    <w:p>
      <w:pPr>
        <w:keepNext w:val="0"/>
        <w:keepLines w:val="0"/>
        <w:pageBreakBefore w:val="0"/>
        <w:kinsoku/>
        <w:wordWrap/>
        <w:overflowPunct/>
        <w:topLinePunct w:val="0"/>
        <w:autoSpaceDE/>
        <w:autoSpaceDN/>
        <w:bidi w:val="0"/>
        <w:adjustRightInd/>
        <w:snapToGrid/>
        <w:spacing w:line="560" w:lineRule="atLeast"/>
        <w:ind w:firstLine="643" w:firstLineChars="200"/>
        <w:jc w:val="center"/>
        <w:textAlignment w:val="auto"/>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atLeas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val="en-US" w:eastAsia="zh-CN"/>
        </w:rPr>
        <w:t>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912.16</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加79.21</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长9.51%</w:t>
      </w:r>
      <w:r>
        <w:rPr>
          <w:rFonts w:hint="eastAsia" w:ascii="仿宋" w:hAnsi="仿宋" w:eastAsia="仿宋" w:cs="仿宋"/>
          <w:sz w:val="32"/>
          <w:szCs w:val="32"/>
        </w:rPr>
        <w:t>。</w:t>
      </w:r>
      <w:r>
        <w:rPr>
          <w:rFonts w:hint="eastAsia" w:ascii="仿宋" w:hAnsi="仿宋" w:eastAsia="仿宋" w:cs="仿宋"/>
          <w:sz w:val="32"/>
          <w:szCs w:val="32"/>
          <w:lang w:eastAsia="zh-CN"/>
        </w:rPr>
        <w:t>主要原因是：增加医疗设备，人员培训到位，提升了医疗服务水平，</w:t>
      </w:r>
      <w:r>
        <w:rPr>
          <w:rFonts w:hint="eastAsia" w:ascii="仿宋" w:hAnsi="仿宋" w:eastAsia="仿宋" w:cs="仿宋"/>
          <w:sz w:val="32"/>
          <w:szCs w:val="32"/>
          <w:lang w:val="en-US" w:eastAsia="zh-CN"/>
        </w:rPr>
        <w:t>医疗业务收入有增加的趋势</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100.45</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4.57</w:t>
      </w:r>
      <w:r>
        <w:rPr>
          <w:rFonts w:hint="eastAsia" w:ascii="仿宋" w:hAnsi="仿宋" w:eastAsia="仿宋" w:cs="仿宋"/>
          <w:sz w:val="32"/>
          <w:szCs w:val="32"/>
        </w:rPr>
        <w:t>万元;</w:t>
      </w:r>
      <w:r>
        <w:rPr>
          <w:rFonts w:hint="eastAsia" w:ascii="仿宋" w:hAnsi="仿宋" w:eastAsia="仿宋" w:cs="仿宋"/>
          <w:sz w:val="32"/>
          <w:szCs w:val="32"/>
          <w:lang w:eastAsia="zh-CN"/>
        </w:rPr>
        <w:t>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val="en-US"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万元;事业收入</w:t>
      </w:r>
      <w:r>
        <w:rPr>
          <w:rFonts w:hint="eastAsia" w:ascii="仿宋" w:hAnsi="仿宋" w:eastAsia="仿宋" w:cs="仿宋"/>
          <w:sz w:val="32"/>
          <w:szCs w:val="32"/>
          <w:lang w:val="en-US" w:eastAsia="zh-CN"/>
        </w:rPr>
        <w:t>811.71</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83.78</w:t>
      </w:r>
      <w:r>
        <w:rPr>
          <w:rFonts w:hint="eastAsia" w:ascii="仿宋" w:hAnsi="仿宋" w:eastAsia="仿宋" w:cs="仿宋"/>
          <w:sz w:val="32"/>
          <w:szCs w:val="32"/>
        </w:rPr>
        <w:t>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2023年本单位支出预算总额912.16万元，较上年预算安排增加79.21万元，增长9.51%。增长主要原因是：人员工资及药品增长。具体为：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 912.16万元，较上年预算安排增加79.21万元，其中：工资福利支出401.04万元，商品和服务支出432.72万元，对个人和家庭的补助0.80万元，资本性支出77.60万元。项目支出0万元，较上年预算安排增长0</w:t>
      </w:r>
      <w:bookmarkStart w:id="0" w:name="_GoBack"/>
      <w:bookmarkEnd w:id="0"/>
      <w:r>
        <w:rPr>
          <w:rFonts w:hint="eastAsia" w:ascii="仿宋" w:hAnsi="仿宋" w:eastAsia="仿宋" w:cs="仿宋"/>
          <w:sz w:val="32"/>
          <w:szCs w:val="32"/>
          <w:lang w:val="en-US" w:eastAsia="zh-CN"/>
        </w:rPr>
        <w:t>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15.34万元,较上年预算安排减少38.26万元;卫生健康支出896.82万元,较上年预算安排增加135.47万元;住房保障支出0万元,较上年预算安排减少18.00万元;其他支出0万元,较上年预算安排增加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2023年本单位财政拨款（补助）支出预算100.45万元，占本年支出预算额的11.01%，较上年预算安排减少4.57万元，减少4.35%。增减变化主要原因是：人员工资福利减少。具体为：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100.45万元，较上年预算安排减少4.57元，其中：工资福利支出100.45万元，商品和服务支出0万元，对个人和家庭的补助0万元，资本性支出0万元。项目支出0万元，较上年预算安排增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15.34万元,较上年预算安排增多1.94万元;卫生健康支出85.11万元,较上年预算安排减少6.51万元;住房保障支出0万元,较上年预算安排增加0万元;其他支出0万元,较上年预算安排增加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2023年本单位无使用政府性基金预算拨款安排的支出。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2023年单位政府采购总额95.60万元，其中：政府采购货物预算95.60万元、政府采购工程预算0万元、政府采购服务预算0万元。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截至2022年12月31日单位共有车辆1辆，其中：一般公务用车0辆、执法执勤用车0辆、特种专业技术用车1辆。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2023年本单位预算安排购置车辆0辆，安排购置单位价值200万元以上大型设备具体为：无。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2023年实行绩效目标管理的项目0个，涉及资金0万元。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（九）国有资本经营情况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二、2023年“三公”经费预算情况说明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2023年兴国县樟木乡卫生院单位“三公”经费一般公共预算安排0万元。其中：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因公出国（境）费0万元，比上年增加0万元，主要原因是：与上年安排保持一致。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公务接待费0万元，比上年增加0万元，主要原因是：与上年安排保持一致。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公务用车运行维护费0万元，比上年增加0万元，主要原因是：与上年安排保持一致。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公务用车购置费0万元，比上年增加0万元，主要原因是：与上年安排保持一致。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黑体" w:hAnsi="黑体" w:eastAsia="黑体" w:cs="黑体"/>
          <w:b w:val="0"/>
          <w:bCs w:val="0"/>
          <w:color w:val="auto"/>
          <w:sz w:val="32"/>
          <w:szCs w:val="32"/>
          <w:lang w:val="en-US" w:eastAsia="zh-CN"/>
        </w:rPr>
        <w:t>兴国县樟</w:t>
      </w:r>
      <w:r>
        <w:rPr>
          <w:rFonts w:hint="eastAsia" w:ascii="黑体" w:hAnsi="黑体" w:eastAsia="黑体" w:cs="黑体"/>
          <w:b w:val="0"/>
          <w:bCs w:val="0"/>
          <w:color w:val="auto"/>
          <w:sz w:val="32"/>
          <w:szCs w:val="32"/>
          <w:lang w:val="en-US" w:eastAsia="zh-CN"/>
        </w:rPr>
        <w:t>木乡卫生院2023年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691"/>
        <w:gridCol w:w="1844"/>
        <w:gridCol w:w="3004"/>
        <w:gridCol w:w="21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2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[403035]兴国县樟木乡卫生院</w:t>
            </w:r>
          </w:p>
        </w:tc>
        <w:tc>
          <w:tcPr>
            <w:tcW w:w="862"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40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00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59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40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811.71</w:t>
            </w: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912.16</w:t>
            </w: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912.16</w:t>
            </w:r>
          </w:p>
        </w:tc>
        <w:tc>
          <w:tcPr>
            <w:tcW w:w="14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912.16</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76"/>
        <w:gridCol w:w="2854"/>
        <w:gridCol w:w="1018"/>
        <w:gridCol w:w="1087"/>
        <w:gridCol w:w="659"/>
        <w:gridCol w:w="878"/>
        <w:gridCol w:w="862"/>
        <w:gridCol w:w="712"/>
        <w:gridCol w:w="656"/>
        <w:gridCol w:w="665"/>
        <w:gridCol w:w="890"/>
        <w:gridCol w:w="703"/>
        <w:gridCol w:w="637"/>
        <w:gridCol w:w="712"/>
        <w:gridCol w:w="228"/>
        <w:gridCol w:w="546"/>
        <w:gridCol w:w="10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5000" w:type="pct"/>
            <w:gridSpan w:val="1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trPr>
        <w:tc>
          <w:tcPr>
            <w:tcW w:w="1387"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libri" w:hAnsi="Calibri" w:cs="Calibri"/>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[403035]兴国县樟木乡卫生院</w:t>
            </w:r>
          </w:p>
        </w:tc>
        <w:tc>
          <w:tcPr>
            <w:tcW w:w="326" w:type="pct"/>
            <w:tcBorders>
              <w:top w:val="nil"/>
              <w:left w:val="nil"/>
              <w:bottom w:val="nil"/>
              <w:right w:val="nil"/>
            </w:tcBorders>
            <w:shd w:val="clear" w:color="auto" w:fill="auto"/>
            <w:noWrap/>
            <w:vAlign w:val="bottom"/>
          </w:tcPr>
          <w:p>
            <w:pPr>
              <w:rPr>
                <w:color w:val="000000" w:themeColor="text1"/>
                <w:sz w:val="20"/>
                <w:szCs w:val="20"/>
                <w:highlight w:val="none"/>
                <w14:textFill>
                  <w14:solidFill>
                    <w14:schemeClr w14:val="tx1"/>
                  </w14:solidFill>
                </w14:textFill>
              </w:rPr>
            </w:pPr>
          </w:p>
        </w:tc>
        <w:tc>
          <w:tcPr>
            <w:tcW w:w="348"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81"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76"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28"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08"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13"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85"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25"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04"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228" w:type="pct"/>
            <w:tcBorders>
              <w:top w:val="nil"/>
              <w:left w:val="nil"/>
              <w:bottom w:val="nil"/>
              <w:right w:val="nil"/>
            </w:tcBorders>
            <w:shd w:val="clear" w:color="auto" w:fill="auto"/>
            <w:noWrap/>
            <w:vAlign w:val="bottom"/>
          </w:tcPr>
          <w:p>
            <w:pPr>
              <w:rPr>
                <w:color w:val="000000" w:themeColor="text1"/>
                <w:sz w:val="20"/>
                <w:szCs w:val="20"/>
                <w:highlight w:val="none"/>
                <w14:textFill>
                  <w14:solidFill>
                    <w14:schemeClr w14:val="tx1"/>
                  </w14:solidFill>
                </w14:textFill>
              </w:rPr>
            </w:pPr>
          </w:p>
        </w:tc>
        <w:tc>
          <w:tcPr>
            <w:tcW w:w="73" w:type="pct"/>
            <w:tcBorders>
              <w:top w:val="nil"/>
              <w:left w:val="nil"/>
              <w:bottom w:val="nil"/>
              <w:right w:val="nil"/>
            </w:tcBorders>
            <w:shd w:val="clear" w:color="auto" w:fill="auto"/>
            <w:noWrap/>
            <w:vAlign w:val="bottom"/>
          </w:tcPr>
          <w:p>
            <w:pPr>
              <w:rPr>
                <w:rFonts w:hint="default" w:ascii="Calibri" w:hAnsi="Calibri" w:cs="Calibri"/>
                <w:i w:val="0"/>
                <w:iCs w:val="0"/>
                <w:color w:val="000000" w:themeColor="text1"/>
                <w:sz w:val="20"/>
                <w:szCs w:val="20"/>
                <w:highlight w:val="none"/>
                <w:u w:val="none"/>
                <w14:textFill>
                  <w14:solidFill>
                    <w14:schemeClr w14:val="tx1"/>
                  </w14:solidFill>
                </w14:textFill>
              </w:rPr>
            </w:pPr>
          </w:p>
        </w:tc>
        <w:tc>
          <w:tcPr>
            <w:tcW w:w="498" w:type="pct"/>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功能科目编码</w:t>
            </w:r>
          </w:p>
        </w:tc>
        <w:tc>
          <w:tcPr>
            <w:tcW w:w="124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功能科目名称</w:t>
            </w:r>
          </w:p>
        </w:tc>
        <w:tc>
          <w:tcPr>
            <w:tcW w:w="348"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合计</w:t>
            </w:r>
          </w:p>
        </w:tc>
        <w:tc>
          <w:tcPr>
            <w:tcW w:w="2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上年结转</w:t>
            </w:r>
          </w:p>
        </w:tc>
        <w:tc>
          <w:tcPr>
            <w:tcW w:w="995"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财政拨款</w:t>
            </w:r>
          </w:p>
        </w:tc>
        <w:tc>
          <w:tcPr>
            <w:tcW w:w="21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教育收费资金收入</w:t>
            </w:r>
          </w:p>
        </w:tc>
        <w:tc>
          <w:tcPr>
            <w:tcW w:w="28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事业</w:t>
            </w:r>
          </w:p>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收入</w:t>
            </w:r>
          </w:p>
        </w:tc>
        <w:tc>
          <w:tcPr>
            <w:tcW w:w="22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事业单位经营收入</w:t>
            </w:r>
          </w:p>
        </w:tc>
        <w:tc>
          <w:tcPr>
            <w:tcW w:w="20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附属单位上缴收入</w:t>
            </w:r>
          </w:p>
        </w:tc>
        <w:tc>
          <w:tcPr>
            <w:tcW w:w="22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color w:val="000000" w:themeColor="text1"/>
                <w:sz w:val="20"/>
                <w:szCs w:val="20"/>
                <w:highlight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上级补助收入</w:t>
            </w:r>
          </w:p>
        </w:tc>
        <w:tc>
          <w:tcPr>
            <w:tcW w:w="248" w:type="pct"/>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其他收入</w:t>
            </w:r>
          </w:p>
        </w:tc>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5" w:hRule="atLeast"/>
        </w:trPr>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24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4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小计</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一般公共预算拨款收入</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政府性基金预算拨款收入</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国有资本经营预算收入</w:t>
            </w:r>
          </w:p>
        </w:tc>
        <w:tc>
          <w:tcPr>
            <w:tcW w:w="21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4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w:t>
            </w:r>
          </w:p>
        </w:tc>
        <w:tc>
          <w:tcPr>
            <w:tcW w:w="1240"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w:t>
            </w:r>
          </w:p>
        </w:tc>
        <w:tc>
          <w:tcPr>
            <w:tcW w:w="3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w:t>
            </w:r>
          </w:p>
        </w:tc>
        <w:tc>
          <w:tcPr>
            <w:tcW w:w="2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w:t>
            </w:r>
          </w:p>
        </w:tc>
        <w:tc>
          <w:tcPr>
            <w:tcW w:w="2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w:t>
            </w:r>
          </w:p>
        </w:tc>
        <w:tc>
          <w:tcPr>
            <w:tcW w:w="20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w:t>
            </w:r>
          </w:p>
        </w:tc>
        <w:tc>
          <w:tcPr>
            <w:tcW w:w="2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w:t>
            </w:r>
          </w:p>
        </w:tc>
        <w:tc>
          <w:tcPr>
            <w:tcW w:w="28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5</w:t>
            </w:r>
          </w:p>
        </w:tc>
        <w:tc>
          <w:tcPr>
            <w:tcW w:w="20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w:t>
            </w:r>
          </w:p>
        </w:tc>
        <w:tc>
          <w:tcPr>
            <w:tcW w:w="22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color w:val="000000" w:themeColor="text1"/>
                <w:sz w:val="20"/>
                <w:szCs w:val="20"/>
                <w:highlight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w:t>
            </w:r>
          </w:p>
        </w:tc>
        <w:tc>
          <w:tcPr>
            <w:tcW w:w="248"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w:t>
            </w:r>
          </w:p>
        </w:tc>
        <w:tc>
          <w:tcPr>
            <w:tcW w:w="32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合计</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912.16</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100.45</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100.45</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811.71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208</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社会保障和就业支出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25.57</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15.34</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15.34</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05</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行政事业单位养老支出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25.57</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15.34</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15.34</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10.23</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2080505</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机关事业单位基本养老保险缴费支出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18.67</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11.20</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7.47</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2080506</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机关事业单位职业年金缴费支出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6.90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4.14</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4.14</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2.76</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210</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卫生健康支出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869.79</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85.11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85.11</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784.68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03</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基层医疗卫生机构</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863.18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81.80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81.80</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781.38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2100302</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乡镇卫生院</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863.18</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81.80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81.80</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781.38</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11</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行政事业单位医疗</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2101102</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事业单位医疗</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6.61</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3.30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221</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住房保障支出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02</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住房改革支出</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2210201</w:t>
            </w:r>
          </w:p>
        </w:tc>
        <w:tc>
          <w:tcPr>
            <w:tcW w:w="12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　　住房公积金</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16.80</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r>
              <w:rPr>
                <w:rFonts w:hint="eastAsia" w:ascii="宋体" w:hAnsi="宋体" w:eastAsia="宋体" w:cs="宋体"/>
                <w:i w:val="0"/>
                <w:iCs w:val="0"/>
                <w:color w:val="000000" w:themeColor="text1"/>
                <w:kern w:val="0"/>
                <w:sz w:val="20"/>
                <w:szCs w:val="20"/>
                <w:highlight w:val="none"/>
                <w:u w:val="none"/>
                <w:lang w:val="en-US" w:eastAsia="zh-CN" w:bidi="ar"/>
                <w14:textFill>
                  <w14:solidFill>
                    <w14:schemeClr w14:val="tx1"/>
                  </w14:solidFill>
                </w14:textFill>
              </w:rPr>
              <w:t>16.80</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themeColor="text1"/>
                <w:sz w:val="20"/>
                <w:szCs w:val="20"/>
                <w:highlight w:val="none"/>
                <w14:textFill>
                  <w14:solidFill>
                    <w14:schemeClr w14:val="tx1"/>
                  </w14:solidFill>
                </w14:textFill>
              </w:rPr>
            </w:pPr>
          </w:p>
        </w:tc>
        <w:tc>
          <w:tcPr>
            <w:tcW w:w="2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0"/>
                <w:szCs w:val="20"/>
                <w:highlight w:val="none"/>
                <w:u w:val="none"/>
                <w14:textFill>
                  <w14:solidFill>
                    <w14:schemeClr w14:val="tx1"/>
                  </w14:solidFill>
                </w14:textFill>
              </w:rPr>
            </w:pPr>
          </w:p>
        </w:tc>
      </w:tr>
    </w:tbl>
    <w:p>
      <w:pPr>
        <w:numPr>
          <w:ilvl w:val="0"/>
          <w:numId w:val="0"/>
        </w:numPr>
        <w:spacing w:line="560" w:lineRule="exact"/>
        <w:ind w:left="0" w:leftChars="0" w:firstLine="0" w:firstLineChars="0"/>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104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97"/>
        <w:gridCol w:w="4197"/>
        <w:gridCol w:w="908"/>
        <w:gridCol w:w="1039"/>
        <w:gridCol w:w="12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48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[403035]兴国县樟木乡卫生院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支出功能分类科目</w:t>
            </w:r>
          </w:p>
        </w:tc>
        <w:tc>
          <w:tcPr>
            <w:tcW w:w="96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科目名称 </w:t>
            </w:r>
          </w:p>
        </w:tc>
        <w:tc>
          <w:tcPr>
            <w:tcW w:w="96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912.16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912.16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208</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05</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2080505</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2080506</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210</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03</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基层医疗卫生机构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893.51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893.51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2100302</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乡镇卫生院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893.51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893.51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11</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2101102</w:t>
            </w: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2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highlight w:val="none"/>
                <w:u w:val="none"/>
              </w:rPr>
            </w:pPr>
          </w:p>
        </w:tc>
        <w:tc>
          <w:tcPr>
            <w:tcW w:w="4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cs="Calibri"/>
                <w:i w:val="0"/>
                <w:iCs w:val="0"/>
                <w:color w:val="000000"/>
                <w:sz w:val="20"/>
                <w:szCs w:val="20"/>
                <w:highlight w:val="yellow"/>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108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70"/>
        <w:gridCol w:w="1000"/>
        <w:gridCol w:w="2066"/>
        <w:gridCol w:w="1065"/>
        <w:gridCol w:w="1170"/>
        <w:gridCol w:w="1290"/>
        <w:gridCol w:w="1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895" w:type="dxa"/>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136" w:type="dxa"/>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[403035]兴国县樟木乡卫生院</w:t>
            </w:r>
          </w:p>
        </w:tc>
        <w:tc>
          <w:tcPr>
            <w:tcW w:w="106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117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c>
          <w:tcPr>
            <w:tcW w:w="1290"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highlight w:val="none"/>
                <w:u w:val="none"/>
              </w:rPr>
            </w:pPr>
          </w:p>
        </w:tc>
        <w:tc>
          <w:tcPr>
            <w:tcW w:w="123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0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      入</w:t>
            </w:r>
          </w:p>
        </w:tc>
        <w:tc>
          <w:tcPr>
            <w:tcW w:w="682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预算数</w:t>
            </w:r>
          </w:p>
        </w:tc>
        <w:tc>
          <w:tcPr>
            <w:tcW w:w="206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项目(按支出功能科目类级)</w:t>
            </w:r>
          </w:p>
        </w:tc>
        <w:tc>
          <w:tcPr>
            <w:tcW w:w="106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11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一般公共预算支出</w:t>
            </w:r>
          </w:p>
        </w:tc>
        <w:tc>
          <w:tcPr>
            <w:tcW w:w="129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政府性基金预算支出</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一、财政拨款收入</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一、本年支出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一般公共预算拨款收入</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15.34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15.34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政府性基金预算拨款收入</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85.11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85.11</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国有资本经营预算收入</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highlight w:val="none"/>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收入总计</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2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支出总计</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100.45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p>
        </w:tc>
      </w:tr>
    </w:tbl>
    <w:p>
      <w:pPr>
        <w:pStyle w:val="2"/>
        <w:rPr>
          <w:rFonts w:hint="eastAsia" w:ascii="仿宋" w:hAnsi="仿宋" w:eastAsia="仿宋" w:cs="仿宋"/>
          <w:color w:val="auto"/>
          <w:kern w:val="2"/>
          <w:sz w:val="20"/>
          <w:szCs w:val="20"/>
          <w:highlight w:val="none"/>
          <w:lang w:val="en-US" w:eastAsia="zh-CN" w:bidi="ar-SA"/>
        </w:rPr>
      </w:pPr>
    </w:p>
    <w:p>
      <w:pPr>
        <w:pStyle w:val="2"/>
        <w:rPr>
          <w:rFonts w:hint="eastAsia" w:ascii="仿宋" w:hAnsi="仿宋" w:eastAsia="仿宋" w:cs="仿宋"/>
          <w:color w:val="auto"/>
          <w:kern w:val="2"/>
          <w:sz w:val="20"/>
          <w:szCs w:val="20"/>
          <w:highlight w:val="none"/>
          <w:lang w:val="en-US" w:eastAsia="zh-CN" w:bidi="ar-SA"/>
        </w:rPr>
      </w:pPr>
    </w:p>
    <w:p>
      <w:pPr>
        <w:pStyle w:val="2"/>
        <w:rPr>
          <w:rFonts w:hint="eastAsia" w:ascii="仿宋" w:hAnsi="仿宋" w:eastAsia="仿宋" w:cs="仿宋"/>
          <w:color w:val="auto"/>
          <w:kern w:val="2"/>
          <w:sz w:val="20"/>
          <w:szCs w:val="20"/>
          <w:highlight w:val="none"/>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sectPr>
          <w:pgSz w:w="11906" w:h="16838"/>
          <w:pgMar w:top="720" w:right="720" w:bottom="720" w:left="720" w:header="851" w:footer="992" w:gutter="0"/>
          <w:pgNumType w:fmt="decimal"/>
          <w:cols w:space="0" w:num="1"/>
          <w:docGrid w:type="lines" w:linePitch="322" w:charSpace="0"/>
        </w:sect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105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81"/>
        <w:gridCol w:w="4175"/>
        <w:gridCol w:w="893"/>
        <w:gridCol w:w="1112"/>
        <w:gridCol w:w="13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59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[403035]兴国县樟木乡卫生院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107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216"/>
        <w:gridCol w:w="1275"/>
        <w:gridCol w:w="1425"/>
        <w:gridCol w:w="2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785"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[403035]兴国县樟木乡卫生院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100.45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52.27</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52.27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108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76"/>
        <w:gridCol w:w="383"/>
        <w:gridCol w:w="1053"/>
        <w:gridCol w:w="696"/>
        <w:gridCol w:w="240"/>
        <w:gridCol w:w="966"/>
        <w:gridCol w:w="977"/>
        <w:gridCol w:w="1883"/>
        <w:gridCol w:w="1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376" w:type="dxa"/>
            <w:tcBorders>
              <w:top w:val="nil"/>
              <w:left w:val="nil"/>
              <w:bottom w:val="nil"/>
              <w:right w:val="nil"/>
            </w:tcBorders>
            <w:shd w:val="clear" w:color="auto" w:fill="auto"/>
            <w:noWrap/>
            <w:vAlign w:val="bottom"/>
          </w:tcPr>
          <w:p>
            <w:pPr>
              <w:rPr>
                <w:rFonts w:hint="eastAsia" w:ascii="Calibri" w:hAnsi="Calibri" w:cs="Calibri"/>
                <w:i w:val="0"/>
                <w:iCs w:val="0"/>
                <w:color w:val="000000"/>
                <w:sz w:val="16"/>
                <w:szCs w:val="16"/>
                <w:u w:val="none"/>
              </w:rPr>
            </w:pPr>
          </w:p>
        </w:tc>
        <w:tc>
          <w:tcPr>
            <w:tcW w:w="1436" w:type="dxa"/>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696"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240" w:type="dxa"/>
            <w:tcBorders>
              <w:top w:val="nil"/>
              <w:left w:val="nil"/>
              <w:bottom w:val="nil"/>
              <w:right w:val="nil"/>
            </w:tcBorders>
            <w:shd w:val="clear" w:color="auto" w:fill="auto"/>
            <w:noWrap/>
            <w:vAlign w:val="bottom"/>
          </w:tcPr>
          <w:p>
            <w:pPr>
              <w:rPr>
                <w:rFonts w:hint="default" w:ascii="Calibri" w:hAnsi="Calibri" w:cs="Calibri"/>
                <w:i w:val="0"/>
                <w:iCs w:val="0"/>
                <w:color w:val="000000"/>
                <w:sz w:val="16"/>
                <w:szCs w:val="16"/>
                <w:u w:val="none"/>
              </w:rPr>
            </w:pPr>
          </w:p>
        </w:tc>
        <w:tc>
          <w:tcPr>
            <w:tcW w:w="5147" w:type="dxa"/>
            <w:gridSpan w:val="4"/>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895"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759" w:type="dxa"/>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[403035]兴国县樟木乡卫生院</w:t>
            </w:r>
          </w:p>
        </w:tc>
        <w:tc>
          <w:tcPr>
            <w:tcW w:w="105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6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1206"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977"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33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4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0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8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13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3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0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8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33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4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sz w:val="20"/>
          <w:szCs w:val="20"/>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20"/>
        <w:gridCol w:w="8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[403035]兴国县樟木乡卫生院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35</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樟木</w:t>
            </w:r>
            <w:r>
              <w:rPr>
                <w:rFonts w:hint="eastAsia" w:ascii="宋体" w:hAnsi="宋体" w:eastAsia="宋体" w:cs="宋体"/>
                <w:i w:val="0"/>
                <w:iCs w:val="0"/>
                <w:color w:val="000000"/>
                <w:kern w:val="0"/>
                <w:sz w:val="20"/>
                <w:szCs w:val="20"/>
                <w:u w:val="none"/>
                <w:lang w:val="en-US" w:eastAsia="zh-CN" w:bidi="ar"/>
              </w:rPr>
              <w:t>乡卫生院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atLeas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60" w:lineRule="atLeast"/>
        <w:textAlignment w:val="auto"/>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31EE0D-6F4C-4F00-8532-8F5BC06C32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2F58BED-E79D-4489-9EAD-1478C7A6B62A}"/>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3F2665DC-2C2F-493E-A0C4-5B0C875A2B7C}"/>
  </w:font>
  <w:font w:name="仿宋">
    <w:panose1 w:val="02010609060101010101"/>
    <w:charset w:val="86"/>
    <w:family w:val="auto"/>
    <w:pitch w:val="default"/>
    <w:sig w:usb0="800002BF" w:usb1="38CF7CFA" w:usb2="00000016" w:usb3="00000000" w:csb0="00040001" w:csb1="00000000"/>
    <w:embedRegular r:id="rId4" w:fontKey="{5F46C393-81EC-4E10-8EBC-2361619DCBA0}"/>
  </w:font>
  <w:font w:name="楷体">
    <w:panose1 w:val="02010609060101010101"/>
    <w:charset w:val="86"/>
    <w:family w:val="auto"/>
    <w:pitch w:val="default"/>
    <w:sig w:usb0="800002BF" w:usb1="38CF7CFA" w:usb2="00000016" w:usb3="00000000" w:csb0="00040001" w:csb1="00000000"/>
    <w:embedRegular r:id="rId5" w:fontKey="{F9DC410D-34F5-49D8-A64E-AD7F3DE98E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43144"/>
    <w:rsid w:val="00092509"/>
    <w:rsid w:val="015021FE"/>
    <w:rsid w:val="015C2B0C"/>
    <w:rsid w:val="02186A33"/>
    <w:rsid w:val="02EE59E6"/>
    <w:rsid w:val="034A5312"/>
    <w:rsid w:val="035A307B"/>
    <w:rsid w:val="036060F1"/>
    <w:rsid w:val="036E77F6"/>
    <w:rsid w:val="03936CB9"/>
    <w:rsid w:val="03C230FA"/>
    <w:rsid w:val="0410030A"/>
    <w:rsid w:val="042D7EDC"/>
    <w:rsid w:val="04357D70"/>
    <w:rsid w:val="04664AEF"/>
    <w:rsid w:val="04812FB5"/>
    <w:rsid w:val="04E35A1E"/>
    <w:rsid w:val="04EE7A30"/>
    <w:rsid w:val="05502988"/>
    <w:rsid w:val="05A84572"/>
    <w:rsid w:val="061834A6"/>
    <w:rsid w:val="07061550"/>
    <w:rsid w:val="07AF5FEE"/>
    <w:rsid w:val="09297778"/>
    <w:rsid w:val="095073FA"/>
    <w:rsid w:val="09DB55D8"/>
    <w:rsid w:val="0A310FDA"/>
    <w:rsid w:val="0AD33D99"/>
    <w:rsid w:val="0ADD6A3D"/>
    <w:rsid w:val="0B065FC2"/>
    <w:rsid w:val="0B284410"/>
    <w:rsid w:val="0BA650B0"/>
    <w:rsid w:val="0BDC31C7"/>
    <w:rsid w:val="0BE45BD8"/>
    <w:rsid w:val="0CBD0903"/>
    <w:rsid w:val="0D523741"/>
    <w:rsid w:val="0D5D5C42"/>
    <w:rsid w:val="0D605732"/>
    <w:rsid w:val="0DD70E5E"/>
    <w:rsid w:val="0E0D7668"/>
    <w:rsid w:val="0E1A3B33"/>
    <w:rsid w:val="0E6C0832"/>
    <w:rsid w:val="0E715E49"/>
    <w:rsid w:val="0F225395"/>
    <w:rsid w:val="0F4D0AAA"/>
    <w:rsid w:val="0F6F1C49"/>
    <w:rsid w:val="0F7A6F7F"/>
    <w:rsid w:val="0F7B4AA5"/>
    <w:rsid w:val="0FC63F72"/>
    <w:rsid w:val="0FCF7859"/>
    <w:rsid w:val="0FD61CDB"/>
    <w:rsid w:val="0FFC1742"/>
    <w:rsid w:val="10282537"/>
    <w:rsid w:val="10AB3168"/>
    <w:rsid w:val="112A6783"/>
    <w:rsid w:val="11472E91"/>
    <w:rsid w:val="11D31F29"/>
    <w:rsid w:val="12EA61CA"/>
    <w:rsid w:val="13B16CE7"/>
    <w:rsid w:val="13C24A51"/>
    <w:rsid w:val="14172FEE"/>
    <w:rsid w:val="14E76E65"/>
    <w:rsid w:val="150775E9"/>
    <w:rsid w:val="157E7936"/>
    <w:rsid w:val="158F4E06"/>
    <w:rsid w:val="16826719"/>
    <w:rsid w:val="16A448E1"/>
    <w:rsid w:val="16DF42E2"/>
    <w:rsid w:val="17604CAC"/>
    <w:rsid w:val="17FD24FB"/>
    <w:rsid w:val="18BF1EA7"/>
    <w:rsid w:val="18DA0A8E"/>
    <w:rsid w:val="195C14A3"/>
    <w:rsid w:val="19B968F6"/>
    <w:rsid w:val="19CF11C0"/>
    <w:rsid w:val="1A0F4768"/>
    <w:rsid w:val="1A367F46"/>
    <w:rsid w:val="1B124510"/>
    <w:rsid w:val="1B291859"/>
    <w:rsid w:val="1B5C578B"/>
    <w:rsid w:val="1BA64C58"/>
    <w:rsid w:val="1BA84E74"/>
    <w:rsid w:val="1BC5023D"/>
    <w:rsid w:val="1BD15007"/>
    <w:rsid w:val="1C2A5889"/>
    <w:rsid w:val="1CF5183B"/>
    <w:rsid w:val="1E4946EC"/>
    <w:rsid w:val="1E8C6387"/>
    <w:rsid w:val="1EBE630B"/>
    <w:rsid w:val="1ECB5101"/>
    <w:rsid w:val="1ED16490"/>
    <w:rsid w:val="1F29007A"/>
    <w:rsid w:val="1F901EA7"/>
    <w:rsid w:val="1FA31F22"/>
    <w:rsid w:val="1FE65F6B"/>
    <w:rsid w:val="20DB35F6"/>
    <w:rsid w:val="20EB1A8B"/>
    <w:rsid w:val="20FB5A46"/>
    <w:rsid w:val="21366A7E"/>
    <w:rsid w:val="213F3B84"/>
    <w:rsid w:val="21577120"/>
    <w:rsid w:val="21B005DE"/>
    <w:rsid w:val="21BA76AF"/>
    <w:rsid w:val="223C1E72"/>
    <w:rsid w:val="22D13A9F"/>
    <w:rsid w:val="22D87DED"/>
    <w:rsid w:val="23007343"/>
    <w:rsid w:val="23203542"/>
    <w:rsid w:val="23567302"/>
    <w:rsid w:val="238360C2"/>
    <w:rsid w:val="23963D6A"/>
    <w:rsid w:val="23AE4FF1"/>
    <w:rsid w:val="2443398C"/>
    <w:rsid w:val="24E20D41"/>
    <w:rsid w:val="252A5D24"/>
    <w:rsid w:val="261A49D8"/>
    <w:rsid w:val="2637307C"/>
    <w:rsid w:val="26C32B62"/>
    <w:rsid w:val="27127645"/>
    <w:rsid w:val="272555CB"/>
    <w:rsid w:val="28333D17"/>
    <w:rsid w:val="299B6018"/>
    <w:rsid w:val="29D3130E"/>
    <w:rsid w:val="2AA44A58"/>
    <w:rsid w:val="2ADE61BC"/>
    <w:rsid w:val="2B253DEB"/>
    <w:rsid w:val="2B9B52BD"/>
    <w:rsid w:val="2BAB35D7"/>
    <w:rsid w:val="2BDA1BE3"/>
    <w:rsid w:val="2C1F6A8C"/>
    <w:rsid w:val="2C6941AB"/>
    <w:rsid w:val="2CCB09C2"/>
    <w:rsid w:val="2D346567"/>
    <w:rsid w:val="2D524C40"/>
    <w:rsid w:val="2E600CA0"/>
    <w:rsid w:val="30CF4099"/>
    <w:rsid w:val="30D81900"/>
    <w:rsid w:val="313D504B"/>
    <w:rsid w:val="321B7CF6"/>
    <w:rsid w:val="326D79FF"/>
    <w:rsid w:val="327A0EC0"/>
    <w:rsid w:val="32927D13"/>
    <w:rsid w:val="32C65EB4"/>
    <w:rsid w:val="33240E2C"/>
    <w:rsid w:val="33582884"/>
    <w:rsid w:val="349A3F50"/>
    <w:rsid w:val="349D0E96"/>
    <w:rsid w:val="34CC3529"/>
    <w:rsid w:val="34D66156"/>
    <w:rsid w:val="35B069A7"/>
    <w:rsid w:val="363B0967"/>
    <w:rsid w:val="36637EBD"/>
    <w:rsid w:val="366C6D72"/>
    <w:rsid w:val="3680281D"/>
    <w:rsid w:val="370F790F"/>
    <w:rsid w:val="37BA3B0D"/>
    <w:rsid w:val="38415FDC"/>
    <w:rsid w:val="39140474"/>
    <w:rsid w:val="39770A30"/>
    <w:rsid w:val="39D23390"/>
    <w:rsid w:val="3A4013F4"/>
    <w:rsid w:val="3A5320BE"/>
    <w:rsid w:val="3A68113E"/>
    <w:rsid w:val="3A712BA9"/>
    <w:rsid w:val="3BEB698B"/>
    <w:rsid w:val="3C5C33E5"/>
    <w:rsid w:val="3CB52AF5"/>
    <w:rsid w:val="3D54230E"/>
    <w:rsid w:val="3E10092B"/>
    <w:rsid w:val="3F0538C0"/>
    <w:rsid w:val="3F171845"/>
    <w:rsid w:val="3F19380F"/>
    <w:rsid w:val="3F450160"/>
    <w:rsid w:val="3F5F2902"/>
    <w:rsid w:val="3F7D5B4C"/>
    <w:rsid w:val="3FB157F6"/>
    <w:rsid w:val="3FDB75D6"/>
    <w:rsid w:val="3FFE2FA6"/>
    <w:rsid w:val="4077259B"/>
    <w:rsid w:val="4143561D"/>
    <w:rsid w:val="41540E79"/>
    <w:rsid w:val="41650F8E"/>
    <w:rsid w:val="420460B1"/>
    <w:rsid w:val="43560E10"/>
    <w:rsid w:val="43741014"/>
    <w:rsid w:val="43BB30E7"/>
    <w:rsid w:val="445E02C8"/>
    <w:rsid w:val="44C13ED9"/>
    <w:rsid w:val="44F22B38"/>
    <w:rsid w:val="45726CB7"/>
    <w:rsid w:val="459F674C"/>
    <w:rsid w:val="45D6210F"/>
    <w:rsid w:val="471825FE"/>
    <w:rsid w:val="47867568"/>
    <w:rsid w:val="485F6737"/>
    <w:rsid w:val="48C77E38"/>
    <w:rsid w:val="49117B75"/>
    <w:rsid w:val="49423962"/>
    <w:rsid w:val="49D15412"/>
    <w:rsid w:val="4A77763C"/>
    <w:rsid w:val="4AD87723"/>
    <w:rsid w:val="4CAA5AA7"/>
    <w:rsid w:val="4D3679D0"/>
    <w:rsid w:val="4D9F3131"/>
    <w:rsid w:val="4DEF230B"/>
    <w:rsid w:val="4E0538DC"/>
    <w:rsid w:val="4E323FA5"/>
    <w:rsid w:val="4E465CA3"/>
    <w:rsid w:val="4E5939DE"/>
    <w:rsid w:val="4E870795"/>
    <w:rsid w:val="4E89762B"/>
    <w:rsid w:val="4FBA6948"/>
    <w:rsid w:val="4FCD667C"/>
    <w:rsid w:val="4FE35B43"/>
    <w:rsid w:val="504D156B"/>
    <w:rsid w:val="51172DA0"/>
    <w:rsid w:val="522510AD"/>
    <w:rsid w:val="528C4C50"/>
    <w:rsid w:val="52F65EE9"/>
    <w:rsid w:val="530A729F"/>
    <w:rsid w:val="53103DB0"/>
    <w:rsid w:val="534A3B3F"/>
    <w:rsid w:val="5385101B"/>
    <w:rsid w:val="53932938"/>
    <w:rsid w:val="53C60F21"/>
    <w:rsid w:val="540939FA"/>
    <w:rsid w:val="545A6004"/>
    <w:rsid w:val="549A0AF6"/>
    <w:rsid w:val="54A24A18"/>
    <w:rsid w:val="54A83213"/>
    <w:rsid w:val="55491250"/>
    <w:rsid w:val="55572544"/>
    <w:rsid w:val="5632548A"/>
    <w:rsid w:val="5697353F"/>
    <w:rsid w:val="56A33C92"/>
    <w:rsid w:val="56B57E6A"/>
    <w:rsid w:val="56F049FE"/>
    <w:rsid w:val="578D66F1"/>
    <w:rsid w:val="57AC301B"/>
    <w:rsid w:val="58B57CAD"/>
    <w:rsid w:val="59FE2AD8"/>
    <w:rsid w:val="5A366BCB"/>
    <w:rsid w:val="5A3A490E"/>
    <w:rsid w:val="5A9C7376"/>
    <w:rsid w:val="5AAE70AA"/>
    <w:rsid w:val="5AE76118"/>
    <w:rsid w:val="5B2A20C8"/>
    <w:rsid w:val="5B653F38"/>
    <w:rsid w:val="5B661732"/>
    <w:rsid w:val="5B914A01"/>
    <w:rsid w:val="5BA81D4B"/>
    <w:rsid w:val="5BAC35E9"/>
    <w:rsid w:val="5BD14DFE"/>
    <w:rsid w:val="5CFC7735"/>
    <w:rsid w:val="5D5F28DD"/>
    <w:rsid w:val="5E59557E"/>
    <w:rsid w:val="5EE44E48"/>
    <w:rsid w:val="5F577D10"/>
    <w:rsid w:val="5F737BD6"/>
    <w:rsid w:val="5F8623A3"/>
    <w:rsid w:val="5FA171DD"/>
    <w:rsid w:val="5FB07420"/>
    <w:rsid w:val="5FEF7F48"/>
    <w:rsid w:val="601E25DC"/>
    <w:rsid w:val="60492614"/>
    <w:rsid w:val="60837BC2"/>
    <w:rsid w:val="608F34D9"/>
    <w:rsid w:val="60B42F40"/>
    <w:rsid w:val="61330309"/>
    <w:rsid w:val="61736957"/>
    <w:rsid w:val="64E35BA2"/>
    <w:rsid w:val="6535464F"/>
    <w:rsid w:val="65605444"/>
    <w:rsid w:val="657B5DDA"/>
    <w:rsid w:val="65AE4402"/>
    <w:rsid w:val="65E81919"/>
    <w:rsid w:val="66295856"/>
    <w:rsid w:val="664D3C1B"/>
    <w:rsid w:val="66C537B1"/>
    <w:rsid w:val="66F145A6"/>
    <w:rsid w:val="66FA76C2"/>
    <w:rsid w:val="672C55DE"/>
    <w:rsid w:val="67724674"/>
    <w:rsid w:val="67BF46A4"/>
    <w:rsid w:val="67C1666E"/>
    <w:rsid w:val="67D363A2"/>
    <w:rsid w:val="68CF6B69"/>
    <w:rsid w:val="69D34437"/>
    <w:rsid w:val="69FF522C"/>
    <w:rsid w:val="6B122D3D"/>
    <w:rsid w:val="6B7A4468"/>
    <w:rsid w:val="6B7E6624"/>
    <w:rsid w:val="6B811C71"/>
    <w:rsid w:val="6B8D6867"/>
    <w:rsid w:val="6BE446D9"/>
    <w:rsid w:val="6CB0280D"/>
    <w:rsid w:val="6D022035"/>
    <w:rsid w:val="6DA2484C"/>
    <w:rsid w:val="6E125DDE"/>
    <w:rsid w:val="6E272FA3"/>
    <w:rsid w:val="6E2B6380"/>
    <w:rsid w:val="6E4B6C92"/>
    <w:rsid w:val="6E8421A4"/>
    <w:rsid w:val="6EAB7730"/>
    <w:rsid w:val="6EB01B45"/>
    <w:rsid w:val="6EBA7973"/>
    <w:rsid w:val="6EE61403"/>
    <w:rsid w:val="6FC0545D"/>
    <w:rsid w:val="70741DA4"/>
    <w:rsid w:val="71353C29"/>
    <w:rsid w:val="71724DA6"/>
    <w:rsid w:val="71AA0173"/>
    <w:rsid w:val="733E731A"/>
    <w:rsid w:val="73676811"/>
    <w:rsid w:val="73852C46"/>
    <w:rsid w:val="739C1D3D"/>
    <w:rsid w:val="73EA270D"/>
    <w:rsid w:val="73F25E01"/>
    <w:rsid w:val="74CC21AE"/>
    <w:rsid w:val="75355FA6"/>
    <w:rsid w:val="753C5586"/>
    <w:rsid w:val="75E1612D"/>
    <w:rsid w:val="76171B4F"/>
    <w:rsid w:val="763D1683"/>
    <w:rsid w:val="76742AFE"/>
    <w:rsid w:val="76C2648A"/>
    <w:rsid w:val="76D17F50"/>
    <w:rsid w:val="76D8308D"/>
    <w:rsid w:val="76DF266D"/>
    <w:rsid w:val="779C67B0"/>
    <w:rsid w:val="77AD0E64"/>
    <w:rsid w:val="785E3A65"/>
    <w:rsid w:val="78941235"/>
    <w:rsid w:val="78B77E87"/>
    <w:rsid w:val="795310F0"/>
    <w:rsid w:val="799D05BD"/>
    <w:rsid w:val="79FE72AE"/>
    <w:rsid w:val="7BAE6AB2"/>
    <w:rsid w:val="7CA26617"/>
    <w:rsid w:val="7CBB1486"/>
    <w:rsid w:val="7DAF266D"/>
    <w:rsid w:val="7E002EC9"/>
    <w:rsid w:val="7E751B09"/>
    <w:rsid w:val="7F16390D"/>
    <w:rsid w:val="7F6556D9"/>
    <w:rsid w:val="7F904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4252</Words>
  <Characters>5159</Characters>
  <Lines>0</Lines>
  <Paragraphs>0</Paragraphs>
  <TotalTime>35</TotalTime>
  <ScaleCrop>false</ScaleCrop>
  <LinksUpToDate>false</LinksUpToDate>
  <CharactersWithSpaces>5351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cp:lastPrinted>2024-05-30T10:13:00Z</cp:lastPrinted>
  <dcterms:modified xsi:type="dcterms:W3CDTF">2024-06-03T09:01:24Z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3E68D90060EF48DD85E9C8B8DCF8A8DF_13</vt:lpwstr>
  </property>
</Properties>
</file>