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b w:val="0"/>
          <w:bCs w:val="0"/>
          <w:lang w:val="en-US" w:eastAsia="zh-CN"/>
        </w:rPr>
      </w:pPr>
      <w:r>
        <w:rPr>
          <w:rFonts w:hint="eastAsia" w:ascii="黑体" w:hAnsi="黑体" w:eastAsia="黑体" w:cs="黑体"/>
          <w:b w:val="0"/>
          <w:bCs w:val="0"/>
          <w:color w:val="auto"/>
          <w:spacing w:val="-19"/>
          <w:sz w:val="25"/>
          <w:szCs w:val="25"/>
          <w:lang w:eastAsia="zh-CN"/>
        </w:rPr>
        <w:t>附件</w:t>
      </w:r>
      <w:r>
        <w:rPr>
          <w:rFonts w:hint="eastAsia" w:ascii="黑体" w:hAnsi="黑体" w:eastAsia="黑体" w:cs="黑体"/>
          <w:b w:val="0"/>
          <w:bCs w:val="0"/>
          <w:color w:val="auto"/>
          <w:spacing w:val="-19"/>
          <w:sz w:val="25"/>
          <w:szCs w:val="25"/>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lang w:eastAsia="zh-CN"/>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兴国县妇幼保健计划生育服务中心</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黑体" w:hAnsi="黑体" w:eastAsia="黑体" w:cs="黑体"/>
          <w:color w:val="auto"/>
          <w:sz w:val="32"/>
          <w:szCs w:val="32"/>
        </w:rPr>
      </w:pPr>
      <w:r>
        <w:rPr>
          <w:rFonts w:hint="eastAsia" w:ascii="黑体" w:hAnsi="黑体" w:eastAsia="黑体" w:cs="黑体"/>
          <w:color w:val="auto"/>
          <w:sz w:val="32"/>
          <w:szCs w:val="32"/>
        </w:rPr>
        <w:t>目  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妇幼保健计划生育服务中心</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keepNext w:val="0"/>
        <w:keepLines w:val="0"/>
        <w:pageBreakBefore w:val="0"/>
        <w:widowControl w:val="0"/>
        <w:kinsoku/>
        <w:wordWrap/>
        <w:overflowPunct/>
        <w:topLinePunct w:val="0"/>
        <w:autoSpaceDE/>
        <w:autoSpaceDN/>
        <w:bidi w:val="0"/>
        <w:adjustRightInd/>
        <w:snapToGrid w:val="0"/>
        <w:spacing w:line="560" w:lineRule="exact"/>
        <w:ind w:left="0" w:firstLine="0" w:firstLineChars="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妇幼保健计划生育服务中心预算</w:t>
      </w:r>
      <w:r>
        <w:rPr>
          <w:rFonts w:hint="eastAsia" w:ascii="仿宋" w:hAnsi="仿宋" w:eastAsia="仿宋" w:cs="仿宋"/>
          <w:b/>
          <w:bCs/>
          <w:color w:val="auto"/>
          <w:sz w:val="32"/>
          <w:szCs w:val="32"/>
        </w:rPr>
        <w:t>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2023年单位</w:t>
      </w:r>
      <w:r>
        <w:rPr>
          <w:rFonts w:hint="eastAsia" w:ascii="仿宋" w:hAnsi="仿宋" w:eastAsia="仿宋" w:cs="仿宋"/>
          <w:color w:val="auto"/>
          <w:sz w:val="32"/>
          <w:szCs w:val="32"/>
          <w:lang w:eastAsia="zh-CN"/>
        </w:rPr>
        <w:t>预算</w:t>
      </w:r>
      <w:r>
        <w:rPr>
          <w:rFonts w:hint="eastAsia" w:ascii="仿宋" w:hAnsi="仿宋" w:eastAsia="仿宋" w:cs="仿宋"/>
          <w:color w:val="auto"/>
          <w:sz w:val="32"/>
          <w:szCs w:val="32"/>
        </w:rPr>
        <w:t>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妇幼保健计划生育服务中心</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九、《国有资本经营预算支出表》</w:t>
      </w:r>
    </w:p>
    <w:p>
      <w:pPr>
        <w:spacing w:line="560" w:lineRule="exact"/>
        <w:ind w:left="634" w:leftChars="284" w:hanging="38" w:hangingChars="12"/>
        <w:rPr>
          <w:rFonts w:hint="default" w:eastAsia="仿宋"/>
          <w:lang w:val="en-US" w:eastAsia="zh-CN"/>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、《项目支出绩效目标表》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color w:val="auto"/>
          <w:sz w:val="32"/>
          <w:szCs w:val="32"/>
        </w:rPr>
      </w:pPr>
    </w:p>
    <w:p>
      <w:pPr>
        <w:numPr>
          <w:ilvl w:val="0"/>
          <w:numId w:val="1"/>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妇幼保健计划生育服务中心</w:t>
      </w:r>
      <w:r>
        <w:rPr>
          <w:rFonts w:hint="eastAsia" w:ascii="黑体" w:hAnsi="黑体" w:eastAsia="黑体" w:cs="黑体"/>
          <w:b w:val="0"/>
          <w:bCs w:val="0"/>
          <w:color w:val="auto"/>
          <w:sz w:val="32"/>
          <w:szCs w:val="32"/>
        </w:rPr>
        <w:t>概况</w:t>
      </w:r>
    </w:p>
    <w:p>
      <w:pPr>
        <w:pStyle w:val="2"/>
        <w:numPr>
          <w:ilvl w:val="0"/>
          <w:numId w:val="0"/>
        </w:num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sz w:val="32"/>
          <w:szCs w:val="32"/>
        </w:rPr>
        <w:t>兴国县妇幼保健计划生育服务中心（兴国县妇幼保健院）是江西省“二级甲等”妇幼保健院，是兴国县唯一一所集医疗、保健、妇女儿童教育、生殖健康服务和教学科研为一体的妇幼保健专科医院、妇女儿童专科医院，是兴国县产科急救中心、兴国县危重孕产妇救治中心、危重新生儿救治中心，是兴国县孕产期保健集中管理中心和兴国县儿童保健集中管理中心挂靠单位。兴国县妇幼保健计划生育服务中心坚持贯彻“以保健为中心，以保障生殖健康为目的，保健与临床相结合、面向群体、面向基层和预防为主”的妇幼卫生工作方针</w:t>
      </w:r>
      <w:r>
        <w:rPr>
          <w:rFonts w:hint="eastAsia" w:ascii="仿宋" w:hAnsi="仿宋" w:eastAsia="仿宋" w:cs="仿宋"/>
          <w:sz w:val="32"/>
          <w:szCs w:val="32"/>
          <w:lang w:eastAsia="zh-CN"/>
        </w:rPr>
        <w:t>。</w:t>
      </w:r>
      <w:r>
        <w:rPr>
          <w:rFonts w:hint="eastAsia" w:ascii="仿宋" w:hAnsi="仿宋" w:eastAsia="仿宋" w:cs="仿宋"/>
          <w:b w:val="0"/>
          <w:bCs w:val="0"/>
          <w:sz w:val="32"/>
          <w:szCs w:val="32"/>
          <w:lang w:eastAsia="zh-CN"/>
        </w:rPr>
        <w:t>其主要职责有：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rPr>
        <w:t>开展婚检、孕前、孕中、产后、儿童、青春期、围绝经期、不孕不育、中医、孕产妇和新生儿危重救治等妇幼专科特色医疗保健服务</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指导和开展全县妇幼保健健康教育与健康促进工作、妇女保健业务和儿童保健业务工作</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组织实施母婴保健技术培训，对基层医疗保健机构开展妇幼方面的业务指导和技术支持</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4、</w:t>
      </w:r>
      <w:r>
        <w:rPr>
          <w:rFonts w:hint="eastAsia" w:ascii="仿宋" w:hAnsi="仿宋" w:eastAsia="仿宋" w:cs="仿宋"/>
          <w:b w:val="0"/>
          <w:bCs/>
          <w:sz w:val="32"/>
          <w:szCs w:val="32"/>
        </w:rPr>
        <w:t>承担妇幼健康领域国家重大公共卫生服务项目和基本公共卫生服务项目的实施，以及自然灾害和突发公共卫生事件的医疗救治工作</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rPr>
        <w:t>与省市三级医院、基层医疗机构构建长期稳定的支援协作关系</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6、</w:t>
      </w:r>
      <w:r>
        <w:rPr>
          <w:rFonts w:hint="eastAsia" w:ascii="仿宋" w:hAnsi="仿宋" w:eastAsia="仿宋" w:cs="仿宋"/>
          <w:b w:val="0"/>
          <w:bCs/>
          <w:sz w:val="32"/>
          <w:szCs w:val="32"/>
        </w:rPr>
        <w:t>承担县级公立医院医药卫生体制改革工作</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b w:val="0"/>
          <w:bCs/>
          <w:sz w:val="32"/>
          <w:szCs w:val="32"/>
          <w:lang w:val="en-US" w:eastAsia="zh-CN"/>
        </w:rPr>
        <w:t>7、</w:t>
      </w:r>
      <w:r>
        <w:rPr>
          <w:rFonts w:hint="eastAsia" w:ascii="仿宋" w:hAnsi="仿宋" w:eastAsia="仿宋" w:cs="仿宋"/>
          <w:sz w:val="32"/>
          <w:szCs w:val="32"/>
        </w:rPr>
        <w:t>承担县委县政府交办的其它工作任务。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兴国县妇幼保健院内设科室32个，包括：妇女保健部、计划生育服务部、孕产保健部、儿童保健部、妇科、产科、乳腺科、中医科、男性生殖科、普儿科、外科、小儿外科、儿童重症医学科（PICU）、康复科、儿童保健科、妇女保健科、新生儿科、新生儿重症监护室（NICU）、预防接种门诊、发热门诊、门诊注射室、麻醉科、婚育一站式服务中心、药剂科、检验科、放射科、手术室、超声诊断科、电生理诊断科、病理科、输血科、消毒供应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编制人数135人，其中：行政编制人数0人，参照公务员管理的事业编制人数0人，全额补助事业编制人数35人，部分补助事业编制人数100人，自收自支编制人数0人。实有人数小计135人，其中：在职人数135人，行政编制人数0人，参照公务员管理的事业编制人数0人，全额补助事业编制人数35人，部分补助事业编制人数100人，自收自支编制人数0人。离休人数小计0人，退休人数小计66人，退职人员0人，遗属人数0人。</w:t>
      </w:r>
    </w:p>
    <w:p>
      <w:pPr>
        <w:pStyle w:val="2"/>
        <w:rPr>
          <w:rFonts w:hint="eastAsia" w:ascii="仿宋" w:hAnsi="仿宋" w:eastAsia="仿宋" w:cs="仿宋"/>
          <w:color w:val="auto"/>
          <w:sz w:val="32"/>
          <w:szCs w:val="32"/>
          <w:lang w:val="en-US" w:eastAsia="zh-CN"/>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妇幼保健计划生育服务中心</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预算收支情况说明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13944.03</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1504.85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长</w:t>
      </w:r>
      <w:r>
        <w:rPr>
          <w:rFonts w:hint="eastAsia" w:ascii="仿宋" w:hAnsi="仿宋" w:eastAsia="仿宋" w:cs="仿宋"/>
          <w:color w:val="auto"/>
          <w:sz w:val="32"/>
          <w:szCs w:val="32"/>
          <w:lang w:val="en-US" w:eastAsia="zh-CN"/>
        </w:rPr>
        <w:t>12.10%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增减变化主要原因是：一是计划开展新业务，服务能力增强，收支均有所增长；二是满足新院搬迁后业务需要，添置相应医疗设备、办公设备，政府采购增加；三是人员经费变化，财政补助人员经费增加。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具体为：</w:t>
      </w:r>
      <w:r>
        <w:rPr>
          <w:rFonts w:hint="eastAsia" w:ascii="仿宋" w:hAnsi="仿宋" w:eastAsia="仿宋" w:cs="仿宋"/>
          <w:color w:val="auto"/>
          <w:sz w:val="32"/>
          <w:szCs w:val="32"/>
          <w:lang w:eastAsia="zh-CN"/>
        </w:rPr>
        <w:t>财政拨款收入</w:t>
      </w:r>
      <w:r>
        <w:rPr>
          <w:rFonts w:hint="eastAsia" w:ascii="仿宋" w:hAnsi="仿宋" w:eastAsia="仿宋" w:cs="仿宋"/>
          <w:color w:val="auto"/>
          <w:sz w:val="32"/>
          <w:szCs w:val="32"/>
          <w:lang w:val="en-US" w:eastAsia="zh-CN"/>
        </w:rPr>
        <w:t>（一般公共预算收入）723.69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54.63</w:t>
      </w:r>
      <w:r>
        <w:rPr>
          <w:rFonts w:hint="eastAsia" w:ascii="仿宋" w:hAnsi="仿宋" w:eastAsia="仿宋" w:cs="仿宋"/>
          <w:color w:val="auto"/>
          <w:sz w:val="32"/>
          <w:szCs w:val="32"/>
          <w:lang w:eastAsia="zh-CN"/>
        </w:rPr>
        <w:t>万元；事业收入</w:t>
      </w:r>
      <w:r>
        <w:rPr>
          <w:rFonts w:hint="eastAsia" w:ascii="仿宋" w:hAnsi="仿宋" w:eastAsia="仿宋" w:cs="仿宋"/>
          <w:color w:val="auto"/>
          <w:sz w:val="32"/>
          <w:szCs w:val="32"/>
          <w:lang w:val="en-US" w:eastAsia="zh-CN"/>
        </w:rPr>
        <w:t>13220.34万元，较上年预算安排增加1450.22万元。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13944.03</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1504.85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长</w:t>
      </w:r>
      <w:r>
        <w:rPr>
          <w:rFonts w:hint="eastAsia" w:ascii="仿宋" w:hAnsi="仿宋" w:eastAsia="仿宋" w:cs="仿宋"/>
          <w:color w:val="auto"/>
          <w:sz w:val="32"/>
          <w:szCs w:val="32"/>
          <w:lang w:val="en-US" w:eastAsia="zh-CN"/>
        </w:rPr>
        <w:t>12.10%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一是计划开展新业务，服务能力增强，收支均有所增长；二是满足新院搬迁后业务需要，添置相应医疗设备、办公设备，政府采购增加；三是人员经费增加，财政补助人员经费增加、人员支出总额增高。</w:t>
      </w:r>
      <w:r>
        <w:rPr>
          <w:rFonts w:hint="eastAsia" w:ascii="仿宋" w:hAnsi="仿宋" w:eastAsia="仿宋" w:cs="仿宋"/>
          <w:color w:val="auto"/>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按支出项目类别及经济分类科目划分：</w:t>
      </w:r>
      <w:r>
        <w:rPr>
          <w:rFonts w:hint="eastAsia" w:ascii="仿宋" w:hAnsi="仿宋" w:eastAsia="仿宋" w:cs="仿宋"/>
          <w:color w:val="000000" w:themeColor="text1"/>
          <w:sz w:val="32"/>
          <w:szCs w:val="32"/>
          <w:highlight w:val="none"/>
          <w:lang w:eastAsia="zh-CN"/>
          <w14:textFill>
            <w14:solidFill>
              <w14:schemeClr w14:val="tx1"/>
            </w14:solidFill>
          </w14:textFill>
        </w:rPr>
        <w:t>基本支出</w:t>
      </w:r>
      <w:r>
        <w:rPr>
          <w:rFonts w:hint="eastAsia" w:ascii="仿宋" w:hAnsi="仿宋" w:eastAsia="仿宋" w:cs="仿宋"/>
          <w:color w:val="000000" w:themeColor="text1"/>
          <w:sz w:val="32"/>
          <w:szCs w:val="32"/>
          <w:highlight w:val="none"/>
          <w:lang w:val="en-US" w:eastAsia="zh-CN"/>
          <w14:textFill>
            <w14:solidFill>
              <w14:schemeClr w14:val="tx1"/>
            </w14:solidFill>
          </w14:textFill>
        </w:rPr>
        <w:t>13944.03</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较上年预算安排</w:t>
      </w:r>
      <w:r>
        <w:rPr>
          <w:rFonts w:hint="eastAsia" w:ascii="仿宋" w:hAnsi="仿宋" w:eastAsia="仿宋" w:cs="仿宋"/>
          <w:color w:val="000000" w:themeColor="text1"/>
          <w:sz w:val="32"/>
          <w:szCs w:val="32"/>
          <w:highlight w:val="none"/>
          <w:lang w:eastAsia="zh-CN"/>
          <w14:textFill>
            <w14:solidFill>
              <w14:schemeClr w14:val="tx1"/>
            </w14:solidFill>
          </w14:textFill>
        </w:rPr>
        <w:t>增加</w:t>
      </w:r>
      <w:r>
        <w:rPr>
          <w:rFonts w:hint="eastAsia" w:ascii="仿宋" w:hAnsi="仿宋" w:eastAsia="仿宋" w:cs="仿宋"/>
          <w:color w:val="000000" w:themeColor="text1"/>
          <w:sz w:val="32"/>
          <w:szCs w:val="32"/>
          <w:highlight w:val="none"/>
          <w:lang w:val="en-US" w:eastAsia="zh-CN"/>
          <w14:textFill>
            <w14:solidFill>
              <w14:schemeClr w14:val="tx1"/>
            </w14:solidFill>
          </w14:textFill>
        </w:rPr>
        <w:t>1504.85</w:t>
      </w:r>
      <w:r>
        <w:rPr>
          <w:rFonts w:hint="eastAsia" w:ascii="仿宋" w:hAnsi="仿宋" w:eastAsia="仿宋" w:cs="仿宋"/>
          <w:color w:val="000000" w:themeColor="text1"/>
          <w:sz w:val="32"/>
          <w:szCs w:val="32"/>
          <w:highlight w:val="none"/>
          <w:lang w:eastAsia="zh-CN"/>
          <w14:textFill>
            <w14:solidFill>
              <w14:schemeClr w14:val="tx1"/>
            </w14:solidFill>
          </w14:textFill>
        </w:rPr>
        <w:t>万元，其中：工资福利支出</w:t>
      </w:r>
      <w:r>
        <w:rPr>
          <w:rFonts w:hint="eastAsia" w:ascii="仿宋" w:hAnsi="仿宋" w:eastAsia="仿宋" w:cs="仿宋"/>
          <w:color w:val="000000" w:themeColor="text1"/>
          <w:sz w:val="32"/>
          <w:szCs w:val="32"/>
          <w:highlight w:val="none"/>
          <w:lang w:val="en-US" w:eastAsia="zh-CN"/>
          <w14:textFill>
            <w14:solidFill>
              <w14:schemeClr w14:val="tx1"/>
            </w14:solidFill>
          </w14:textFill>
        </w:rPr>
        <w:t>5001.61万元，商品和服务支出4762.41万元，对个人和家庭的补助67.76万元，资本性支出4112.25万元；</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增加0</w:t>
      </w:r>
      <w:r>
        <w:rPr>
          <w:rFonts w:hint="eastAsia" w:ascii="仿宋" w:hAnsi="仿宋" w:eastAsia="仿宋" w:cs="仿宋"/>
          <w:color w:val="auto"/>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按支出功能分类科目划分：社会保障和就业支出</w:t>
      </w:r>
      <w:r>
        <w:rPr>
          <w:rFonts w:hint="eastAsia" w:ascii="仿宋" w:hAnsi="仿宋" w:eastAsia="仿宋" w:cs="仿宋"/>
          <w:color w:val="auto"/>
          <w:sz w:val="32"/>
          <w:szCs w:val="32"/>
          <w:lang w:val="en-US" w:eastAsia="zh-CN"/>
        </w:rPr>
        <w:t>97.57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292.72</w:t>
      </w:r>
      <w:r>
        <w:rPr>
          <w:rFonts w:hint="eastAsia" w:ascii="仿宋" w:hAnsi="仿宋" w:eastAsia="仿宋" w:cs="仿宋"/>
          <w:color w:val="auto"/>
          <w:sz w:val="32"/>
          <w:szCs w:val="32"/>
          <w:lang w:eastAsia="zh-CN"/>
        </w:rPr>
        <w:t>万元；卫生健康支出</w:t>
      </w:r>
      <w:r>
        <w:rPr>
          <w:rFonts w:hint="eastAsia" w:ascii="仿宋" w:hAnsi="仿宋" w:eastAsia="仿宋" w:cs="仿宋"/>
          <w:color w:val="auto"/>
          <w:sz w:val="32"/>
          <w:szCs w:val="32"/>
          <w:lang w:val="en-US" w:eastAsia="zh-CN"/>
        </w:rPr>
        <w:t>13,805.13万元，较上年增加1872.58万元；住房保障支出41.33万元，较上年减少75.01万元。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财政拨款（补助）支出预算723.69万元，占本年支出预算额的5.19%，较上年预算安排增加54.63万元，增长8.17%。增减变化主要原因是：一是工资福利费用增加，基本工资及社会保障费用均有所增长；二是对个人和家庭的补助费用增加，新增独生子女费、妇女卫生费预算支出。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按支出项目类别及经济分类科目划分：基本支出723.69万元，较上年预算安排增加54.63万元，其中：工资福利支出709.52万元，商品和服务支出12.61万元，对个人和家庭的补助1.56万元；</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增加0</w:t>
      </w:r>
      <w:r>
        <w:rPr>
          <w:rFonts w:hint="eastAsia" w:ascii="仿宋" w:hAnsi="仿宋" w:eastAsia="仿宋" w:cs="仿宋"/>
          <w:color w:val="auto"/>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按支出功能分类科目划分：社会保障和就业支出97.57万元，较上年预算安排增加21.95万元；卫生健康支出584.79万元，较上年预算安排增加34.04万元；住房保障支出41.33万元，较上年预算安排减少1.35万元。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2023年本单位无政府性基金预算拨款安排的支出。</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本单位非行政（参公）单位，无机关运行费。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u w:val="none"/>
          <w:lang w:val="en-US" w:eastAsia="zh-CN"/>
        </w:rPr>
        <w:t>23</w:t>
      </w:r>
      <w:r>
        <w:rPr>
          <w:rFonts w:hint="eastAsia" w:ascii="仿宋" w:hAnsi="仿宋" w:eastAsia="仿宋" w:cs="仿宋"/>
          <w:color w:val="auto"/>
          <w:sz w:val="32"/>
          <w:szCs w:val="32"/>
          <w:u w:val="none"/>
        </w:rPr>
        <w:t>年单位政</w:t>
      </w:r>
      <w:r>
        <w:rPr>
          <w:rFonts w:hint="eastAsia" w:ascii="仿宋" w:hAnsi="仿宋" w:eastAsia="仿宋" w:cs="仿宋"/>
          <w:color w:val="auto"/>
          <w:sz w:val="32"/>
          <w:szCs w:val="32"/>
          <w:highlight w:val="none"/>
          <w:u w:val="none"/>
        </w:rPr>
        <w:t>府采购</w:t>
      </w:r>
      <w:r>
        <w:rPr>
          <w:rFonts w:hint="eastAsia" w:ascii="仿宋" w:hAnsi="仿宋" w:eastAsia="仿宋" w:cs="仿宋"/>
          <w:color w:val="auto"/>
          <w:sz w:val="32"/>
          <w:szCs w:val="32"/>
          <w:highlight w:val="none"/>
          <w:u w:val="none"/>
          <w:lang w:eastAsia="zh-CN"/>
        </w:rPr>
        <w:t>预算</w:t>
      </w:r>
      <w:r>
        <w:rPr>
          <w:rFonts w:hint="eastAsia" w:ascii="仿宋" w:hAnsi="仿宋" w:eastAsia="仿宋" w:cs="仿宋"/>
          <w:color w:val="auto"/>
          <w:sz w:val="32"/>
          <w:szCs w:val="32"/>
          <w:highlight w:val="none"/>
          <w:u w:val="none"/>
        </w:rPr>
        <w:t>总额</w:t>
      </w:r>
      <w:r>
        <w:rPr>
          <w:rFonts w:hint="eastAsia" w:ascii="仿宋" w:hAnsi="仿宋" w:eastAsia="仿宋" w:cs="仿宋"/>
          <w:color w:val="auto"/>
          <w:sz w:val="32"/>
          <w:szCs w:val="32"/>
          <w:highlight w:val="none"/>
          <w:u w:val="none"/>
          <w:lang w:val="en-US" w:eastAsia="zh-CN"/>
        </w:rPr>
        <w:t>4125.25</w:t>
      </w:r>
      <w:r>
        <w:rPr>
          <w:rFonts w:hint="eastAsia" w:ascii="仿宋" w:hAnsi="仿宋" w:eastAsia="仿宋" w:cs="仿宋"/>
          <w:color w:val="auto"/>
          <w:sz w:val="32"/>
          <w:szCs w:val="32"/>
          <w:highlight w:val="none"/>
          <w:u w:val="none"/>
        </w:rPr>
        <w:t>万元，其中</w:t>
      </w:r>
      <w:r>
        <w:rPr>
          <w:rFonts w:hint="eastAsia" w:ascii="仿宋" w:hAnsi="仿宋" w:eastAsia="仿宋" w:cs="仿宋"/>
          <w:color w:val="auto"/>
          <w:sz w:val="32"/>
          <w:szCs w:val="32"/>
          <w:u w:val="none"/>
        </w:rPr>
        <w:t>：政府采购货物预算</w:t>
      </w:r>
      <w:r>
        <w:rPr>
          <w:rFonts w:hint="eastAsia" w:ascii="仿宋" w:hAnsi="仿宋" w:eastAsia="仿宋" w:cs="仿宋"/>
          <w:color w:val="auto"/>
          <w:sz w:val="32"/>
          <w:szCs w:val="32"/>
          <w:u w:val="none"/>
          <w:lang w:val="en-US" w:eastAsia="zh-CN"/>
        </w:rPr>
        <w:t>4125.25</w:t>
      </w:r>
      <w:r>
        <w:rPr>
          <w:rFonts w:hint="eastAsia" w:ascii="仿宋" w:hAnsi="仿宋" w:eastAsia="仿宋" w:cs="仿宋"/>
          <w:color w:val="auto"/>
          <w:sz w:val="32"/>
          <w:szCs w:val="32"/>
          <w:u w:val="none"/>
        </w:rPr>
        <w:t>万元</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rPr>
        <w:t>政府采购工程预算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2022年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9</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特种专业技术用车9辆</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辆，安排购置单位价值200万元以上大型设备具为：彩色多普勒超声诊断仪</w:t>
      </w:r>
      <w:r>
        <w:rPr>
          <w:rFonts w:hint="eastAsia" w:ascii="仿宋" w:hAnsi="仿宋" w:eastAsia="仿宋" w:cs="仿宋"/>
          <w:color w:val="auto"/>
          <w:sz w:val="32"/>
          <w:szCs w:val="32"/>
          <w:u w:val="none"/>
          <w:lang w:eastAsia="zh-CN"/>
        </w:rPr>
        <w:t>、儿童体检信息系统、新生儿数字化广域眼底成像系统、行业应用软件、多排螺旋CT机（16-63排）</w:t>
      </w:r>
      <w:r>
        <w:rPr>
          <w:rFonts w:hint="eastAsia" w:ascii="仿宋" w:hAnsi="仿宋" w:eastAsia="仿宋" w:cs="仿宋"/>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2023年实行绩效目标管理的项目0个，涉及资金0万元。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国有资本经营预算支出表</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增加0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增加0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增加0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妇幼保健计划生育服务中心</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pPr w:leftFromText="180" w:rightFromText="180" w:vertAnchor="text" w:horzAnchor="page" w:tblpX="1262" w:tblpY="441"/>
        <w:tblOverlap w:val="never"/>
        <w:tblW w:w="99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75"/>
        <w:gridCol w:w="1350"/>
        <w:gridCol w:w="3225"/>
        <w:gridCol w:w="13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9900"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4"/>
                <w:szCs w:val="44"/>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550" w:type="dxa"/>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[403011]兴国县妇幼保健计划生育服务中心</w:t>
            </w:r>
          </w:p>
        </w:tc>
        <w:tc>
          <w:tcPr>
            <w:tcW w:w="135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3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45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13,805.13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13,220.34</w:t>
            </w: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13,944.03</w:t>
            </w: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13,944.03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Calibri" w:hAnsi="Calibri" w:eastAsia="宋体" w:cs="Calibri"/>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13,944.03</w:t>
            </w:r>
          </w:p>
        </w:tc>
        <w:tc>
          <w:tcPr>
            <w:tcW w:w="3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13,944.03</w:t>
            </w:r>
          </w:p>
        </w:tc>
      </w:tr>
    </w:tbl>
    <w:p>
      <w:pPr>
        <w:spacing w:line="560" w:lineRule="exact"/>
        <w:rPr>
          <w:rFonts w:hint="eastAsia" w:ascii="仿宋" w:hAnsi="仿宋" w:eastAsia="仿宋" w:cs="仿宋"/>
          <w:color w:val="auto"/>
          <w:sz w:val="32"/>
          <w:szCs w:val="32"/>
        </w:rPr>
      </w:pPr>
    </w:p>
    <w:p>
      <w:pPr>
        <w:pStyle w:val="2"/>
        <w:numPr>
          <w:ilvl w:val="0"/>
          <w:numId w:val="3"/>
        </w:numPr>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r>
        <w:rPr>
          <w:rFonts w:hint="eastAsia" w:ascii="仿宋" w:hAnsi="仿宋" w:eastAsia="仿宋" w:cs="仿宋"/>
          <w:color w:val="auto"/>
          <w:sz w:val="32"/>
          <w:szCs w:val="32"/>
          <w:lang w:eastAsia="zh-CN"/>
        </w:rPr>
        <w:t>》</w:t>
      </w:r>
    </w:p>
    <w:tbl>
      <w:tblPr>
        <w:tblStyle w:val="5"/>
        <w:tblpPr w:leftFromText="180" w:rightFromText="180" w:vertAnchor="text" w:horzAnchor="page" w:tblpX="806" w:tblpY="495"/>
        <w:tblOverlap w:val="never"/>
        <w:tblW w:w="623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05"/>
        <w:gridCol w:w="1515"/>
        <w:gridCol w:w="1080"/>
        <w:gridCol w:w="375"/>
        <w:gridCol w:w="810"/>
        <w:gridCol w:w="810"/>
        <w:gridCol w:w="585"/>
        <w:gridCol w:w="615"/>
        <w:gridCol w:w="375"/>
        <w:gridCol w:w="1035"/>
        <w:gridCol w:w="390"/>
        <w:gridCol w:w="390"/>
        <w:gridCol w:w="360"/>
        <w:gridCol w:w="360"/>
        <w:gridCol w:w="6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5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[403011]兴国县妇幼保健计划生育服务中心</w:t>
            </w:r>
          </w:p>
        </w:tc>
        <w:tc>
          <w:tcPr>
            <w:tcW w:w="1949" w:type="pct"/>
            <w:gridSpan w:val="8"/>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61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科目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编码</w:t>
            </w:r>
          </w:p>
        </w:tc>
        <w:tc>
          <w:tcPr>
            <w:tcW w:w="7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科目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名称</w:t>
            </w:r>
          </w:p>
        </w:tc>
        <w:tc>
          <w:tcPr>
            <w:tcW w:w="50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w:t>
            </w:r>
          </w:p>
        </w:tc>
        <w:tc>
          <w:tcPr>
            <w:tcW w:w="1327"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财政拨款</w:t>
            </w:r>
          </w:p>
        </w:tc>
        <w:tc>
          <w:tcPr>
            <w:tcW w:w="1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教育收费资金收入</w:t>
            </w:r>
          </w:p>
        </w:tc>
        <w:tc>
          <w:tcPr>
            <w:tcW w:w="4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事业收入</w:t>
            </w:r>
          </w:p>
        </w:tc>
        <w:tc>
          <w:tcPr>
            <w:tcW w:w="18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事业单位经营收入</w:t>
            </w:r>
          </w:p>
        </w:tc>
        <w:tc>
          <w:tcPr>
            <w:tcW w:w="18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附属单位上缴收入</w:t>
            </w:r>
          </w:p>
        </w:tc>
        <w:tc>
          <w:tcPr>
            <w:tcW w:w="1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上级补助收入</w:t>
            </w:r>
          </w:p>
        </w:tc>
        <w:tc>
          <w:tcPr>
            <w:tcW w:w="16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其他收入</w:t>
            </w:r>
          </w:p>
        </w:tc>
        <w:tc>
          <w:tcPr>
            <w:tcW w:w="2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61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50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一般公共预算拨款收入</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政府性基金预算拨款收入</w:t>
            </w: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国有资本经营预算收入</w:t>
            </w:r>
          </w:p>
        </w:tc>
        <w:tc>
          <w:tcPr>
            <w:tcW w:w="1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4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6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13,944.03</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723.69</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723.69</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13,220.34</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364.66</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97.57</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97.57</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267.08</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05</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行政事业单位养老支出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364.66</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97.57</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97.57</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267.08</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2080505</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机关事业单位基本养老保险缴费支出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285.73</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87.22</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87.22</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198.50</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1"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2080506</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机关事业单位职业年金缴费支出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78.93</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10.35</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10.35</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68.58</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卫生健康支出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13,417.93</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584.79</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584.79</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12,833.15</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02</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公立医院</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13,332.69</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532.22</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532.22</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12,800.47</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2100206</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妇幼保健医院</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13,332.69</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532.22</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532.22</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12,800.47</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11</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行政事业单位医疗</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85.25</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52.57</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52.57</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32.68</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2101102</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事业单位医疗</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85.25</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52.57</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52.57</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32.68</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住房保障支出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161.44</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41.33</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41.33</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120.11</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02</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住房改革支出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161.44</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41.33</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41.33</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120.11</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2210201</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住房公积金</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161.44</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41.33</w:t>
            </w:r>
          </w:p>
        </w:tc>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41.33</w:t>
            </w: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120.11</w:t>
            </w: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bl>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tbl>
      <w:tblPr>
        <w:tblStyle w:val="5"/>
        <w:tblpPr w:leftFromText="180" w:rightFromText="180" w:vertAnchor="text" w:horzAnchor="page" w:tblpX="971" w:tblpY="874"/>
        <w:tblOverlap w:val="never"/>
        <w:tblW w:w="99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54"/>
        <w:gridCol w:w="4507"/>
        <w:gridCol w:w="1395"/>
        <w:gridCol w:w="1318"/>
        <w:gridCol w:w="12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975"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[403011]兴国县妇幼保健计划生育服务中心</w:t>
            </w:r>
          </w:p>
        </w:tc>
        <w:tc>
          <w:tcPr>
            <w:tcW w:w="0" w:type="auto"/>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13,944.03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13,944.03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13,805.13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13,805.13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公立医院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13,752.57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13,752.57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妇幼保健医院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13,752.57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13,752.57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r>
        <w:rPr>
          <w:rFonts w:hint="eastAsia" w:ascii="仿宋" w:hAnsi="仿宋" w:eastAsia="仿宋" w:cs="仿宋"/>
          <w:color w:val="auto"/>
          <w:sz w:val="32"/>
          <w:szCs w:val="32"/>
          <w:lang w:eastAsia="zh-CN"/>
        </w:rPr>
        <w:t>》</w:t>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tbl>
      <w:tblPr>
        <w:tblStyle w:val="5"/>
        <w:tblpPr w:leftFromText="180" w:rightFromText="180" w:vertAnchor="text" w:horzAnchor="page" w:tblpX="566" w:tblpY="724"/>
        <w:tblOverlap w:val="never"/>
        <w:tblW w:w="653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64"/>
        <w:gridCol w:w="1186"/>
        <w:gridCol w:w="2235"/>
        <w:gridCol w:w="1005"/>
        <w:gridCol w:w="1125"/>
        <w:gridCol w:w="1395"/>
        <w:gridCol w:w="13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3270" w:type="pct"/>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[403011]兴国县妇幼保健计划生育服务中心</w:t>
            </w:r>
          </w:p>
        </w:tc>
        <w:tc>
          <w:tcPr>
            <w:tcW w:w="1729"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81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18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6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c>
          <w:tcPr>
            <w:tcW w:w="6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584.79</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584.79</w:t>
            </w:r>
          </w:p>
        </w:tc>
        <w:tc>
          <w:tcPr>
            <w:tcW w:w="6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6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二、上年结转</w:t>
            </w: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二、结转下年</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一般公共预算拨款结转</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Calibri" w:hAnsi="Calibri" w:eastAsia="宋体" w:cs="Calibri"/>
                <w:i w:val="0"/>
                <w:iCs w:val="0"/>
                <w:color w:val="000000"/>
                <w:sz w:val="20"/>
                <w:szCs w:val="20"/>
                <w:u w:val="none"/>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政府性基金预算拨款结转</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6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四、《财政拨款收支总表》</w:t>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tbl>
      <w:tblPr>
        <w:tblStyle w:val="5"/>
        <w:tblpPr w:leftFromText="180" w:rightFromText="180" w:vertAnchor="text" w:horzAnchor="page" w:tblpX="1211" w:tblpY="849"/>
        <w:tblOverlap w:val="never"/>
        <w:tblW w:w="96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4"/>
        <w:gridCol w:w="4590"/>
        <w:gridCol w:w="1131"/>
        <w:gridCol w:w="1200"/>
        <w:gridCol w:w="1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69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275" w:type="dxa"/>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[403011]兴国县妇幼保健计划生育服务中心</w:t>
            </w:r>
          </w:p>
        </w:tc>
        <w:tc>
          <w:tcPr>
            <w:tcW w:w="2415" w:type="dxa"/>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14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5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97.57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87.22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87.22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10.35</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584.79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584.79</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公立医院</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532.22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532.22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2100206</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妇幼保健医院</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532.22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532.22</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52.57</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11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tbl>
      <w:tblPr>
        <w:tblStyle w:val="5"/>
        <w:tblpPr w:leftFromText="180" w:rightFromText="180" w:vertAnchor="text" w:horzAnchor="page" w:tblpX="1571" w:tblpY="760"/>
        <w:tblOverlap w:val="never"/>
        <w:tblW w:w="89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75"/>
        <w:gridCol w:w="3870"/>
        <w:gridCol w:w="1365"/>
        <w:gridCol w:w="1230"/>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97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510" w:type="dxa"/>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[403011]兴国县妇幼保健计划生育服务中心</w:t>
            </w:r>
          </w:p>
        </w:tc>
        <w:tc>
          <w:tcPr>
            <w:tcW w:w="2460" w:type="dxa"/>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1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723.69</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711.08</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709.52</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411.46</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411.46</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71.02</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71.02</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30103</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奖金</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17.34</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17.34</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30106</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伙食补助费</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87.22</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87.22</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10.35</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10.35</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52.57</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52.57</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30112</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其他社会保障缴费</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14.11</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14.11</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30113</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41.33</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商品和服务支出</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12.61</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30201</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办公费</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30229</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福利费</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对个人和家庭的补助</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30309</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奖励金</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p>
    <w:p>
      <w:pPr>
        <w:numPr>
          <w:ilvl w:val="0"/>
          <w:numId w:val="0"/>
        </w:numPr>
        <w:spacing w:line="560" w:lineRule="exact"/>
        <w:ind w:leftChars="0"/>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tbl>
      <w:tblPr>
        <w:tblStyle w:val="5"/>
        <w:tblpPr w:leftFromText="180" w:rightFromText="180" w:vertAnchor="text" w:horzAnchor="page" w:tblpX="992" w:tblpY="891"/>
        <w:tblOverlap w:val="never"/>
        <w:tblW w:w="10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05"/>
        <w:gridCol w:w="1230"/>
        <w:gridCol w:w="873"/>
        <w:gridCol w:w="2037"/>
        <w:gridCol w:w="1470"/>
        <w:gridCol w:w="1575"/>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200" w:type="dxa"/>
            <w:gridSpan w:val="7"/>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0"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915" w:type="dxa"/>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[403011]兴国县妇幼保健计划生育服务中心</w:t>
            </w:r>
          </w:p>
        </w:tc>
        <w:tc>
          <w:tcPr>
            <w:tcW w:w="3285" w:type="dxa"/>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8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0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numPr>
          <w:ilvl w:val="0"/>
          <w:numId w:val="0"/>
        </w:numPr>
        <w:spacing w:line="560" w:lineRule="exact"/>
        <w:ind w:leftChars="0"/>
        <w:rPr>
          <w:rFonts w:hint="eastAsia" w:ascii="仿宋" w:hAnsi="仿宋" w:eastAsia="仿宋" w:cs="仿宋"/>
          <w:color w:val="auto"/>
          <w:sz w:val="32"/>
          <w:szCs w:val="32"/>
        </w:rPr>
      </w:pPr>
      <w:bookmarkStart w:id="0" w:name="_GoBack"/>
      <w:bookmarkEnd w:id="0"/>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w:t>
      </w:r>
    </w:p>
    <w:tbl>
      <w:tblPr>
        <w:tblStyle w:val="5"/>
        <w:tblpPr w:leftFromText="180" w:rightFromText="180" w:vertAnchor="text" w:horzAnchor="page" w:tblpX="1585" w:tblpY="274"/>
        <w:tblOverlap w:val="never"/>
        <w:tblW w:w="89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25"/>
        <w:gridCol w:w="1635"/>
        <w:gridCol w:w="1935"/>
        <w:gridCol w:w="1650"/>
        <w:gridCol w:w="20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8970" w:type="dxa"/>
            <w:gridSpan w:val="5"/>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897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945" w:type="dxa"/>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[403011]兴国县妇幼保健计划生育服务中心</w:t>
            </w:r>
          </w:p>
        </w:tc>
        <w:tc>
          <w:tcPr>
            <w:tcW w:w="202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33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56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pStyle w:val="2"/>
        <w:numPr>
          <w:ilvl w:val="0"/>
          <w:numId w:val="0"/>
        </w:numPr>
        <w:ind w:leftChars="0"/>
        <w:rPr>
          <w:rFonts w:hint="eastAsia"/>
          <w:color w:val="auto"/>
          <w:lang w:eastAsia="zh-CN"/>
        </w:rPr>
      </w:pPr>
      <w:r>
        <w:rPr>
          <w:rFonts w:hint="eastAsia"/>
          <w:color w:val="auto"/>
          <w:lang w:val="en-US" w:eastAsia="zh-CN"/>
        </w:rPr>
        <w:t>九</w:t>
      </w:r>
      <w:r>
        <w:rPr>
          <w:rFonts w:hint="eastAsia"/>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74"/>
        <w:gridCol w:w="2088"/>
        <w:gridCol w:w="1347"/>
        <w:gridCol w:w="1425"/>
        <w:gridCol w:w="13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185" w:type="pct"/>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[403011]兴国县妇幼保健计划生育服务中心</w:t>
            </w:r>
          </w:p>
        </w:tc>
        <w:tc>
          <w:tcPr>
            <w:tcW w:w="81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5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44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color w:val="auto"/>
          <w:lang w:eastAsia="zh-CN"/>
        </w:rPr>
      </w:pPr>
    </w:p>
    <w:p>
      <w:pPr>
        <w:pStyle w:val="2"/>
        <w:numPr>
          <w:ilvl w:val="0"/>
          <w:numId w:val="0"/>
        </w:numPr>
        <w:ind w:leftChars="0"/>
        <w:rPr>
          <w:rFonts w:hint="eastAsia" w:eastAsia="仿宋_GB2312"/>
          <w:color w:val="auto"/>
          <w:lang w:eastAsia="zh-CN"/>
        </w:rPr>
      </w:pPr>
      <w:r>
        <w:rPr>
          <w:rFonts w:hint="eastAsia"/>
          <w:color w:val="auto"/>
          <w:lang w:eastAsia="zh-CN"/>
        </w:rPr>
        <w:t>十、《项目支出绩效目标表》</w:t>
      </w:r>
    </w:p>
    <w:p>
      <w:pPr>
        <w:pStyle w:val="2"/>
        <w:numPr>
          <w:ilvl w:val="0"/>
          <w:numId w:val="0"/>
        </w:numPr>
        <w:ind w:leftChars="0"/>
        <w:rPr>
          <w:rFonts w:hint="eastAsia" w:eastAsia="仿宋_GB2312"/>
          <w:color w:val="auto"/>
          <w:lang w:eastAsia="zh-CN"/>
        </w:rPr>
      </w:pPr>
      <w:r>
        <w:rPr>
          <w:rFonts w:hint="eastAsia"/>
          <w:color w:val="auto"/>
          <w:lang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（六）死亡抚恤：反映单位遗属人员生活补助。</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（七）婚前免费体检：反映婚前医学检查、婚前卫生指导、婚前卫生咨询等支出。</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（八）商品和服务支出：反映单位办公费、印刷费、公务接待费、公务用车运行维护费、福利费等支出。</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（九）资本性支出：反映单位专用设备购置、办公设备购置、信息网络及软件购置更新等支出。</w:t>
      </w:r>
    </w:p>
    <w:p>
      <w:pPr>
        <w:pStyle w:val="2"/>
        <w:ind w:firstLine="640"/>
        <w:rPr>
          <w:rFonts w:hint="default" w:ascii="仿宋" w:hAnsi="仿宋" w:eastAsia="仿宋" w:cs="仿宋"/>
          <w:color w:val="auto"/>
          <w:sz w:val="32"/>
          <w:szCs w:val="3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color w:val="auto"/>
                              <w:sz w:val="24"/>
                              <w:szCs w:val="24"/>
                            </w:rPr>
                          </w:pPr>
                          <w:r>
                            <w:rPr>
                              <w:color w:val="auto"/>
                              <w:sz w:val="21"/>
                              <w:szCs w:val="21"/>
                            </w:rPr>
                            <w:t xml:space="preserve">第 </w:t>
                          </w:r>
                          <w:r>
                            <w:rPr>
                              <w:color w:val="auto"/>
                              <w:sz w:val="21"/>
                              <w:szCs w:val="21"/>
                            </w:rPr>
                            <w:fldChar w:fldCharType="begin"/>
                          </w:r>
                          <w:r>
                            <w:rPr>
                              <w:color w:val="auto"/>
                              <w:sz w:val="21"/>
                              <w:szCs w:val="21"/>
                            </w:rPr>
                            <w:instrText xml:space="preserve"> PAGE  \* MERGEFORMAT </w:instrText>
                          </w:r>
                          <w:r>
                            <w:rPr>
                              <w:color w:val="auto"/>
                              <w:sz w:val="21"/>
                              <w:szCs w:val="21"/>
                            </w:rPr>
                            <w:fldChar w:fldCharType="separate"/>
                          </w:r>
                          <w:r>
                            <w:rPr>
                              <w:color w:val="auto"/>
                              <w:sz w:val="21"/>
                              <w:szCs w:val="21"/>
                            </w:rPr>
                            <w:t>1</w:t>
                          </w:r>
                          <w:r>
                            <w:rPr>
                              <w:color w:val="auto"/>
                              <w:sz w:val="21"/>
                              <w:szCs w:val="21"/>
                            </w:rPr>
                            <w:fldChar w:fldCharType="end"/>
                          </w:r>
                          <w:r>
                            <w:rPr>
                              <w:color w:val="auto"/>
                              <w:sz w:val="21"/>
                              <w:szCs w:val="21"/>
                            </w:rPr>
                            <w:t xml:space="preserve"> 页 共 </w:t>
                          </w:r>
                          <w:r>
                            <w:rPr>
                              <w:color w:val="auto"/>
                              <w:sz w:val="21"/>
                              <w:szCs w:val="21"/>
                            </w:rPr>
                            <w:fldChar w:fldCharType="begin"/>
                          </w:r>
                          <w:r>
                            <w:rPr>
                              <w:color w:val="auto"/>
                              <w:sz w:val="21"/>
                              <w:szCs w:val="21"/>
                            </w:rPr>
                            <w:instrText xml:space="preserve"> NUMPAGES  \* MERGEFORMAT </w:instrText>
                          </w:r>
                          <w:r>
                            <w:rPr>
                              <w:color w:val="auto"/>
                              <w:sz w:val="21"/>
                              <w:szCs w:val="21"/>
                            </w:rPr>
                            <w:fldChar w:fldCharType="separate"/>
                          </w:r>
                          <w:r>
                            <w:rPr>
                              <w:color w:val="auto"/>
                              <w:sz w:val="21"/>
                              <w:szCs w:val="21"/>
                            </w:rPr>
                            <w:t>15</w:t>
                          </w:r>
                          <w:r>
                            <w:rPr>
                              <w:color w:val="auto"/>
                              <w:sz w:val="21"/>
                              <w:szCs w:val="21"/>
                            </w:rPr>
                            <w:fldChar w:fldCharType="end"/>
                          </w:r>
                          <w:r>
                            <w:rPr>
                              <w:color w:val="auto"/>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color w:val="auto"/>
                        <w:sz w:val="24"/>
                        <w:szCs w:val="24"/>
                      </w:rPr>
                    </w:pPr>
                    <w:r>
                      <w:rPr>
                        <w:color w:val="auto"/>
                        <w:sz w:val="21"/>
                        <w:szCs w:val="21"/>
                      </w:rPr>
                      <w:t xml:space="preserve">第 </w:t>
                    </w:r>
                    <w:r>
                      <w:rPr>
                        <w:color w:val="auto"/>
                        <w:sz w:val="21"/>
                        <w:szCs w:val="21"/>
                      </w:rPr>
                      <w:fldChar w:fldCharType="begin"/>
                    </w:r>
                    <w:r>
                      <w:rPr>
                        <w:color w:val="auto"/>
                        <w:sz w:val="21"/>
                        <w:szCs w:val="21"/>
                      </w:rPr>
                      <w:instrText xml:space="preserve"> PAGE  \* MERGEFORMAT </w:instrText>
                    </w:r>
                    <w:r>
                      <w:rPr>
                        <w:color w:val="auto"/>
                        <w:sz w:val="21"/>
                        <w:szCs w:val="21"/>
                      </w:rPr>
                      <w:fldChar w:fldCharType="separate"/>
                    </w:r>
                    <w:r>
                      <w:rPr>
                        <w:color w:val="auto"/>
                        <w:sz w:val="21"/>
                        <w:szCs w:val="21"/>
                      </w:rPr>
                      <w:t>1</w:t>
                    </w:r>
                    <w:r>
                      <w:rPr>
                        <w:color w:val="auto"/>
                        <w:sz w:val="21"/>
                        <w:szCs w:val="21"/>
                      </w:rPr>
                      <w:fldChar w:fldCharType="end"/>
                    </w:r>
                    <w:r>
                      <w:rPr>
                        <w:color w:val="auto"/>
                        <w:sz w:val="21"/>
                        <w:szCs w:val="21"/>
                      </w:rPr>
                      <w:t xml:space="preserve"> 页 共 </w:t>
                    </w:r>
                    <w:r>
                      <w:rPr>
                        <w:color w:val="auto"/>
                        <w:sz w:val="21"/>
                        <w:szCs w:val="21"/>
                      </w:rPr>
                      <w:fldChar w:fldCharType="begin"/>
                    </w:r>
                    <w:r>
                      <w:rPr>
                        <w:color w:val="auto"/>
                        <w:sz w:val="21"/>
                        <w:szCs w:val="21"/>
                      </w:rPr>
                      <w:instrText xml:space="preserve"> NUMPAGES  \* MERGEFORMAT </w:instrText>
                    </w:r>
                    <w:r>
                      <w:rPr>
                        <w:color w:val="auto"/>
                        <w:sz w:val="21"/>
                        <w:szCs w:val="21"/>
                      </w:rPr>
                      <w:fldChar w:fldCharType="separate"/>
                    </w:r>
                    <w:r>
                      <w:rPr>
                        <w:color w:val="auto"/>
                        <w:sz w:val="21"/>
                        <w:szCs w:val="21"/>
                      </w:rPr>
                      <w:t>15</w:t>
                    </w:r>
                    <w:r>
                      <w:rPr>
                        <w:color w:val="auto"/>
                        <w:sz w:val="21"/>
                        <w:szCs w:val="21"/>
                      </w:rPr>
                      <w:fldChar w:fldCharType="end"/>
                    </w:r>
                    <w:r>
                      <w:rPr>
                        <w:color w:val="auto"/>
                        <w:sz w:val="21"/>
                        <w:szCs w:val="21"/>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26C1EA"/>
    <w:multiLevelType w:val="singleLevel"/>
    <w:tmpl w:val="B426C1EA"/>
    <w:lvl w:ilvl="0" w:tentative="0">
      <w:start w:val="1"/>
      <w:numFmt w:val="chineseCounting"/>
      <w:suff w:val="space"/>
      <w:lvlText w:val="第%1部分"/>
      <w:lvlJc w:val="left"/>
      <w:rPr>
        <w:rFonts w:hint="eastAsia"/>
      </w:rPr>
    </w:lvl>
  </w:abstractNum>
  <w:abstractNum w:abstractNumId="1">
    <w:nsid w:val="DA8D4095"/>
    <w:multiLevelType w:val="singleLevel"/>
    <w:tmpl w:val="DA8D4095"/>
    <w:lvl w:ilvl="0" w:tentative="0">
      <w:start w:val="5"/>
      <w:numFmt w:val="chineseCounting"/>
      <w:suff w:val="nothing"/>
      <w:lvlText w:val="（%1）"/>
      <w:lvlJc w:val="left"/>
      <w:rPr>
        <w:rFonts w:hint="eastAsia"/>
      </w:rPr>
    </w:lvl>
  </w:abstractNum>
  <w:abstractNum w:abstractNumId="2">
    <w:nsid w:val="0E892699"/>
    <w:multiLevelType w:val="singleLevel"/>
    <w:tmpl w:val="0E892699"/>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31C93669"/>
    <w:rsid w:val="044A4F10"/>
    <w:rsid w:val="046B3792"/>
    <w:rsid w:val="0C6D5F4E"/>
    <w:rsid w:val="0F0B65BE"/>
    <w:rsid w:val="0F57427D"/>
    <w:rsid w:val="11274EE5"/>
    <w:rsid w:val="11C05ADB"/>
    <w:rsid w:val="192835A8"/>
    <w:rsid w:val="1B4A04B3"/>
    <w:rsid w:val="1CC62AF9"/>
    <w:rsid w:val="1E885EB2"/>
    <w:rsid w:val="2487436C"/>
    <w:rsid w:val="24CE6293"/>
    <w:rsid w:val="286D6F60"/>
    <w:rsid w:val="2A5561C7"/>
    <w:rsid w:val="2B180942"/>
    <w:rsid w:val="2BCA04EF"/>
    <w:rsid w:val="2E62055B"/>
    <w:rsid w:val="318B6972"/>
    <w:rsid w:val="31C93669"/>
    <w:rsid w:val="39017B01"/>
    <w:rsid w:val="3AF05277"/>
    <w:rsid w:val="3BC33782"/>
    <w:rsid w:val="3E09759C"/>
    <w:rsid w:val="43CE72B2"/>
    <w:rsid w:val="447C3084"/>
    <w:rsid w:val="455F4791"/>
    <w:rsid w:val="47625C59"/>
    <w:rsid w:val="47EA6595"/>
    <w:rsid w:val="481000EB"/>
    <w:rsid w:val="4BBC2D34"/>
    <w:rsid w:val="4E274592"/>
    <w:rsid w:val="4FA5316C"/>
    <w:rsid w:val="53CE4770"/>
    <w:rsid w:val="548B79D0"/>
    <w:rsid w:val="55FB7373"/>
    <w:rsid w:val="596502F8"/>
    <w:rsid w:val="59D6612D"/>
    <w:rsid w:val="5C2465EF"/>
    <w:rsid w:val="5CDD7086"/>
    <w:rsid w:val="61F53810"/>
    <w:rsid w:val="63B53FF1"/>
    <w:rsid w:val="69C65724"/>
    <w:rsid w:val="6D4C4C2C"/>
    <w:rsid w:val="701C4743"/>
    <w:rsid w:val="71F320E9"/>
    <w:rsid w:val="76C7316E"/>
    <w:rsid w:val="78507B15"/>
    <w:rsid w:val="7D4274B2"/>
    <w:rsid w:val="7D697FAC"/>
    <w:rsid w:val="7DE70921"/>
    <w:rsid w:val="7E9A50CB"/>
    <w:rsid w:val="7EDB4074"/>
    <w:rsid w:val="7F5E0A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5089</Words>
  <Characters>6421</Characters>
  <Lines>0</Lines>
  <Paragraphs>0</Paragraphs>
  <TotalTime>6</TotalTime>
  <ScaleCrop>false</ScaleCrop>
  <LinksUpToDate>false</LinksUpToDate>
  <CharactersWithSpaces>6610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荣@</cp:lastModifiedBy>
  <cp:lastPrinted>2023-03-06T03:24:00Z</cp:lastPrinted>
  <dcterms:modified xsi:type="dcterms:W3CDTF">2024-06-03T07:34:08Z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1E53AC064FCF4443A150DAE03F1901F8_13</vt:lpwstr>
  </property>
</Properties>
</file>