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pPr>
        <w:spacing w:line="560" w:lineRule="exact"/>
        <w:jc w:val="center"/>
        <w:rPr>
          <w:rFonts w:hint="eastAsia" w:ascii="方正小标宋简体" w:hAnsi="方正小标宋简体" w:eastAsia="方正小标宋简体" w:cs="方正小标宋简体"/>
          <w:b/>
          <w:bCs w:val="0"/>
          <w:color w:val="auto"/>
          <w:sz w:val="44"/>
          <w:szCs w:val="44"/>
          <w:lang w:val="en-US" w:eastAsia="zh-CN"/>
        </w:rPr>
      </w:pPr>
      <w:r>
        <w:rPr>
          <w:rFonts w:hint="eastAsia" w:ascii="方正小标宋简体" w:hAnsi="方正小标宋简体" w:eastAsia="方正小标宋简体" w:cs="方正小标宋简体"/>
          <w:b/>
          <w:bCs w:val="0"/>
          <w:color w:val="auto"/>
          <w:sz w:val="44"/>
          <w:szCs w:val="44"/>
          <w:lang w:val="en-US" w:eastAsia="zh-CN"/>
        </w:rPr>
        <w:t>兴国县中等卫生职业技术学校</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中等卫生职业技术学校</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中等卫生职业技术学校</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中等卫生职业技术学校</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p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中等卫生职业技术学校</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sz w:val="32"/>
          <w:szCs w:val="32"/>
        </w:rPr>
      </w:pPr>
      <w:r>
        <w:rPr>
          <w:rFonts w:hint="eastAsia" w:ascii="仿宋" w:hAnsi="仿宋" w:eastAsia="仿宋" w:cs="仿宋"/>
          <w:color w:val="auto"/>
          <w:sz w:val="32"/>
          <w:szCs w:val="32"/>
          <w:lang w:val="en-US" w:eastAsia="zh-CN"/>
        </w:rPr>
        <w:t>兴国县中等卫生职业技术学校是兴国县卫生健康委员会的二级单位，主要职责有：开展基础医学，护理学，乡村医学教育，培养中等专业学历卫生技术人才，促进卫生事业发展。</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2023年兴国县中等卫生职业技术学校共设处室7个，包括：办公室、教务科、 财务科、学生科、总务科、安全生产科、信息科。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${page400644146.ds532982397_REP_JX_BAS_AGENCY_INFO_ZYFRS_S_BZRSXJ}</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编制人数小计18人,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t>其中：</w:t>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${page400644146.ds532982397_REP_JX_BAS_AGENCY_INFO_ZYFRS_S_BZRSMX}</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行政编制人数0人,参照公务员管理的事业编制人数0人,全部补助事业编制人数18人,自收自支编制人数0人。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${page400644146.ds532982397_REP_JX_BAS_AGENCY_INFO_ZYFRS_S_SYRSXJ}</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实有人数小计19人,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t>其中：</w:t>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${page400644146.ds532982397_REP_JX_BAS_AGENCY_INFO_ZYFRS_S_ZZRSXJ}</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在职人数小计19人,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${page400644146.ds532982397_REP_JX_BAS_AGENCY_INFO_ZYFRS_S_ZZRSMX}</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行政在职人数0人,参照公务员管理的事业单位在职人数0人,全部补助事业在职人数18人，部分补助事业在职人数1人。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${page400644146.ds532982397_REP_JX_BAS_AGENCY_INFO_ZYFRS_S_QTRSMX}</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离休人数小计0人,退休人数小计11人,退职人员0人,遗属人数0人。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${page400644146.ds532982397_REP_JX_BAS_AGENCY_INFO_ZYFRS_S_ZXXSMX}</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在校学生1243人,其中：本科生人数0人，专科生人数1243人。</w:t>
      </w:r>
      <w:r>
        <w:rPr>
          <w:rFonts w:hint="eastAsia" w:ascii="仿宋" w:hAnsi="仿宋" w:eastAsia="仿宋" w:cs="仿宋"/>
          <w:color w:val="auto"/>
          <w:sz w:val="32"/>
          <w:szCs w:val="32"/>
          <w:lang w:val="en-US" w:eastAsia="zh-CN"/>
        </w:rPr>
        <w:fldChar w:fldCharType="end"/>
      </w:r>
    </w:p>
    <w:p>
      <w:pPr>
        <w:pStyle w:val="2"/>
        <w:rPr>
          <w:color w:val="auto"/>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val="en-US" w:eastAsia="zh-CN"/>
        </w:rPr>
        <w:t>中等卫生职业技术学校</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本单位收入</w:t>
      </w:r>
      <w:r>
        <w:rPr>
          <w:rFonts w:hint="eastAsia" w:ascii="仿宋" w:hAnsi="仿宋" w:eastAsia="仿宋" w:cs="仿宋"/>
          <w:color w:val="auto"/>
          <w:sz w:val="32"/>
          <w:szCs w:val="32"/>
        </w:rPr>
        <w:t>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lang w:val="en-US" w:eastAsia="zh-CN"/>
        </w:rPr>
        <w:t>984.52</w:t>
      </w:r>
      <w:r>
        <w:rPr>
          <w:rFonts w:hint="eastAsia" w:ascii="仿宋" w:hAnsi="仿宋" w:eastAsia="仿宋" w:cs="仿宋"/>
          <w:color w:val="auto"/>
          <w:sz w:val="32"/>
          <w:szCs w:val="32"/>
        </w:rPr>
        <w:t>万元，较上年预算安排增</w:t>
      </w:r>
      <w:r>
        <w:rPr>
          <w:rFonts w:hint="eastAsia" w:ascii="仿宋" w:hAnsi="仿宋" w:eastAsia="仿宋" w:cs="仿宋"/>
          <w:color w:val="auto"/>
          <w:sz w:val="32"/>
          <w:szCs w:val="32"/>
          <w:lang w:val="en-US" w:eastAsia="zh-CN"/>
        </w:rPr>
        <w:t>加319.49</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48.04%</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学生人数增多，赣州卫校拨款收入增加。</w:t>
      </w:r>
    </w:p>
    <w:p>
      <w:pPr>
        <w:keepNext w:val="0"/>
        <w:keepLines w:val="0"/>
        <w:pageBreakBefore w:val="0"/>
        <w:widowControl w:val="0"/>
        <w:kinsoku/>
        <w:wordWrap/>
        <w:overflowPunct/>
        <w:topLinePunct w:val="0"/>
        <w:autoSpaceDE/>
        <w:autoSpaceDN/>
        <w:bidi w:val="0"/>
        <w:adjustRightInd/>
        <w:snapToGrid/>
        <w:spacing w:line="560" w:lineRule="exact"/>
        <w:ind w:firstLine="684"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pacing w:val="11"/>
          <w:sz w:val="32"/>
          <w:szCs w:val="32"/>
        </w:rPr>
        <w:t>其中：财政拨款收入</w:t>
      </w:r>
      <w:r>
        <w:rPr>
          <w:rFonts w:hint="eastAsia" w:ascii="仿宋" w:hAnsi="仿宋" w:eastAsia="仿宋" w:cs="仿宋"/>
          <w:color w:val="auto"/>
          <w:spacing w:val="11"/>
          <w:sz w:val="32"/>
          <w:szCs w:val="32"/>
          <w:lang w:val="en-US" w:eastAsia="zh-CN"/>
        </w:rPr>
        <w:t>173.71</w:t>
      </w:r>
      <w:r>
        <w:rPr>
          <w:rFonts w:hint="eastAsia" w:ascii="仿宋" w:hAnsi="仿宋" w:eastAsia="仿宋" w:cs="仿宋"/>
          <w:color w:val="auto"/>
          <w:spacing w:val="11"/>
          <w:sz w:val="32"/>
          <w:szCs w:val="32"/>
        </w:rPr>
        <w:t>万元,较</w:t>
      </w:r>
      <w:r>
        <w:rPr>
          <w:rFonts w:hint="eastAsia" w:ascii="仿宋" w:hAnsi="仿宋" w:eastAsia="仿宋" w:cs="仿宋"/>
          <w:color w:val="auto"/>
          <w:spacing w:val="23"/>
          <w:sz w:val="32"/>
          <w:szCs w:val="32"/>
        </w:rPr>
        <w:t>上年预算安排增加</w:t>
      </w:r>
      <w:r>
        <w:rPr>
          <w:rFonts w:hint="eastAsia" w:ascii="仿宋" w:hAnsi="仿宋" w:eastAsia="仿宋" w:cs="仿宋"/>
          <w:color w:val="auto"/>
          <w:spacing w:val="23"/>
          <w:sz w:val="32"/>
          <w:szCs w:val="32"/>
          <w:lang w:val="en-US" w:eastAsia="zh-CN"/>
        </w:rPr>
        <w:t>19.70</w:t>
      </w:r>
      <w:r>
        <w:rPr>
          <w:rFonts w:hint="eastAsia" w:ascii="仿宋" w:hAnsi="仿宋" w:eastAsia="仿宋" w:cs="仿宋"/>
          <w:color w:val="auto"/>
          <w:spacing w:val="23"/>
          <w:sz w:val="32"/>
          <w:szCs w:val="32"/>
        </w:rPr>
        <w:t>万元;</w:t>
      </w:r>
      <w:r>
        <w:rPr>
          <w:rFonts w:hint="eastAsia" w:ascii="仿宋" w:hAnsi="仿宋" w:eastAsia="仿宋" w:cs="仿宋"/>
          <w:color w:val="auto"/>
          <w:spacing w:val="23"/>
          <w:sz w:val="32"/>
          <w:szCs w:val="32"/>
          <w:lang w:eastAsia="zh-CN"/>
        </w:rPr>
        <w:t>政府性基金预算收入</w:t>
      </w:r>
      <w:r>
        <w:rPr>
          <w:rFonts w:hint="eastAsia" w:ascii="仿宋" w:hAnsi="仿宋" w:eastAsia="仿宋" w:cs="仿宋"/>
          <w:color w:val="auto"/>
          <w:spacing w:val="23"/>
          <w:sz w:val="32"/>
          <w:szCs w:val="32"/>
        </w:rPr>
        <w:t>收</w:t>
      </w:r>
      <w:r>
        <w:rPr>
          <w:rFonts w:hint="eastAsia" w:ascii="仿宋" w:hAnsi="仿宋" w:eastAsia="仿宋" w:cs="仿宋"/>
          <w:color w:val="auto"/>
          <w:spacing w:val="23"/>
          <w:sz w:val="32"/>
          <w:szCs w:val="32"/>
          <w:lang w:eastAsia="zh-CN"/>
        </w:rPr>
        <w:t>入</w:t>
      </w:r>
      <w:r>
        <w:rPr>
          <w:rFonts w:hint="eastAsia" w:ascii="仿宋" w:hAnsi="仿宋" w:eastAsia="仿宋" w:cs="仿宋"/>
          <w:color w:val="auto"/>
          <w:spacing w:val="23"/>
          <w:sz w:val="32"/>
          <w:szCs w:val="32"/>
          <w:lang w:val="en-US" w:eastAsia="zh-CN"/>
        </w:rPr>
        <w:t>0</w:t>
      </w:r>
      <w:r>
        <w:rPr>
          <w:rFonts w:hint="eastAsia" w:ascii="仿宋" w:hAnsi="仿宋" w:eastAsia="仿宋" w:cs="仿宋"/>
          <w:color w:val="auto"/>
          <w:spacing w:val="28"/>
          <w:sz w:val="32"/>
          <w:szCs w:val="32"/>
        </w:rPr>
        <w:t>万元,较</w:t>
      </w:r>
      <w:r>
        <w:rPr>
          <w:rFonts w:hint="eastAsia" w:ascii="仿宋" w:hAnsi="仿宋" w:eastAsia="仿宋" w:cs="仿宋"/>
          <w:color w:val="auto"/>
          <w:spacing w:val="28"/>
          <w:sz w:val="32"/>
          <w:szCs w:val="32"/>
          <w:lang w:val="en-US" w:eastAsia="zh-CN"/>
        </w:rPr>
        <w:t>上</w:t>
      </w:r>
      <w:r>
        <w:rPr>
          <w:rFonts w:hint="eastAsia" w:ascii="仿宋" w:hAnsi="仿宋" w:eastAsia="仿宋" w:cs="仿宋"/>
          <w:color w:val="auto"/>
          <w:spacing w:val="28"/>
          <w:sz w:val="32"/>
          <w:szCs w:val="32"/>
        </w:rPr>
        <w:t>年预算安排</w:t>
      </w:r>
      <w:r>
        <w:rPr>
          <w:rFonts w:hint="eastAsia" w:ascii="仿宋" w:hAnsi="仿宋" w:eastAsia="仿宋" w:cs="仿宋"/>
          <w:color w:val="auto"/>
          <w:spacing w:val="23"/>
          <w:sz w:val="32"/>
          <w:szCs w:val="32"/>
        </w:rPr>
        <w:t>增加</w:t>
      </w:r>
      <w:r>
        <w:rPr>
          <w:rFonts w:hint="eastAsia" w:ascii="仿宋" w:hAnsi="仿宋" w:eastAsia="仿宋" w:cs="仿宋"/>
          <w:color w:val="auto"/>
          <w:spacing w:val="23"/>
          <w:sz w:val="32"/>
          <w:szCs w:val="32"/>
          <w:lang w:val="en-US" w:eastAsia="zh-CN"/>
        </w:rPr>
        <w:t>0</w:t>
      </w:r>
      <w:r>
        <w:rPr>
          <w:rFonts w:hint="eastAsia" w:ascii="仿宋" w:hAnsi="仿宋" w:eastAsia="仿宋" w:cs="仿宋"/>
          <w:color w:val="auto"/>
          <w:spacing w:val="28"/>
          <w:sz w:val="32"/>
          <w:szCs w:val="32"/>
        </w:rPr>
        <w:t>万元;</w:t>
      </w:r>
      <w:r>
        <w:rPr>
          <w:rFonts w:hint="eastAsia" w:ascii="仿宋" w:hAnsi="仿宋" w:eastAsia="仿宋" w:cs="仿宋"/>
          <w:color w:val="auto"/>
          <w:spacing w:val="23"/>
          <w:sz w:val="32"/>
          <w:szCs w:val="32"/>
        </w:rPr>
        <w:t>教育收费资金收</w:t>
      </w:r>
      <w:r>
        <w:rPr>
          <w:rFonts w:hint="eastAsia" w:ascii="仿宋" w:hAnsi="仿宋" w:eastAsia="仿宋" w:cs="仿宋"/>
          <w:color w:val="auto"/>
          <w:spacing w:val="23"/>
          <w:sz w:val="32"/>
          <w:szCs w:val="32"/>
          <w:lang w:eastAsia="zh-CN"/>
        </w:rPr>
        <w:t>入</w:t>
      </w:r>
      <w:r>
        <w:rPr>
          <w:rFonts w:hint="eastAsia" w:ascii="仿宋" w:hAnsi="仿宋" w:eastAsia="仿宋" w:cs="仿宋"/>
          <w:color w:val="auto"/>
          <w:spacing w:val="23"/>
          <w:sz w:val="32"/>
          <w:szCs w:val="32"/>
          <w:lang w:val="en-US" w:eastAsia="zh-CN"/>
        </w:rPr>
        <w:t>0</w:t>
      </w:r>
      <w:r>
        <w:rPr>
          <w:rFonts w:hint="eastAsia" w:ascii="仿宋" w:hAnsi="仿宋" w:eastAsia="仿宋" w:cs="仿宋"/>
          <w:color w:val="auto"/>
          <w:spacing w:val="28"/>
          <w:sz w:val="32"/>
          <w:szCs w:val="32"/>
        </w:rPr>
        <w:t>万元,较</w:t>
      </w:r>
      <w:r>
        <w:rPr>
          <w:rFonts w:hint="eastAsia" w:ascii="仿宋" w:hAnsi="仿宋" w:eastAsia="仿宋" w:cs="仿宋"/>
          <w:color w:val="auto"/>
          <w:spacing w:val="28"/>
          <w:sz w:val="32"/>
          <w:szCs w:val="32"/>
          <w:lang w:val="en-US" w:eastAsia="zh-CN"/>
        </w:rPr>
        <w:t>上</w:t>
      </w:r>
      <w:r>
        <w:rPr>
          <w:rFonts w:hint="eastAsia" w:ascii="仿宋" w:hAnsi="仿宋" w:eastAsia="仿宋" w:cs="仿宋"/>
          <w:color w:val="auto"/>
          <w:spacing w:val="28"/>
          <w:sz w:val="32"/>
          <w:szCs w:val="32"/>
        </w:rPr>
        <w:t>年预算安排</w:t>
      </w:r>
      <w:r>
        <w:rPr>
          <w:rFonts w:hint="eastAsia" w:ascii="仿宋" w:hAnsi="仿宋" w:eastAsia="仿宋" w:cs="仿宋"/>
          <w:color w:val="auto"/>
          <w:spacing w:val="23"/>
          <w:sz w:val="32"/>
          <w:szCs w:val="32"/>
          <w:lang w:eastAsia="zh-CN"/>
        </w:rPr>
        <w:t>减少</w:t>
      </w:r>
      <w:r>
        <w:rPr>
          <w:rFonts w:hint="eastAsia" w:ascii="仿宋" w:hAnsi="仿宋" w:eastAsia="仿宋" w:cs="仿宋"/>
          <w:color w:val="auto"/>
          <w:spacing w:val="23"/>
          <w:sz w:val="32"/>
          <w:szCs w:val="32"/>
          <w:lang w:val="en-US" w:eastAsia="zh-CN"/>
        </w:rPr>
        <w:t>45.00</w:t>
      </w:r>
      <w:r>
        <w:rPr>
          <w:rFonts w:hint="eastAsia" w:ascii="仿宋" w:hAnsi="仿宋" w:eastAsia="仿宋" w:cs="仿宋"/>
          <w:color w:val="auto"/>
          <w:spacing w:val="28"/>
          <w:sz w:val="32"/>
          <w:szCs w:val="32"/>
        </w:rPr>
        <w:t>万元;事业收入</w:t>
      </w:r>
      <w:r>
        <w:rPr>
          <w:rFonts w:hint="eastAsia" w:ascii="仿宋" w:hAnsi="仿宋" w:eastAsia="仿宋" w:cs="仿宋"/>
          <w:color w:val="auto"/>
          <w:spacing w:val="28"/>
          <w:sz w:val="32"/>
          <w:szCs w:val="32"/>
          <w:lang w:val="en-US" w:eastAsia="zh-CN"/>
        </w:rPr>
        <w:t>65.00</w:t>
      </w:r>
      <w:r>
        <w:rPr>
          <w:rFonts w:hint="eastAsia" w:ascii="仿宋" w:hAnsi="仿宋" w:eastAsia="仿宋" w:cs="仿宋"/>
          <w:color w:val="auto"/>
          <w:spacing w:val="7"/>
          <w:sz w:val="32"/>
          <w:szCs w:val="32"/>
        </w:rPr>
        <w:t>万元,较上年预算安排增加</w:t>
      </w:r>
      <w:r>
        <w:rPr>
          <w:rFonts w:hint="eastAsia" w:ascii="仿宋" w:hAnsi="仿宋" w:eastAsia="仿宋" w:cs="仿宋"/>
          <w:color w:val="auto"/>
          <w:spacing w:val="7"/>
          <w:sz w:val="32"/>
          <w:szCs w:val="32"/>
          <w:lang w:val="en-US" w:eastAsia="zh-CN"/>
        </w:rPr>
        <w:t>65.00</w:t>
      </w:r>
      <w:r>
        <w:rPr>
          <w:rFonts w:hint="eastAsia" w:ascii="仿宋" w:hAnsi="仿宋" w:eastAsia="仿宋" w:cs="仿宋"/>
          <w:color w:val="auto"/>
          <w:spacing w:val="7"/>
          <w:sz w:val="32"/>
          <w:szCs w:val="32"/>
        </w:rPr>
        <w:t>万元;</w:t>
      </w:r>
      <w:r>
        <w:rPr>
          <w:rFonts w:hint="eastAsia" w:ascii="仿宋" w:hAnsi="仿宋" w:eastAsia="仿宋" w:cs="仿宋"/>
          <w:color w:val="auto"/>
          <w:spacing w:val="7"/>
          <w:sz w:val="32"/>
          <w:szCs w:val="32"/>
          <w:lang w:eastAsia="zh-CN"/>
        </w:rPr>
        <w:t>上级补助</w:t>
      </w:r>
      <w:r>
        <w:rPr>
          <w:rFonts w:hint="eastAsia" w:ascii="仿宋" w:hAnsi="仿宋" w:eastAsia="仿宋" w:cs="仿宋"/>
          <w:color w:val="auto"/>
          <w:spacing w:val="8"/>
          <w:sz w:val="32"/>
          <w:szCs w:val="32"/>
        </w:rPr>
        <w:t>收</w:t>
      </w:r>
      <w:r>
        <w:rPr>
          <w:rFonts w:hint="eastAsia" w:ascii="仿宋" w:hAnsi="仿宋" w:eastAsia="仿宋" w:cs="仿宋"/>
          <w:color w:val="auto"/>
          <w:spacing w:val="8"/>
          <w:sz w:val="32"/>
          <w:szCs w:val="32"/>
          <w:lang w:eastAsia="zh-CN"/>
        </w:rPr>
        <w:t>入</w:t>
      </w:r>
      <w:r>
        <w:rPr>
          <w:rFonts w:hint="eastAsia" w:ascii="仿宋" w:hAnsi="仿宋" w:eastAsia="仿宋" w:cs="仿宋"/>
          <w:color w:val="auto"/>
          <w:spacing w:val="8"/>
          <w:sz w:val="32"/>
          <w:szCs w:val="32"/>
          <w:lang w:val="en-US" w:eastAsia="zh-CN"/>
        </w:rPr>
        <w:t>0</w:t>
      </w:r>
      <w:r>
        <w:rPr>
          <w:rFonts w:hint="eastAsia" w:ascii="仿宋" w:hAnsi="仿宋" w:eastAsia="仿宋" w:cs="仿宋"/>
          <w:color w:val="auto"/>
          <w:spacing w:val="8"/>
          <w:sz w:val="32"/>
          <w:szCs w:val="32"/>
        </w:rPr>
        <w:t>元,较上年预算安排增加</w:t>
      </w:r>
      <w:r>
        <w:rPr>
          <w:rFonts w:hint="eastAsia" w:ascii="仿宋" w:hAnsi="仿宋" w:eastAsia="仿宋" w:cs="仿宋"/>
          <w:color w:val="auto"/>
          <w:spacing w:val="8"/>
          <w:sz w:val="32"/>
          <w:szCs w:val="32"/>
          <w:lang w:val="en-US" w:eastAsia="zh-CN"/>
        </w:rPr>
        <w:t>0</w:t>
      </w:r>
      <w:r>
        <w:rPr>
          <w:rFonts w:hint="eastAsia" w:ascii="仿宋" w:hAnsi="仿宋" w:eastAsia="仿宋" w:cs="仿宋"/>
          <w:color w:val="auto"/>
          <w:spacing w:val="8"/>
          <w:sz w:val="32"/>
          <w:szCs w:val="32"/>
        </w:rPr>
        <w:t>万元；</w:t>
      </w:r>
      <w:r>
        <w:rPr>
          <w:rFonts w:hint="eastAsia" w:ascii="仿宋" w:hAnsi="仿宋" w:eastAsia="仿宋" w:cs="仿宋"/>
          <w:color w:val="auto"/>
          <w:spacing w:val="18"/>
          <w:sz w:val="32"/>
          <w:szCs w:val="32"/>
        </w:rPr>
        <w:t>其他收</w:t>
      </w:r>
      <w:r>
        <w:rPr>
          <w:rFonts w:hint="eastAsia" w:ascii="仿宋" w:hAnsi="仿宋" w:eastAsia="仿宋" w:cs="仿宋"/>
          <w:color w:val="auto"/>
          <w:spacing w:val="18"/>
          <w:sz w:val="32"/>
          <w:szCs w:val="32"/>
          <w:lang w:eastAsia="zh-CN"/>
        </w:rPr>
        <w:t>入</w:t>
      </w:r>
      <w:r>
        <w:rPr>
          <w:rFonts w:hint="eastAsia" w:ascii="仿宋" w:hAnsi="仿宋" w:eastAsia="仿宋" w:cs="仿宋"/>
          <w:color w:val="auto"/>
          <w:spacing w:val="18"/>
          <w:sz w:val="32"/>
          <w:szCs w:val="32"/>
          <w:lang w:val="en-US" w:eastAsia="zh-CN"/>
        </w:rPr>
        <w:t>745.81</w:t>
      </w:r>
      <w:r>
        <w:rPr>
          <w:rFonts w:hint="eastAsia" w:ascii="仿宋" w:hAnsi="仿宋" w:eastAsia="仿宋" w:cs="仿宋"/>
          <w:color w:val="auto"/>
          <w:spacing w:val="18"/>
          <w:sz w:val="32"/>
          <w:szCs w:val="32"/>
        </w:rPr>
        <w:t>万元，较上年预算安排增加</w:t>
      </w:r>
      <w:r>
        <w:rPr>
          <w:rFonts w:hint="eastAsia" w:ascii="仿宋" w:hAnsi="仿宋" w:eastAsia="仿宋" w:cs="仿宋"/>
          <w:color w:val="auto"/>
          <w:spacing w:val="18"/>
          <w:sz w:val="32"/>
          <w:szCs w:val="32"/>
          <w:lang w:val="en-US" w:eastAsia="zh-CN"/>
        </w:rPr>
        <w:t>279.79</w:t>
      </w:r>
      <w:r>
        <w:rPr>
          <w:rFonts w:hint="eastAsia" w:ascii="仿宋" w:hAnsi="仿宋" w:eastAsia="仿宋" w:cs="仿宋"/>
          <w:color w:val="auto"/>
          <w:spacing w:val="7"/>
          <w:sz w:val="32"/>
          <w:szCs w:val="32"/>
        </w:rPr>
        <w:t>万元</w:t>
      </w:r>
      <w:r>
        <w:rPr>
          <w:rFonts w:hint="eastAsia" w:ascii="仿宋" w:hAnsi="仿宋" w:eastAsia="仿宋" w:cs="仿宋"/>
          <w:color w:val="auto"/>
          <w:spacing w:val="4"/>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支出预算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lang w:val="en-US" w:eastAsia="zh-CN"/>
        </w:rPr>
        <w:t>984.52</w:t>
      </w:r>
      <w:r>
        <w:rPr>
          <w:rFonts w:hint="eastAsia" w:ascii="仿宋" w:hAnsi="仿宋" w:eastAsia="仿宋" w:cs="仿宋"/>
          <w:color w:val="auto"/>
          <w:sz w:val="32"/>
          <w:szCs w:val="32"/>
        </w:rPr>
        <w:t>万元，较上年预算安排增</w:t>
      </w:r>
      <w:r>
        <w:rPr>
          <w:rFonts w:hint="eastAsia" w:ascii="仿宋" w:hAnsi="仿宋" w:eastAsia="仿宋" w:cs="仿宋"/>
          <w:color w:val="auto"/>
          <w:sz w:val="32"/>
          <w:szCs w:val="32"/>
          <w:lang w:val="en-US" w:eastAsia="zh-CN"/>
        </w:rPr>
        <w:t>319.49</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48.04%</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因学校教学设备老旧，增加了购置教学设备和办公用品的支出，另有系统关系项目支出有重复提交</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yellow"/>
          <w:lang w:eastAsia="zh-CN"/>
        </w:rPr>
      </w:pPr>
      <w:r>
        <w:rPr>
          <w:rFonts w:hint="eastAsia" w:ascii="仿宋" w:hAnsi="仿宋" w:eastAsia="仿宋" w:cs="仿宋"/>
          <w:color w:val="auto"/>
          <w:sz w:val="32"/>
          <w:szCs w:val="32"/>
          <w:lang w:eastAsia="zh-CN"/>
        </w:rPr>
        <w:t>按支出项目类别及经济分类科目划分：基本支</w:t>
      </w:r>
      <w:r>
        <w:rPr>
          <w:rFonts w:hint="eastAsia" w:ascii="仿宋" w:hAnsi="仿宋" w:eastAsia="仿宋" w:cs="仿宋"/>
          <w:color w:val="auto"/>
          <w:sz w:val="32"/>
          <w:szCs w:val="32"/>
          <w:lang w:val="en-US" w:eastAsia="zh-CN"/>
        </w:rPr>
        <w:t>出569.52万元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217.93</w:t>
      </w:r>
      <w:r>
        <w:rPr>
          <w:rFonts w:hint="eastAsia" w:ascii="仿宋" w:hAnsi="仿宋" w:eastAsia="仿宋" w:cs="仿宋"/>
          <w:color w:val="auto"/>
          <w:sz w:val="32"/>
          <w:szCs w:val="32"/>
          <w:lang w:eastAsia="zh-CN"/>
        </w:rPr>
        <w:t>元，其中：工资福利支出</w:t>
      </w:r>
      <w:r>
        <w:rPr>
          <w:rFonts w:hint="eastAsia" w:ascii="仿宋" w:hAnsi="仿宋" w:eastAsia="仿宋" w:cs="仿宋"/>
          <w:color w:val="auto"/>
          <w:sz w:val="32"/>
          <w:szCs w:val="32"/>
          <w:lang w:val="en-US" w:eastAsia="zh-CN"/>
        </w:rPr>
        <w:t>360.15</w:t>
      </w:r>
      <w:r>
        <w:rPr>
          <w:rFonts w:hint="eastAsia" w:ascii="仿宋" w:hAnsi="仿宋" w:eastAsia="仿宋" w:cs="仿宋"/>
          <w:color w:val="auto"/>
          <w:sz w:val="32"/>
          <w:szCs w:val="32"/>
          <w:lang w:eastAsia="zh-CN"/>
        </w:rPr>
        <w:t>万元，商品和服务支出</w:t>
      </w:r>
      <w:r>
        <w:rPr>
          <w:rFonts w:hint="eastAsia" w:ascii="仿宋" w:hAnsi="仿宋" w:eastAsia="仿宋" w:cs="仿宋"/>
          <w:color w:val="auto"/>
          <w:sz w:val="32"/>
          <w:szCs w:val="32"/>
          <w:lang w:val="en-US" w:eastAsia="zh-CN"/>
        </w:rPr>
        <w:t>153.09</w:t>
      </w:r>
      <w:r>
        <w:rPr>
          <w:rFonts w:hint="eastAsia" w:ascii="仿宋" w:hAnsi="仿宋" w:eastAsia="仿宋" w:cs="仿宋"/>
          <w:color w:val="auto"/>
          <w:sz w:val="32"/>
          <w:szCs w:val="32"/>
          <w:lang w:eastAsia="zh-CN"/>
        </w:rPr>
        <w:t>万元，对个人和家庭的</w:t>
      </w:r>
      <w:r>
        <w:rPr>
          <w:rFonts w:hint="eastAsia" w:ascii="仿宋" w:hAnsi="仿宋" w:eastAsia="仿宋" w:cs="仿宋"/>
          <w:color w:val="auto"/>
          <w:sz w:val="32"/>
          <w:szCs w:val="32"/>
          <w:lang w:val="en-US" w:eastAsia="zh-CN"/>
        </w:rPr>
        <w:t>补助6.28</w:t>
      </w:r>
      <w:r>
        <w:rPr>
          <w:rFonts w:hint="eastAsia" w:ascii="仿宋" w:hAnsi="仿宋" w:eastAsia="仿宋" w:cs="仿宋"/>
          <w:color w:val="auto"/>
          <w:sz w:val="32"/>
          <w:szCs w:val="32"/>
          <w:lang w:eastAsia="zh-CN"/>
        </w:rPr>
        <w:t>万元，资本性支出</w:t>
      </w:r>
      <w:r>
        <w:rPr>
          <w:rFonts w:hint="eastAsia" w:ascii="仿宋" w:hAnsi="仿宋" w:eastAsia="仿宋" w:cs="仿宋"/>
          <w:color w:val="auto"/>
          <w:sz w:val="32"/>
          <w:szCs w:val="32"/>
          <w:lang w:val="en-US" w:eastAsia="zh-CN"/>
        </w:rPr>
        <w:t>50.00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highlight w:val="none"/>
          <w:lang w:eastAsia="zh-CN"/>
        </w:rPr>
        <w:t>项目支出</w:t>
      </w:r>
      <w:r>
        <w:rPr>
          <w:rFonts w:hint="eastAsia" w:ascii="仿宋" w:hAnsi="仿宋" w:eastAsia="仿宋" w:cs="仿宋"/>
          <w:color w:val="auto"/>
          <w:sz w:val="32"/>
          <w:szCs w:val="32"/>
          <w:highlight w:val="none"/>
          <w:lang w:val="en-US" w:eastAsia="zh-CN"/>
        </w:rPr>
        <w:t>415.00</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101.57</w:t>
      </w:r>
      <w:r>
        <w:rPr>
          <w:rFonts w:hint="eastAsia" w:ascii="仿宋" w:hAnsi="仿宋" w:eastAsia="仿宋" w:cs="仿宋"/>
          <w:color w:val="auto"/>
          <w:sz w:val="32"/>
          <w:szCs w:val="32"/>
          <w:highlight w:val="none"/>
          <w:lang w:eastAsia="zh-CN"/>
        </w:rPr>
        <w:t>万元，其中：工资福利支出</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lang w:eastAsia="zh-CN"/>
        </w:rPr>
        <w:t>万元，商品和服务支出</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lang w:eastAsia="zh-CN"/>
        </w:rPr>
        <w:t>万元，对个人和家庭的补助</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lang w:eastAsia="zh-CN"/>
        </w:rPr>
        <w:t>万元，资本性支出</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lang w:eastAsia="zh-CN"/>
        </w:rPr>
        <w:t>万元，其他相关支出</w:t>
      </w:r>
      <w:r>
        <w:rPr>
          <w:rFonts w:hint="eastAsia" w:ascii="仿宋" w:hAnsi="仿宋" w:eastAsia="仿宋" w:cs="仿宋"/>
          <w:color w:val="auto"/>
          <w:sz w:val="32"/>
          <w:szCs w:val="32"/>
          <w:highlight w:val="none"/>
          <w:lang w:val="en-US" w:eastAsia="zh-CN"/>
        </w:rPr>
        <w:t>415.00</w:t>
      </w:r>
      <w:r>
        <w:rPr>
          <w:rFonts w:hint="eastAsia" w:ascii="仿宋" w:hAnsi="仿宋" w:eastAsia="仿宋" w:cs="仿宋"/>
          <w:color w:val="auto"/>
          <w:sz w:val="32"/>
          <w:szCs w:val="32"/>
          <w:highlight w:val="none"/>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按支出功能分类科目划分按支出功能分类科目划分：</w:t>
      </w:r>
      <w:r>
        <w:rPr>
          <w:rFonts w:hint="eastAsia" w:ascii="仿宋" w:hAnsi="仿宋" w:eastAsia="仿宋" w:cs="仿宋"/>
          <w:color w:val="auto"/>
          <w:sz w:val="32"/>
          <w:szCs w:val="32"/>
          <w:lang w:val="en-US" w:eastAsia="zh-CN"/>
        </w:rPr>
        <w:t>教育</w:t>
      </w:r>
      <w:r>
        <w:rPr>
          <w:rFonts w:hint="eastAsia" w:ascii="仿宋" w:hAnsi="仿宋" w:eastAsia="仿宋" w:cs="仿宋"/>
          <w:color w:val="auto"/>
          <w:spacing w:val="12"/>
          <w:sz w:val="32"/>
          <w:szCs w:val="32"/>
        </w:rPr>
        <w:t>支</w:t>
      </w:r>
      <w:r>
        <w:rPr>
          <w:rFonts w:hint="eastAsia" w:ascii="仿宋" w:hAnsi="仿宋" w:eastAsia="仿宋" w:cs="仿宋"/>
          <w:color w:val="auto"/>
          <w:spacing w:val="12"/>
          <w:sz w:val="32"/>
          <w:szCs w:val="32"/>
          <w:lang w:val="en-US" w:eastAsia="zh-CN"/>
        </w:rPr>
        <w:t>出930.44</w:t>
      </w:r>
      <w:r>
        <w:rPr>
          <w:rFonts w:hint="eastAsia" w:ascii="仿宋" w:hAnsi="仿宋" w:eastAsia="仿宋" w:cs="仿宋"/>
          <w:color w:val="auto"/>
          <w:spacing w:val="12"/>
          <w:sz w:val="32"/>
          <w:szCs w:val="32"/>
        </w:rPr>
        <w:t>万元,较</w:t>
      </w:r>
      <w:r>
        <w:rPr>
          <w:rFonts w:hint="eastAsia" w:ascii="仿宋" w:hAnsi="仿宋" w:eastAsia="仿宋" w:cs="仿宋"/>
          <w:color w:val="auto"/>
          <w:spacing w:val="5"/>
          <w:sz w:val="32"/>
          <w:szCs w:val="32"/>
        </w:rPr>
        <w:t>上年预算安排增加</w:t>
      </w:r>
      <w:r>
        <w:rPr>
          <w:rFonts w:hint="eastAsia" w:ascii="仿宋" w:hAnsi="仿宋" w:eastAsia="仿宋" w:cs="仿宋"/>
          <w:color w:val="auto"/>
          <w:spacing w:val="5"/>
          <w:sz w:val="32"/>
          <w:szCs w:val="32"/>
          <w:lang w:val="en-US" w:eastAsia="zh-CN"/>
        </w:rPr>
        <w:t>620.59</w:t>
      </w:r>
      <w:r>
        <w:rPr>
          <w:rFonts w:hint="eastAsia" w:ascii="仿宋" w:hAnsi="仿宋" w:eastAsia="仿宋" w:cs="仿宋"/>
          <w:color w:val="auto"/>
          <w:spacing w:val="5"/>
          <w:sz w:val="32"/>
          <w:szCs w:val="32"/>
        </w:rPr>
        <w:t>万元;社会保障和就业支出</w:t>
      </w:r>
      <w:r>
        <w:rPr>
          <w:rFonts w:hint="eastAsia" w:ascii="仿宋" w:hAnsi="仿宋" w:eastAsia="仿宋" w:cs="仿宋"/>
          <w:color w:val="auto"/>
          <w:spacing w:val="5"/>
          <w:sz w:val="32"/>
          <w:szCs w:val="32"/>
          <w:lang w:val="en-US" w:eastAsia="zh-CN"/>
        </w:rPr>
        <w:t>24.44</w:t>
      </w:r>
      <w:r>
        <w:rPr>
          <w:rFonts w:hint="eastAsia" w:ascii="仿宋" w:hAnsi="仿宋" w:eastAsia="仿宋" w:cs="仿宋"/>
          <w:color w:val="auto"/>
          <w:spacing w:val="5"/>
          <w:sz w:val="32"/>
          <w:szCs w:val="32"/>
        </w:rPr>
        <w:t>万元,较</w:t>
      </w:r>
      <w:r>
        <w:rPr>
          <w:rFonts w:hint="eastAsia" w:ascii="仿宋" w:hAnsi="仿宋" w:eastAsia="仿宋" w:cs="仿宋"/>
          <w:color w:val="auto"/>
          <w:spacing w:val="10"/>
          <w:sz w:val="32"/>
          <w:szCs w:val="32"/>
        </w:rPr>
        <w:t>上年预算安排增加</w:t>
      </w:r>
      <w:r>
        <w:rPr>
          <w:rFonts w:hint="eastAsia" w:ascii="仿宋" w:hAnsi="仿宋" w:eastAsia="仿宋" w:cs="仿宋"/>
          <w:color w:val="auto"/>
          <w:spacing w:val="10"/>
          <w:sz w:val="32"/>
          <w:szCs w:val="32"/>
          <w:lang w:val="en-US" w:eastAsia="zh-CN"/>
        </w:rPr>
        <w:t>4.22</w:t>
      </w:r>
      <w:r>
        <w:rPr>
          <w:rFonts w:hint="eastAsia" w:ascii="仿宋" w:hAnsi="仿宋" w:eastAsia="仿宋" w:cs="仿宋"/>
          <w:color w:val="auto"/>
          <w:spacing w:val="10"/>
          <w:sz w:val="32"/>
          <w:szCs w:val="32"/>
        </w:rPr>
        <w:t>万元;卫生健康支出</w:t>
      </w:r>
      <w:r>
        <w:rPr>
          <w:rFonts w:hint="eastAsia" w:ascii="仿宋" w:hAnsi="仿宋" w:eastAsia="仿宋" w:cs="仿宋"/>
          <w:color w:val="auto"/>
          <w:spacing w:val="10"/>
          <w:sz w:val="32"/>
          <w:szCs w:val="32"/>
          <w:lang w:val="en-US" w:eastAsia="zh-CN"/>
        </w:rPr>
        <w:t>10.74</w:t>
      </w:r>
      <w:r>
        <w:rPr>
          <w:rFonts w:hint="eastAsia" w:ascii="仿宋" w:hAnsi="仿宋" w:eastAsia="仿宋" w:cs="仿宋"/>
          <w:color w:val="auto"/>
          <w:spacing w:val="10"/>
          <w:sz w:val="32"/>
          <w:szCs w:val="32"/>
        </w:rPr>
        <w:t>万</w:t>
      </w:r>
      <w:r>
        <w:rPr>
          <w:rFonts w:hint="eastAsia" w:ascii="仿宋" w:hAnsi="仿宋" w:eastAsia="仿宋" w:cs="仿宋"/>
          <w:color w:val="auto"/>
          <w:spacing w:val="5"/>
          <w:sz w:val="32"/>
          <w:szCs w:val="32"/>
        </w:rPr>
        <w:t>元,较上年预算安排增加</w:t>
      </w:r>
      <w:r>
        <w:rPr>
          <w:rFonts w:hint="eastAsia" w:ascii="仿宋" w:hAnsi="仿宋" w:eastAsia="仿宋" w:cs="仿宋"/>
          <w:color w:val="auto"/>
          <w:spacing w:val="5"/>
          <w:sz w:val="32"/>
          <w:szCs w:val="32"/>
          <w:lang w:val="en-US" w:eastAsia="zh-CN"/>
        </w:rPr>
        <w:t>2.70</w:t>
      </w:r>
      <w:r>
        <w:rPr>
          <w:rFonts w:hint="eastAsia" w:ascii="仿宋" w:hAnsi="仿宋" w:eastAsia="仿宋" w:cs="仿宋"/>
          <w:color w:val="auto"/>
          <w:spacing w:val="5"/>
          <w:sz w:val="32"/>
          <w:szCs w:val="32"/>
        </w:rPr>
        <w:t>万元;住房保障支出</w:t>
      </w:r>
      <w:r>
        <w:rPr>
          <w:rFonts w:hint="eastAsia" w:ascii="仿宋" w:hAnsi="仿宋" w:eastAsia="仿宋" w:cs="仿宋"/>
          <w:color w:val="auto"/>
          <w:spacing w:val="5"/>
          <w:sz w:val="32"/>
          <w:szCs w:val="32"/>
          <w:lang w:val="en-US" w:eastAsia="zh-CN"/>
        </w:rPr>
        <w:t>18.89</w:t>
      </w:r>
      <w:r>
        <w:rPr>
          <w:rFonts w:hint="eastAsia" w:ascii="仿宋" w:hAnsi="仿宋" w:eastAsia="仿宋" w:cs="仿宋"/>
          <w:color w:val="auto"/>
          <w:spacing w:val="5"/>
          <w:sz w:val="32"/>
          <w:szCs w:val="32"/>
        </w:rPr>
        <w:t>万</w:t>
      </w:r>
      <w:r>
        <w:rPr>
          <w:rFonts w:hint="eastAsia" w:ascii="仿宋" w:hAnsi="仿宋" w:eastAsia="仿宋" w:cs="仿宋"/>
          <w:color w:val="auto"/>
          <w:spacing w:val="17"/>
          <w:sz w:val="32"/>
          <w:szCs w:val="32"/>
        </w:rPr>
        <w:t>元,较上年预算安排增加</w:t>
      </w:r>
      <w:r>
        <w:rPr>
          <w:rFonts w:hint="eastAsia" w:ascii="仿宋" w:hAnsi="仿宋" w:eastAsia="仿宋" w:cs="仿宋"/>
          <w:color w:val="auto"/>
          <w:spacing w:val="17"/>
          <w:sz w:val="32"/>
          <w:szCs w:val="32"/>
          <w:lang w:val="en-US" w:eastAsia="zh-CN"/>
        </w:rPr>
        <w:t>5.41</w:t>
      </w:r>
      <w:r>
        <w:rPr>
          <w:rFonts w:hint="eastAsia" w:ascii="仿宋" w:hAnsi="仿宋" w:eastAsia="仿宋" w:cs="仿宋"/>
          <w:color w:val="auto"/>
          <w:spacing w:val="17"/>
          <w:sz w:val="32"/>
          <w:szCs w:val="32"/>
        </w:rPr>
        <w:t>万元;其他支出</w:t>
      </w:r>
      <w:r>
        <w:rPr>
          <w:rFonts w:hint="eastAsia" w:ascii="仿宋" w:hAnsi="仿宋" w:eastAsia="仿宋" w:cs="仿宋"/>
          <w:color w:val="auto"/>
          <w:spacing w:val="17"/>
          <w:sz w:val="32"/>
          <w:szCs w:val="32"/>
          <w:lang w:val="en-US" w:eastAsia="zh-CN"/>
        </w:rPr>
        <w:t>0</w:t>
      </w:r>
      <w:r>
        <w:rPr>
          <w:rFonts w:hint="eastAsia" w:ascii="仿宋" w:hAnsi="仿宋" w:eastAsia="仿宋" w:cs="仿宋"/>
          <w:color w:val="auto"/>
          <w:spacing w:val="5"/>
          <w:sz w:val="32"/>
          <w:szCs w:val="32"/>
        </w:rPr>
        <w:t>万</w:t>
      </w:r>
      <w:r>
        <w:rPr>
          <w:rFonts w:hint="eastAsia" w:ascii="仿宋" w:hAnsi="仿宋" w:eastAsia="仿宋" w:cs="仿宋"/>
          <w:color w:val="auto"/>
          <w:spacing w:val="17"/>
          <w:sz w:val="32"/>
          <w:szCs w:val="32"/>
        </w:rPr>
        <w:t>元,较上年预算安排</w:t>
      </w:r>
      <w:r>
        <w:rPr>
          <w:rFonts w:hint="eastAsia" w:ascii="仿宋" w:hAnsi="仿宋" w:eastAsia="仿宋" w:cs="仿宋"/>
          <w:color w:val="auto"/>
          <w:spacing w:val="17"/>
          <w:sz w:val="32"/>
          <w:szCs w:val="32"/>
          <w:lang w:val="en-US" w:eastAsia="zh-CN"/>
        </w:rPr>
        <w:t>增加0</w:t>
      </w:r>
      <w:r>
        <w:rPr>
          <w:rFonts w:hint="eastAsia" w:ascii="仿宋" w:hAnsi="仿宋" w:eastAsia="仿宋" w:cs="仿宋"/>
          <w:color w:val="auto"/>
          <w:spacing w:val="17"/>
          <w:sz w:val="32"/>
          <w:szCs w:val="32"/>
        </w:rPr>
        <w:t>万元</w:t>
      </w:r>
      <w:r>
        <w:rPr>
          <w:rFonts w:hint="eastAsia" w:ascii="仿宋" w:hAnsi="仿宋" w:eastAsia="仿宋" w:cs="仿宋"/>
          <w:color w:val="auto"/>
          <w:spacing w:val="17"/>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财政拨款（补助）支出预算</w:t>
      </w:r>
      <w:r>
        <w:rPr>
          <w:rFonts w:hint="eastAsia" w:ascii="仿宋" w:hAnsi="仿宋" w:eastAsia="仿宋" w:cs="仿宋"/>
          <w:color w:val="auto"/>
          <w:sz w:val="32"/>
          <w:szCs w:val="32"/>
          <w:lang w:val="en-US" w:eastAsia="zh-CN"/>
        </w:rPr>
        <w:t>173.71</w:t>
      </w:r>
      <w:r>
        <w:rPr>
          <w:rFonts w:hint="eastAsia" w:ascii="仿宋" w:hAnsi="仿宋" w:eastAsia="仿宋" w:cs="仿宋"/>
          <w:color w:val="auto"/>
          <w:sz w:val="32"/>
          <w:szCs w:val="32"/>
        </w:rPr>
        <w:t>万元，占</w:t>
      </w:r>
      <w:r>
        <w:rPr>
          <w:rFonts w:hint="eastAsia" w:ascii="仿宋" w:hAnsi="仿宋" w:eastAsia="仿宋" w:cs="仿宋"/>
          <w:color w:val="auto"/>
          <w:sz w:val="32"/>
          <w:szCs w:val="32"/>
          <w:lang w:eastAsia="zh-CN"/>
        </w:rPr>
        <w:t>本年</w:t>
      </w:r>
      <w:r>
        <w:rPr>
          <w:rFonts w:hint="eastAsia" w:ascii="仿宋" w:hAnsi="仿宋" w:eastAsia="仿宋" w:cs="仿宋"/>
          <w:color w:val="auto"/>
          <w:sz w:val="32"/>
          <w:szCs w:val="32"/>
        </w:rPr>
        <w:t>支出预算额的</w:t>
      </w:r>
      <w:r>
        <w:rPr>
          <w:rFonts w:hint="eastAsia" w:ascii="仿宋" w:hAnsi="仿宋" w:eastAsia="仿宋" w:cs="仿宋"/>
          <w:color w:val="auto"/>
          <w:sz w:val="32"/>
          <w:szCs w:val="32"/>
          <w:lang w:val="en-US" w:eastAsia="zh-CN"/>
        </w:rPr>
        <w:t>17.64</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加19.70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12.79%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新增了人员支出，2022年9月新录入4人。</w:t>
      </w:r>
      <w:r>
        <w:rPr>
          <w:rFonts w:hint="eastAsia" w:ascii="仿宋" w:hAnsi="仿宋" w:eastAsia="仿宋" w:cs="仿宋"/>
          <w:color w:val="auto"/>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按支出项目类别及经济分类科目划分：基本支</w:t>
      </w:r>
      <w:r>
        <w:rPr>
          <w:rFonts w:hint="eastAsia" w:ascii="仿宋" w:hAnsi="仿宋" w:eastAsia="仿宋" w:cs="仿宋"/>
          <w:color w:val="auto"/>
          <w:sz w:val="32"/>
          <w:szCs w:val="32"/>
          <w:lang w:val="en-US" w:eastAsia="zh-CN"/>
        </w:rPr>
        <w:t>出173.71</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增加19.70</w:t>
      </w:r>
      <w:r>
        <w:rPr>
          <w:rFonts w:hint="eastAsia" w:ascii="仿宋" w:hAnsi="仿宋" w:eastAsia="仿宋" w:cs="仿宋"/>
          <w:color w:val="auto"/>
          <w:sz w:val="32"/>
          <w:szCs w:val="32"/>
          <w:lang w:eastAsia="zh-CN"/>
        </w:rPr>
        <w:t>元，其中：工资福利支出</w:t>
      </w:r>
      <w:r>
        <w:rPr>
          <w:rFonts w:hint="eastAsia" w:ascii="仿宋" w:hAnsi="仿宋" w:eastAsia="仿宋" w:cs="仿宋"/>
          <w:color w:val="auto"/>
          <w:sz w:val="32"/>
          <w:szCs w:val="32"/>
          <w:lang w:val="en-US" w:eastAsia="zh-CN"/>
        </w:rPr>
        <w:t>172.36</w:t>
      </w:r>
      <w:r>
        <w:rPr>
          <w:rFonts w:hint="eastAsia" w:ascii="仿宋" w:hAnsi="仿宋" w:eastAsia="仿宋" w:cs="仿宋"/>
          <w:color w:val="auto"/>
          <w:sz w:val="32"/>
          <w:szCs w:val="32"/>
          <w:lang w:eastAsia="zh-CN"/>
        </w:rPr>
        <w:t>万元，商品和服务支出</w:t>
      </w:r>
      <w:r>
        <w:rPr>
          <w:rFonts w:hint="eastAsia" w:ascii="仿宋" w:hAnsi="仿宋" w:eastAsia="仿宋" w:cs="仿宋"/>
          <w:color w:val="auto"/>
          <w:sz w:val="32"/>
          <w:szCs w:val="32"/>
          <w:lang w:val="en-US" w:eastAsia="zh-CN"/>
        </w:rPr>
        <w:t>0.86</w:t>
      </w:r>
      <w:r>
        <w:rPr>
          <w:rFonts w:hint="eastAsia" w:ascii="仿宋" w:hAnsi="仿宋" w:eastAsia="仿宋" w:cs="仿宋"/>
          <w:color w:val="auto"/>
          <w:sz w:val="32"/>
          <w:szCs w:val="32"/>
          <w:lang w:eastAsia="zh-CN"/>
        </w:rPr>
        <w:t>万元，对个人和家庭的</w:t>
      </w:r>
      <w:r>
        <w:rPr>
          <w:rFonts w:hint="eastAsia" w:ascii="仿宋" w:hAnsi="仿宋" w:eastAsia="仿宋" w:cs="仿宋"/>
          <w:color w:val="auto"/>
          <w:sz w:val="32"/>
          <w:szCs w:val="32"/>
          <w:lang w:val="en-US" w:eastAsia="zh-CN"/>
        </w:rPr>
        <w:t>补助0.48</w:t>
      </w:r>
      <w:r>
        <w:rPr>
          <w:rFonts w:hint="eastAsia" w:ascii="仿宋" w:hAnsi="仿宋" w:eastAsia="仿宋" w:cs="仿宋"/>
          <w:color w:val="auto"/>
          <w:sz w:val="32"/>
          <w:szCs w:val="32"/>
          <w:lang w:eastAsia="zh-CN"/>
        </w:rPr>
        <w:t>万元，资本性支出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万元。项目支出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万元，其中：工资福利支出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万元，商品和服务支出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万元，对个人和家庭的补助</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万元，资本性支出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万元，其他相关支出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pacing w:val="17"/>
          <w:sz w:val="32"/>
          <w:szCs w:val="32"/>
          <w:lang w:eastAsia="zh-CN"/>
        </w:rPr>
      </w:pPr>
      <w:r>
        <w:rPr>
          <w:rFonts w:hint="eastAsia" w:ascii="仿宋" w:hAnsi="仿宋" w:eastAsia="仿宋" w:cs="仿宋"/>
          <w:color w:val="auto"/>
          <w:sz w:val="32"/>
          <w:szCs w:val="32"/>
          <w:lang w:eastAsia="zh-CN"/>
        </w:rPr>
        <w:t>按支出功能分类科目划分：</w:t>
      </w:r>
      <w:r>
        <w:rPr>
          <w:rFonts w:hint="eastAsia" w:ascii="仿宋" w:hAnsi="仿宋" w:eastAsia="仿宋" w:cs="仿宋"/>
          <w:color w:val="auto"/>
          <w:spacing w:val="5"/>
          <w:sz w:val="32"/>
          <w:szCs w:val="32"/>
          <w:lang w:val="en-US" w:eastAsia="zh-CN"/>
        </w:rPr>
        <w:t>教育</w:t>
      </w:r>
      <w:r>
        <w:rPr>
          <w:rFonts w:hint="eastAsia" w:ascii="仿宋" w:hAnsi="仿宋" w:eastAsia="仿宋" w:cs="仿宋"/>
          <w:color w:val="auto"/>
          <w:spacing w:val="5"/>
          <w:sz w:val="32"/>
          <w:szCs w:val="32"/>
        </w:rPr>
        <w:t>支出</w:t>
      </w:r>
      <w:r>
        <w:rPr>
          <w:rFonts w:hint="eastAsia" w:ascii="仿宋" w:hAnsi="仿宋" w:eastAsia="仿宋" w:cs="仿宋"/>
          <w:color w:val="auto"/>
          <w:spacing w:val="5"/>
          <w:sz w:val="32"/>
          <w:szCs w:val="32"/>
          <w:lang w:val="en-US" w:eastAsia="zh-CN"/>
        </w:rPr>
        <w:t>119.63</w:t>
      </w:r>
      <w:r>
        <w:rPr>
          <w:rFonts w:hint="eastAsia" w:ascii="仿宋" w:hAnsi="仿宋" w:eastAsia="仿宋" w:cs="仿宋"/>
          <w:color w:val="auto"/>
          <w:spacing w:val="5"/>
          <w:sz w:val="32"/>
          <w:szCs w:val="32"/>
        </w:rPr>
        <w:t>万元,较</w:t>
      </w:r>
      <w:r>
        <w:rPr>
          <w:rFonts w:hint="eastAsia" w:ascii="仿宋" w:hAnsi="仿宋" w:eastAsia="仿宋" w:cs="仿宋"/>
          <w:color w:val="auto"/>
          <w:spacing w:val="10"/>
          <w:sz w:val="32"/>
          <w:szCs w:val="32"/>
        </w:rPr>
        <w:t>上年预算安排增加</w:t>
      </w:r>
      <w:r>
        <w:rPr>
          <w:rFonts w:hint="eastAsia" w:ascii="仿宋" w:hAnsi="仿宋" w:eastAsia="仿宋" w:cs="仿宋"/>
          <w:color w:val="auto"/>
          <w:spacing w:val="10"/>
          <w:sz w:val="32"/>
          <w:szCs w:val="32"/>
          <w:lang w:val="en-US" w:eastAsia="zh-CN"/>
        </w:rPr>
        <w:t>7.36</w:t>
      </w:r>
      <w:r>
        <w:rPr>
          <w:rFonts w:hint="eastAsia" w:ascii="仿宋" w:hAnsi="仿宋" w:eastAsia="仿宋" w:cs="仿宋"/>
          <w:color w:val="auto"/>
          <w:spacing w:val="10"/>
          <w:sz w:val="32"/>
          <w:szCs w:val="32"/>
        </w:rPr>
        <w:t>万元;</w:t>
      </w:r>
      <w:r>
        <w:rPr>
          <w:rFonts w:hint="eastAsia" w:ascii="仿宋" w:hAnsi="仿宋" w:eastAsia="仿宋" w:cs="仿宋"/>
          <w:color w:val="auto"/>
          <w:spacing w:val="5"/>
          <w:sz w:val="32"/>
          <w:szCs w:val="32"/>
        </w:rPr>
        <w:t>社会保障和就业支出</w:t>
      </w:r>
      <w:r>
        <w:rPr>
          <w:rFonts w:hint="eastAsia" w:ascii="仿宋" w:hAnsi="仿宋" w:eastAsia="仿宋" w:cs="仿宋"/>
          <w:color w:val="auto"/>
          <w:spacing w:val="5"/>
          <w:sz w:val="32"/>
          <w:szCs w:val="32"/>
          <w:lang w:val="en-US" w:eastAsia="zh-CN"/>
        </w:rPr>
        <w:t>24.44</w:t>
      </w:r>
      <w:r>
        <w:rPr>
          <w:rFonts w:hint="eastAsia" w:ascii="仿宋" w:hAnsi="仿宋" w:eastAsia="仿宋" w:cs="仿宋"/>
          <w:color w:val="auto"/>
          <w:spacing w:val="5"/>
          <w:sz w:val="32"/>
          <w:szCs w:val="32"/>
        </w:rPr>
        <w:t>万元,较</w:t>
      </w:r>
      <w:r>
        <w:rPr>
          <w:rFonts w:hint="eastAsia" w:ascii="仿宋" w:hAnsi="仿宋" w:eastAsia="仿宋" w:cs="仿宋"/>
          <w:color w:val="auto"/>
          <w:spacing w:val="10"/>
          <w:sz w:val="32"/>
          <w:szCs w:val="32"/>
        </w:rPr>
        <w:t>上年预算安排增加</w:t>
      </w:r>
      <w:r>
        <w:rPr>
          <w:rFonts w:hint="eastAsia" w:ascii="仿宋" w:hAnsi="仿宋" w:eastAsia="仿宋" w:cs="仿宋"/>
          <w:color w:val="auto"/>
          <w:spacing w:val="10"/>
          <w:sz w:val="32"/>
          <w:szCs w:val="32"/>
          <w:lang w:val="en-US" w:eastAsia="zh-CN"/>
        </w:rPr>
        <w:t>4.22</w:t>
      </w:r>
      <w:r>
        <w:rPr>
          <w:rFonts w:hint="eastAsia" w:ascii="仿宋" w:hAnsi="仿宋" w:eastAsia="仿宋" w:cs="仿宋"/>
          <w:color w:val="auto"/>
          <w:spacing w:val="10"/>
          <w:sz w:val="32"/>
          <w:szCs w:val="32"/>
        </w:rPr>
        <w:t>万元;卫生健康支出</w:t>
      </w:r>
      <w:r>
        <w:rPr>
          <w:rFonts w:hint="eastAsia" w:ascii="仿宋" w:hAnsi="仿宋" w:eastAsia="仿宋" w:cs="仿宋"/>
          <w:color w:val="auto"/>
          <w:spacing w:val="10"/>
          <w:sz w:val="32"/>
          <w:szCs w:val="32"/>
          <w:lang w:val="en-US" w:eastAsia="zh-CN"/>
        </w:rPr>
        <w:t>10.74</w:t>
      </w:r>
      <w:r>
        <w:rPr>
          <w:rFonts w:hint="eastAsia" w:ascii="仿宋" w:hAnsi="仿宋" w:eastAsia="仿宋" w:cs="仿宋"/>
          <w:color w:val="auto"/>
          <w:spacing w:val="10"/>
          <w:sz w:val="32"/>
          <w:szCs w:val="32"/>
        </w:rPr>
        <w:t>万</w:t>
      </w:r>
      <w:r>
        <w:rPr>
          <w:rFonts w:hint="eastAsia" w:ascii="仿宋" w:hAnsi="仿宋" w:eastAsia="仿宋" w:cs="仿宋"/>
          <w:color w:val="auto"/>
          <w:spacing w:val="5"/>
          <w:sz w:val="32"/>
          <w:szCs w:val="32"/>
        </w:rPr>
        <w:t>元,较上年预算安排增加</w:t>
      </w:r>
      <w:r>
        <w:rPr>
          <w:rFonts w:hint="eastAsia" w:ascii="仿宋" w:hAnsi="仿宋" w:eastAsia="仿宋" w:cs="仿宋"/>
          <w:color w:val="auto"/>
          <w:spacing w:val="5"/>
          <w:sz w:val="32"/>
          <w:szCs w:val="32"/>
          <w:lang w:val="en-US" w:eastAsia="zh-CN"/>
        </w:rPr>
        <w:t>2.70</w:t>
      </w:r>
      <w:r>
        <w:rPr>
          <w:rFonts w:hint="eastAsia" w:ascii="仿宋" w:hAnsi="仿宋" w:eastAsia="仿宋" w:cs="仿宋"/>
          <w:color w:val="auto"/>
          <w:spacing w:val="5"/>
          <w:sz w:val="32"/>
          <w:szCs w:val="32"/>
        </w:rPr>
        <w:t>万元;住房保障支出</w:t>
      </w:r>
      <w:r>
        <w:rPr>
          <w:rFonts w:hint="eastAsia" w:ascii="仿宋" w:hAnsi="仿宋" w:eastAsia="仿宋" w:cs="仿宋"/>
          <w:color w:val="auto"/>
          <w:spacing w:val="5"/>
          <w:sz w:val="32"/>
          <w:szCs w:val="32"/>
          <w:lang w:val="en-US" w:eastAsia="zh-CN"/>
        </w:rPr>
        <w:t>18.89</w:t>
      </w:r>
      <w:r>
        <w:rPr>
          <w:rFonts w:hint="eastAsia" w:ascii="仿宋" w:hAnsi="仿宋" w:eastAsia="仿宋" w:cs="仿宋"/>
          <w:color w:val="auto"/>
          <w:spacing w:val="5"/>
          <w:sz w:val="32"/>
          <w:szCs w:val="32"/>
        </w:rPr>
        <w:t>万</w:t>
      </w:r>
      <w:r>
        <w:rPr>
          <w:rFonts w:hint="eastAsia" w:ascii="仿宋" w:hAnsi="仿宋" w:eastAsia="仿宋" w:cs="仿宋"/>
          <w:color w:val="auto"/>
          <w:spacing w:val="17"/>
          <w:sz w:val="32"/>
          <w:szCs w:val="32"/>
        </w:rPr>
        <w:t>元,较上年预算安排增加</w:t>
      </w:r>
      <w:r>
        <w:rPr>
          <w:rFonts w:hint="eastAsia" w:ascii="仿宋" w:hAnsi="仿宋" w:eastAsia="仿宋" w:cs="仿宋"/>
          <w:color w:val="auto"/>
          <w:spacing w:val="17"/>
          <w:sz w:val="32"/>
          <w:szCs w:val="32"/>
          <w:lang w:val="en-US" w:eastAsia="zh-CN"/>
        </w:rPr>
        <w:t>5.41</w:t>
      </w:r>
      <w:r>
        <w:rPr>
          <w:rFonts w:hint="eastAsia" w:ascii="仿宋" w:hAnsi="仿宋" w:eastAsia="仿宋" w:cs="仿宋"/>
          <w:color w:val="auto"/>
          <w:spacing w:val="17"/>
          <w:sz w:val="32"/>
          <w:szCs w:val="32"/>
        </w:rPr>
        <w:t>万元;其他支出</w:t>
      </w:r>
      <w:r>
        <w:rPr>
          <w:rFonts w:hint="eastAsia" w:ascii="仿宋" w:hAnsi="仿宋" w:eastAsia="仿宋" w:cs="仿宋"/>
          <w:color w:val="auto"/>
          <w:spacing w:val="17"/>
          <w:sz w:val="32"/>
          <w:szCs w:val="32"/>
          <w:lang w:val="en-US" w:eastAsia="zh-CN"/>
        </w:rPr>
        <w:t>0</w:t>
      </w:r>
      <w:r>
        <w:rPr>
          <w:rFonts w:hint="eastAsia" w:ascii="仿宋" w:hAnsi="仿宋" w:eastAsia="仿宋" w:cs="仿宋"/>
          <w:color w:val="auto"/>
          <w:spacing w:val="5"/>
          <w:sz w:val="32"/>
          <w:szCs w:val="32"/>
        </w:rPr>
        <w:t>万</w:t>
      </w:r>
      <w:r>
        <w:rPr>
          <w:rFonts w:hint="eastAsia" w:ascii="仿宋" w:hAnsi="仿宋" w:eastAsia="仿宋" w:cs="仿宋"/>
          <w:color w:val="auto"/>
          <w:spacing w:val="17"/>
          <w:sz w:val="32"/>
          <w:szCs w:val="32"/>
        </w:rPr>
        <w:t>元,较上年预算安排增加</w:t>
      </w:r>
      <w:r>
        <w:rPr>
          <w:rFonts w:hint="eastAsia" w:ascii="仿宋" w:hAnsi="仿宋" w:eastAsia="仿宋" w:cs="仿宋"/>
          <w:color w:val="auto"/>
          <w:spacing w:val="17"/>
          <w:sz w:val="32"/>
          <w:szCs w:val="32"/>
          <w:lang w:val="en-US" w:eastAsia="zh-CN"/>
        </w:rPr>
        <w:t>0</w:t>
      </w:r>
      <w:r>
        <w:rPr>
          <w:rFonts w:hint="eastAsia" w:ascii="仿宋" w:hAnsi="仿宋" w:eastAsia="仿宋" w:cs="仿宋"/>
          <w:color w:val="auto"/>
          <w:spacing w:val="17"/>
          <w:sz w:val="32"/>
          <w:szCs w:val="32"/>
        </w:rPr>
        <w:t>万元</w:t>
      </w:r>
      <w:r>
        <w:rPr>
          <w:rFonts w:hint="eastAsia" w:ascii="仿宋" w:hAnsi="仿宋" w:eastAsia="仿宋" w:cs="仿宋"/>
          <w:color w:val="auto"/>
          <w:spacing w:val="17"/>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无</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政府性基金预算拨款安排的支出</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bCs/>
          <w:color w:val="auto"/>
          <w:sz w:val="32"/>
          <w:szCs w:val="32"/>
        </w:rPr>
      </w:pPr>
      <w:r>
        <w:rPr>
          <w:rFonts w:hint="eastAsia" w:ascii="仿宋" w:hAnsi="仿宋" w:eastAsia="仿宋" w:cs="仿宋"/>
          <w:color w:val="auto"/>
          <w:sz w:val="32"/>
          <w:szCs w:val="32"/>
          <w:lang w:val="en-US" w:eastAsia="zh-CN"/>
        </w:rPr>
        <w:t>本单位非行政（参公）单位，无机关运行经费。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所属各单位政府采购总额</w:t>
      </w:r>
      <w:r>
        <w:rPr>
          <w:rFonts w:hint="eastAsia" w:ascii="仿宋" w:hAnsi="仿宋" w:eastAsia="仿宋" w:cs="仿宋"/>
          <w:color w:val="auto"/>
          <w:sz w:val="32"/>
          <w:szCs w:val="32"/>
          <w:lang w:val="en-US" w:eastAsia="zh-CN"/>
        </w:rPr>
        <w:t>50.00</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lang w:val="en-US" w:eastAsia="zh-CN"/>
        </w:rPr>
        <w:t>50.00</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2022年</w:t>
      </w:r>
      <w:r>
        <w:rPr>
          <w:rFonts w:hint="eastAsia" w:ascii="仿宋" w:hAnsi="仿宋" w:eastAsia="仿宋" w:cs="仿宋"/>
          <w:color w:val="auto"/>
          <w:sz w:val="32"/>
          <w:szCs w:val="32"/>
        </w:rPr>
        <w:t>12月31日</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共有车辆</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2023年本</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预算安排购置车辆</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辆，安排购置单位价值200万元以上大型设备具体为：</w:t>
      </w:r>
      <w:r>
        <w:rPr>
          <w:rFonts w:hint="eastAsia" w:ascii="仿宋" w:hAnsi="仿宋" w:eastAsia="仿宋" w:cs="仿宋"/>
          <w:color w:val="auto"/>
          <w:sz w:val="32"/>
          <w:szCs w:val="32"/>
          <w:lang w:val="en-US" w:eastAsia="zh-CN"/>
        </w:rPr>
        <w:t>无</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65</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项目名称：</w:t>
      </w:r>
      <w:r>
        <w:rPr>
          <w:rFonts w:hint="eastAsia" w:ascii="仿宋" w:hAnsi="仿宋" w:eastAsia="仿宋" w:cs="仿宋"/>
          <w:color w:val="auto"/>
          <w:sz w:val="32"/>
          <w:szCs w:val="32"/>
          <w:lang w:val="en-US" w:eastAsia="zh-CN"/>
        </w:rPr>
        <w:t>成本性支出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学生住宿费及成人教育收入按比例返款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与其他高校联办教学根据招收的学生人数拨付应得比例部分返款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兴国县中等卫生职业技术学校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65万元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及时足额到账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本单位无使用国有资本经营预算拨款安排的支出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年兴国县</w:t>
      </w:r>
      <w:r>
        <w:rPr>
          <w:rFonts w:hint="eastAsia" w:ascii="仿宋" w:hAnsi="仿宋" w:eastAsia="仿宋" w:cs="仿宋"/>
          <w:color w:val="auto"/>
          <w:sz w:val="32"/>
          <w:szCs w:val="32"/>
          <w:lang w:val="en-US" w:eastAsia="zh-CN"/>
        </w:rPr>
        <w:t>中等卫生职业技术学校</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highlight w:val="none"/>
          <w:lang w:eastAsia="zh-CN"/>
        </w:rPr>
        <w:t>与上年安排保持一致</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highlight w:val="none"/>
          <w:lang w:eastAsia="zh-CN"/>
        </w:rPr>
        <w:t>与上年安排保持一致</w:t>
      </w:r>
      <w:r>
        <w:rPr>
          <w:rFonts w:hint="eastAsia" w:ascii="仿宋" w:hAnsi="仿宋" w:eastAsia="仿宋" w:cs="仿宋"/>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highlight w:val="none"/>
          <w:lang w:eastAsia="zh-CN"/>
        </w:rPr>
        <w:t>与上年安排保持一致</w:t>
      </w:r>
      <w:r>
        <w:rPr>
          <w:rFonts w:hint="eastAsia" w:ascii="仿宋" w:hAnsi="仿宋" w:eastAsia="仿宋" w:cs="仿宋"/>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highlight w:val="none"/>
          <w:lang w:eastAsia="zh-CN"/>
        </w:rPr>
        <w:t>与上年安排保持一致</w:t>
      </w:r>
      <w:r>
        <w:rPr>
          <w:rFonts w:hint="eastAsia" w:ascii="仿宋" w:hAnsi="仿宋" w:eastAsia="仿宋" w:cs="仿宋"/>
          <w:color w:val="auto"/>
          <w:sz w:val="32"/>
          <w:szCs w:val="32"/>
          <w:highlight w:val="none"/>
        </w:rPr>
        <w:t>。</w:t>
      </w:r>
    </w:p>
    <w:p>
      <w:pPr>
        <w:spacing w:line="560" w:lineRule="exact"/>
        <w:ind w:firstLine="640" w:firstLineChars="200"/>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sectPr>
          <w:footerReference r:id="rId3" w:type="default"/>
          <w:pgSz w:w="11906" w:h="16838"/>
          <w:pgMar w:top="1587" w:right="1587" w:bottom="1587" w:left="1587" w:header="851" w:footer="992" w:gutter="0"/>
          <w:cols w:space="0" w:num="1"/>
          <w:docGrid w:type="lines" w:linePitch="322" w:charSpace="0"/>
        </w:sect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中等卫生职业技术学校2023年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044"/>
        <w:gridCol w:w="1890"/>
        <w:gridCol w:w="3167"/>
        <w:gridCol w:w="15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89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[403006]兴国县中等卫生职业技术学校</w:t>
            </w:r>
          </w:p>
        </w:tc>
        <w:tc>
          <w:tcPr>
            <w:tcW w:w="884"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48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740"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7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22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7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9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173.71</w:t>
            </w:r>
          </w:p>
        </w:tc>
        <w:tc>
          <w:tcPr>
            <w:tcW w:w="1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教育支出</w:t>
            </w:r>
          </w:p>
        </w:tc>
        <w:tc>
          <w:tcPr>
            <w:tcW w:w="7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930.44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8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173.71</w:t>
            </w:r>
          </w:p>
        </w:tc>
        <w:tc>
          <w:tcPr>
            <w:tcW w:w="1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8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7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9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65.00</w:t>
            </w:r>
          </w:p>
        </w:tc>
        <w:tc>
          <w:tcPr>
            <w:tcW w:w="1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8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745.81</w:t>
            </w:r>
          </w:p>
        </w:tc>
        <w:tc>
          <w:tcPr>
            <w:tcW w:w="1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9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89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8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984.52</w:t>
            </w:r>
          </w:p>
        </w:tc>
        <w:tc>
          <w:tcPr>
            <w:tcW w:w="1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7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984.52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8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7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8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4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89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8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984.52</w:t>
            </w:r>
          </w:p>
        </w:tc>
        <w:tc>
          <w:tcPr>
            <w:tcW w:w="1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7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984.52</w:t>
            </w:r>
          </w:p>
        </w:tc>
      </w:tr>
    </w:tbl>
    <w:p>
      <w:pPr>
        <w:pStyle w:val="2"/>
        <w:rPr>
          <w:rFonts w:hint="eastAsia"/>
          <w:sz w:val="20"/>
          <w:szCs w:val="20"/>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sectPr>
          <w:pgSz w:w="11906" w:h="16838"/>
          <w:pgMar w:top="720" w:right="720" w:bottom="720" w:left="720" w:header="851" w:footer="992" w:gutter="0"/>
          <w:cols w:space="0" w:num="1"/>
          <w:docGrid w:type="lines" w:linePitch="322" w:charSpace="0"/>
        </w:sectPr>
      </w:pPr>
    </w:p>
    <w:p>
      <w:pPr>
        <w:pStyle w:val="2"/>
        <w:numPr>
          <w:ilvl w:val="0"/>
          <w:numId w:val="1"/>
        </w:numPr>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tbl>
      <w:tblPr>
        <w:tblStyle w:val="4"/>
        <w:tblpPr w:leftFromText="180" w:rightFromText="180" w:vertAnchor="text" w:horzAnchor="page" w:tblpX="781" w:tblpY="19"/>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16"/>
        <w:gridCol w:w="3924"/>
        <w:gridCol w:w="816"/>
        <w:gridCol w:w="605"/>
        <w:gridCol w:w="830"/>
        <w:gridCol w:w="889"/>
        <w:gridCol w:w="881"/>
        <w:gridCol w:w="862"/>
        <w:gridCol w:w="803"/>
        <w:gridCol w:w="881"/>
        <w:gridCol w:w="684"/>
        <w:gridCol w:w="653"/>
        <w:gridCol w:w="653"/>
        <w:gridCol w:w="846"/>
        <w:gridCol w:w="8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4"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716" w:type="pct"/>
            <w:gridSpan w:val="6"/>
            <w:tcBorders>
              <w:top w:val="nil"/>
              <w:left w:val="nil"/>
              <w:bottom w:val="nil"/>
              <w:right w:val="nil"/>
            </w:tcBorders>
            <w:shd w:val="clear" w:color="auto" w:fill="auto"/>
            <w:noWrap/>
            <w:vAlign w:val="center"/>
          </w:tcPr>
          <w:p>
            <w:pPr>
              <w:rPr>
                <w:rFonts w:hint="default" w:ascii="Calibri" w:hAnsi="Calibri"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[403006]兴国县中等卫生职业技术学校</w:t>
            </w:r>
          </w:p>
        </w:tc>
        <w:tc>
          <w:tcPr>
            <w:tcW w:w="28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7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57"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8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1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0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757" w:type="pct"/>
            <w:gridSpan w:val="3"/>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45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功能科目编码</w:t>
            </w:r>
          </w:p>
        </w:tc>
        <w:tc>
          <w:tcPr>
            <w:tcW w:w="125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261"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9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1107"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257"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282"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事业</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w:t>
            </w:r>
          </w:p>
        </w:tc>
        <w:tc>
          <w:tcPr>
            <w:tcW w:w="219"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09"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209"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27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其他</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w:t>
            </w:r>
          </w:p>
        </w:tc>
        <w:tc>
          <w:tcPr>
            <w:tcW w:w="27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7" w:hRule="atLeast"/>
        </w:trPr>
        <w:tc>
          <w:tcPr>
            <w:tcW w:w="45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5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1"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257"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2"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9"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5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6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9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6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8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7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5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8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1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0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0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7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7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984.52</w:t>
            </w:r>
          </w:p>
        </w:tc>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173.71</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173.71</w:t>
            </w:r>
          </w:p>
        </w:tc>
        <w:tc>
          <w:tcPr>
            <w:tcW w:w="2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65.00</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745.81</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w:t>
            </w:r>
          </w:p>
        </w:tc>
        <w:tc>
          <w:tcPr>
            <w:tcW w:w="12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教育支出</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930.44</w:t>
            </w:r>
          </w:p>
        </w:tc>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119.63</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119.63</w:t>
            </w:r>
          </w:p>
        </w:tc>
        <w:tc>
          <w:tcPr>
            <w:tcW w:w="2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65.00</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745.81</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w:t>
            </w:r>
          </w:p>
        </w:tc>
        <w:tc>
          <w:tcPr>
            <w:tcW w:w="12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职业教育</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930.44</w:t>
            </w:r>
          </w:p>
        </w:tc>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119.63</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119.63</w:t>
            </w:r>
          </w:p>
        </w:tc>
        <w:tc>
          <w:tcPr>
            <w:tcW w:w="2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65.00</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745.81</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2050302</w:t>
            </w:r>
          </w:p>
        </w:tc>
        <w:tc>
          <w:tcPr>
            <w:tcW w:w="12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400" w:firstLineChars="2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中等职业教育</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930.44</w:t>
            </w:r>
          </w:p>
        </w:tc>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119.63</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119.63</w:t>
            </w:r>
          </w:p>
        </w:tc>
        <w:tc>
          <w:tcPr>
            <w:tcW w:w="2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65.00</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745.81</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2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2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w:t>
            </w:r>
          </w:p>
        </w:tc>
        <w:tc>
          <w:tcPr>
            <w:tcW w:w="12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行政事业单位养老支出</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2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2080505</w:t>
            </w:r>
          </w:p>
        </w:tc>
        <w:tc>
          <w:tcPr>
            <w:tcW w:w="12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机关事业单位基本养老保险缴费支出</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2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2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2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2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行政事业单位医疗</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2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2101102</w:t>
            </w:r>
          </w:p>
        </w:tc>
        <w:tc>
          <w:tcPr>
            <w:tcW w:w="12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400" w:firstLineChars="2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事业单位医疗</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2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2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2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w:t>
            </w:r>
          </w:p>
        </w:tc>
        <w:tc>
          <w:tcPr>
            <w:tcW w:w="12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住房改革支出</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2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2210201</w:t>
            </w:r>
          </w:p>
        </w:tc>
        <w:tc>
          <w:tcPr>
            <w:tcW w:w="12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400" w:firstLineChars="2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住房公积金</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2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bl>
    <w:p>
      <w:pPr>
        <w:rPr>
          <w:rFonts w:hint="eastAsia"/>
          <w:lang w:val="en-US" w:eastAsia="zh-CN"/>
        </w:rPr>
      </w:pPr>
      <w:r>
        <w:rPr>
          <w:rFonts w:hint="eastAsia" w:ascii="仿宋" w:hAnsi="仿宋" w:eastAsia="仿宋" w:cs="仿宋"/>
          <w:color w:val="auto"/>
          <w:kern w:val="2"/>
          <w:sz w:val="32"/>
          <w:szCs w:val="32"/>
          <w:lang w:val="en-US" w:eastAsia="zh-CN" w:bidi="ar-SA"/>
        </w:rPr>
        <w:br w:type="page"/>
      </w: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sectPr>
          <w:pgSz w:w="16838" w:h="11906" w:orient="landscape"/>
          <w:pgMar w:top="720" w:right="720" w:bottom="720" w:left="720" w:header="851" w:footer="992" w:gutter="0"/>
          <w:cols w:space="0" w:num="1"/>
          <w:docGrid w:type="lines" w:linePitch="322" w:charSpace="0"/>
        </w:sect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284"/>
        <w:gridCol w:w="4352"/>
        <w:gridCol w:w="1425"/>
        <w:gridCol w:w="1346"/>
        <w:gridCol w:w="12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106"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[403006]兴国县中等卫生职业技术学校</w:t>
            </w:r>
          </w:p>
        </w:tc>
        <w:tc>
          <w:tcPr>
            <w:tcW w:w="66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3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96"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10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667"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30"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59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20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667"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9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06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03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6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9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984.52</w:t>
            </w:r>
          </w:p>
        </w:tc>
        <w:tc>
          <w:tcPr>
            <w:tcW w:w="6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569.52</w:t>
            </w:r>
          </w:p>
        </w:tc>
        <w:tc>
          <w:tcPr>
            <w:tcW w:w="5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w:t>
            </w:r>
          </w:p>
        </w:tc>
        <w:tc>
          <w:tcPr>
            <w:tcW w:w="20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教育支出</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930.44</w:t>
            </w:r>
          </w:p>
        </w:tc>
        <w:tc>
          <w:tcPr>
            <w:tcW w:w="6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515.44</w:t>
            </w:r>
          </w:p>
        </w:tc>
        <w:tc>
          <w:tcPr>
            <w:tcW w:w="5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20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职业教育</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930.44</w:t>
            </w:r>
          </w:p>
        </w:tc>
        <w:tc>
          <w:tcPr>
            <w:tcW w:w="6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515.44</w:t>
            </w:r>
          </w:p>
        </w:tc>
        <w:tc>
          <w:tcPr>
            <w:tcW w:w="5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2050302</w:t>
            </w:r>
          </w:p>
        </w:tc>
        <w:tc>
          <w:tcPr>
            <w:tcW w:w="20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中等职业教育</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930.44</w:t>
            </w:r>
          </w:p>
        </w:tc>
        <w:tc>
          <w:tcPr>
            <w:tcW w:w="6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515.44</w:t>
            </w:r>
          </w:p>
        </w:tc>
        <w:tc>
          <w:tcPr>
            <w:tcW w:w="5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20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6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5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20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6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5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20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6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5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20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6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5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20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6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5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20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6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5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20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6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5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20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6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5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20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6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5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203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3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numPr>
          <w:ilvl w:val="0"/>
          <w:numId w:val="0"/>
        </w:numPr>
        <w:spacing w:line="560" w:lineRule="exact"/>
        <w:ind w:left="0" w:leftChars="0" w:firstLine="0" w:firstLineChars="0"/>
        <w:rPr>
          <w:rFonts w:hint="eastAsia" w:ascii="仿宋" w:hAnsi="仿宋" w:eastAsia="仿宋" w:cs="仿宋"/>
          <w:color w:val="auto"/>
          <w:kern w:val="2"/>
          <w:sz w:val="21"/>
          <w:szCs w:val="21"/>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四、</w:t>
      </w:r>
      <w:r>
        <w:rPr>
          <w:rFonts w:hint="eastAsia" w:ascii="仿宋" w:hAnsi="仿宋" w:eastAsia="仿宋" w:cs="仿宋"/>
          <w:color w:val="auto"/>
          <w:sz w:val="32"/>
          <w:szCs w:val="32"/>
        </w:rPr>
        <w:t>《财政拨款收支总表》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829"/>
        <w:gridCol w:w="1065"/>
        <w:gridCol w:w="2160"/>
        <w:gridCol w:w="1230"/>
        <w:gridCol w:w="1200"/>
        <w:gridCol w:w="1140"/>
        <w:gridCol w:w="10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36"/>
                <w:szCs w:val="36"/>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3971" w:type="pct"/>
            <w:gridSpan w:val="5"/>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[403006]兴国县中等卫生职业技术学校</w:t>
            </w:r>
          </w:p>
        </w:tc>
        <w:tc>
          <w:tcPr>
            <w:tcW w:w="1028" w:type="pct"/>
            <w:gridSpan w:val="2"/>
            <w:tcBorders>
              <w:top w:val="nil"/>
              <w:left w:val="nil"/>
              <w:bottom w:val="nil"/>
              <w:right w:val="nil"/>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82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17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4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01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575"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6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533"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4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173.71</w:t>
            </w:r>
          </w:p>
        </w:tc>
        <w:tc>
          <w:tcPr>
            <w:tcW w:w="10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173.71</w:t>
            </w:r>
          </w:p>
        </w:tc>
        <w:tc>
          <w:tcPr>
            <w:tcW w:w="5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173.71</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4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173.71</w:t>
            </w:r>
          </w:p>
        </w:tc>
        <w:tc>
          <w:tcPr>
            <w:tcW w:w="10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教育支出</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119.63</w:t>
            </w:r>
          </w:p>
        </w:tc>
        <w:tc>
          <w:tcPr>
            <w:tcW w:w="5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119.63</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4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0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5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5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5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4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173.71</w:t>
            </w:r>
          </w:p>
        </w:tc>
        <w:tc>
          <w:tcPr>
            <w:tcW w:w="10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173.71</w:t>
            </w:r>
          </w:p>
        </w:tc>
        <w:tc>
          <w:tcPr>
            <w:tcW w:w="5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173.71</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bl>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lang w:val="en-US"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五、</w:t>
      </w:r>
      <w:r>
        <w:rPr>
          <w:rFonts w:hint="eastAsia" w:ascii="仿宋" w:hAnsi="仿宋" w:eastAsia="仿宋" w:cs="仿宋"/>
          <w:color w:val="auto"/>
          <w:sz w:val="32"/>
          <w:szCs w:val="32"/>
        </w:rPr>
        <w:t>《一般公共预算支出表》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09"/>
        <w:gridCol w:w="4110"/>
        <w:gridCol w:w="2280"/>
        <w:gridCol w:w="1542"/>
        <w:gridCol w:w="12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697" w:type="pct"/>
            <w:gridSpan w:val="3"/>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[403006]兴国县中等卫生职业技术学校</w:t>
            </w:r>
          </w:p>
        </w:tc>
        <w:tc>
          <w:tcPr>
            <w:tcW w:w="1302" w:type="pct"/>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63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36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06"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923"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6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2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8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173.71</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173.71</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w:t>
            </w:r>
          </w:p>
        </w:tc>
        <w:tc>
          <w:tcPr>
            <w:tcW w:w="1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教育支出</w:t>
            </w:r>
          </w:p>
        </w:tc>
        <w:tc>
          <w:tcPr>
            <w:tcW w:w="1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119.63</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119.63</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职业教育</w:t>
            </w:r>
          </w:p>
        </w:tc>
        <w:tc>
          <w:tcPr>
            <w:tcW w:w="1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119.63</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119.63</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2050302</w:t>
            </w:r>
          </w:p>
        </w:tc>
        <w:tc>
          <w:tcPr>
            <w:tcW w:w="1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中等职业教育</w:t>
            </w:r>
          </w:p>
        </w:tc>
        <w:tc>
          <w:tcPr>
            <w:tcW w:w="1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119.63</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119.63</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1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1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1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1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1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1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1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1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1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21"/>
          <w:szCs w:val="21"/>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21"/>
          <w:szCs w:val="21"/>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lang w:val="en-US"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29"/>
        <w:gridCol w:w="3679"/>
        <w:gridCol w:w="1938"/>
        <w:gridCol w:w="1754"/>
        <w:gridCol w:w="1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438"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[403006]兴国县中等卫生职业技术学校</w:t>
            </w:r>
          </w:p>
        </w:tc>
        <w:tc>
          <w:tcPr>
            <w:tcW w:w="2561" w:type="pct"/>
            <w:gridSpan w:val="3"/>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243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256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722"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16"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72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173.71</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172.84</w:t>
            </w:r>
          </w:p>
        </w:tc>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0.864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172.36</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72.11</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72.11</w:t>
            </w:r>
          </w:p>
        </w:tc>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39.69</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39.69</w:t>
            </w:r>
          </w:p>
        </w:tc>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30103</w:t>
            </w: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奖金</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6.09</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6.09</w:t>
            </w:r>
          </w:p>
        </w:tc>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w:t>
            </w:r>
          </w:p>
        </w:tc>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30112</w:t>
            </w: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其他社会保障缴费</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0.39</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0.39</w:t>
            </w:r>
          </w:p>
        </w:tc>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30113</w:t>
            </w: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18.89</w:t>
            </w:r>
          </w:p>
        </w:tc>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商品和服务支出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0.86</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30229</w:t>
            </w: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福利费</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0.86</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0.864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w:t>
            </w: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对个人和家庭的补助</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0.48</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30309</w:t>
            </w: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奖励金</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0.48</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0.48</w:t>
            </w:r>
          </w:p>
        </w:tc>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bl>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lang w:val="en-US"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七、</w:t>
      </w:r>
      <w:r>
        <w:rPr>
          <w:rFonts w:hint="eastAsia" w:ascii="仿宋" w:hAnsi="仿宋" w:eastAsia="仿宋" w:cs="仿宋"/>
          <w:color w:val="auto"/>
          <w:sz w:val="32"/>
          <w:szCs w:val="32"/>
        </w:rPr>
        <w:t>《一般公共预算“三公”经费支出表》</w:t>
      </w:r>
    </w:p>
    <w:tbl>
      <w:tblPr>
        <w:tblStyle w:val="4"/>
        <w:tblpPr w:leftFromText="180" w:rightFromText="180" w:vertAnchor="text" w:horzAnchor="page" w:tblpX="685" w:tblpY="376"/>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54"/>
        <w:gridCol w:w="2160"/>
        <w:gridCol w:w="1471"/>
        <w:gridCol w:w="1589"/>
        <w:gridCol w:w="1395"/>
        <w:gridCol w:w="1297"/>
        <w:gridCol w:w="12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7" w:hRule="atLeast"/>
        </w:trPr>
        <w:tc>
          <w:tcPr>
            <w:tcW w:w="2426" w:type="pct"/>
            <w:gridSpan w:val="3"/>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2573" w:type="pct"/>
            <w:gridSpan w:val="4"/>
            <w:tcBorders>
              <w:top w:val="nil"/>
              <w:left w:val="nil"/>
              <w:bottom w:val="nil"/>
              <w:right w:val="nil"/>
            </w:tcBorders>
            <w:shd w:val="clear" w:color="auto" w:fill="auto"/>
            <w:noWrap/>
            <w:vAlign w:val="bottom"/>
          </w:tcPr>
          <w:p>
            <w:pPr>
              <w:jc w:val="right"/>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注：若为空表，则为该部门（单位）无“三公”经费支出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170" w:type="pct"/>
            <w:gridSpan w:val="4"/>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[403006]兴国县中等卫生职业技术学校</w:t>
            </w:r>
          </w:p>
        </w:tc>
        <w:tc>
          <w:tcPr>
            <w:tcW w:w="65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607"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569"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72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101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68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4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6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6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公务用车运行维护费</w:t>
            </w:r>
          </w:p>
        </w:tc>
        <w:tc>
          <w:tcPr>
            <w:tcW w:w="56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1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7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6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727"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11"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88"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43"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52"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07"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69" w:type="pct"/>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0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6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4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65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60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56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bl>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《政府性基金预算支出表》</w:t>
      </w:r>
    </w:p>
    <w:tbl>
      <w:tblPr>
        <w:tblStyle w:val="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39"/>
        <w:gridCol w:w="1560"/>
        <w:gridCol w:w="2580"/>
        <w:gridCol w:w="2400"/>
        <w:gridCol w:w="25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72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3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548" w:type="pct"/>
            <w:gridSpan w:val="3"/>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0"/>
                <w:szCs w:val="20"/>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659" w:type="pct"/>
            <w:gridSpan w:val="3"/>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[403006]兴国县中等卫生职业技术学校</w:t>
            </w:r>
          </w:p>
        </w:tc>
        <w:tc>
          <w:tcPr>
            <w:tcW w:w="2340" w:type="pct"/>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354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1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2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1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21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widowControl w:val="0"/>
        <w:numPr>
          <w:ilvl w:val="0"/>
          <w:numId w:val="0"/>
        </w:numPr>
        <w:jc w:val="both"/>
        <w:rPr>
          <w:rFonts w:hint="eastAsia"/>
          <w:sz w:val="20"/>
          <w:szCs w:val="20"/>
        </w:rPr>
      </w:pPr>
    </w:p>
    <w:p>
      <w:pPr>
        <w:pStyle w:val="2"/>
        <w:widowControl w:val="0"/>
        <w:numPr>
          <w:ilvl w:val="0"/>
          <w:numId w:val="0"/>
        </w:numPr>
        <w:jc w:val="both"/>
        <w:rPr>
          <w:rFonts w:hint="eastAsia"/>
        </w:rPr>
      </w:pPr>
    </w:p>
    <w:p>
      <w:pPr>
        <w:pStyle w:val="2"/>
        <w:widowControl w:val="0"/>
        <w:numPr>
          <w:ilvl w:val="0"/>
          <w:numId w:val="0"/>
        </w:numPr>
        <w:jc w:val="both"/>
        <w:rPr>
          <w:rFonts w:hint="eastAsia"/>
        </w:rPr>
      </w:pPr>
    </w:p>
    <w:p>
      <w:pPr>
        <w:pStyle w:val="2"/>
        <w:widowControl w:val="0"/>
        <w:numPr>
          <w:ilvl w:val="0"/>
          <w:numId w:val="0"/>
        </w:numPr>
        <w:jc w:val="both"/>
        <w:rPr>
          <w:rFonts w:hint="eastAsia"/>
        </w:rPr>
      </w:pPr>
    </w:p>
    <w:p>
      <w:pPr>
        <w:pStyle w:val="2"/>
        <w:widowControl w:val="0"/>
        <w:numPr>
          <w:ilvl w:val="0"/>
          <w:numId w:val="0"/>
        </w:numPr>
        <w:jc w:val="both"/>
        <w:rPr>
          <w:rFonts w:hint="eastAsia"/>
        </w:rPr>
      </w:pPr>
    </w:p>
    <w:p>
      <w:pPr>
        <w:pStyle w:val="2"/>
        <w:widowControl w:val="0"/>
        <w:numPr>
          <w:ilvl w:val="0"/>
          <w:numId w:val="0"/>
        </w:numPr>
        <w:jc w:val="both"/>
        <w:rPr>
          <w:rFonts w:hint="eastAsia"/>
        </w:rPr>
      </w:pPr>
    </w:p>
    <w:p>
      <w:pPr>
        <w:pStyle w:val="2"/>
        <w:widowControl w:val="0"/>
        <w:numPr>
          <w:ilvl w:val="0"/>
          <w:numId w:val="0"/>
        </w:numPr>
        <w:jc w:val="both"/>
        <w:rPr>
          <w:rFonts w:hint="eastAsia"/>
        </w:rPr>
      </w:pPr>
    </w:p>
    <w:p>
      <w:pPr>
        <w:pStyle w:val="2"/>
        <w:widowControl w:val="0"/>
        <w:numPr>
          <w:ilvl w:val="0"/>
          <w:numId w:val="0"/>
        </w:numPr>
        <w:jc w:val="both"/>
        <w:rPr>
          <w:rFonts w:hint="eastAsia"/>
        </w:rPr>
      </w:pPr>
    </w:p>
    <w:p>
      <w:pPr>
        <w:pStyle w:val="2"/>
        <w:widowControl w:val="0"/>
        <w:numPr>
          <w:ilvl w:val="0"/>
          <w:numId w:val="0"/>
        </w:numPr>
        <w:jc w:val="both"/>
        <w:rPr>
          <w:rFonts w:hint="eastAsia"/>
        </w:rPr>
      </w:pPr>
    </w:p>
    <w:p>
      <w:pPr>
        <w:pStyle w:val="2"/>
        <w:widowControl w:val="0"/>
        <w:numPr>
          <w:ilvl w:val="0"/>
          <w:numId w:val="0"/>
        </w:numPr>
        <w:jc w:val="both"/>
        <w:rPr>
          <w:rFonts w:hint="eastAsia"/>
        </w:rPr>
      </w:pPr>
    </w:p>
    <w:p>
      <w:pPr>
        <w:pStyle w:val="2"/>
        <w:widowControl w:val="0"/>
        <w:numPr>
          <w:ilvl w:val="0"/>
          <w:numId w:val="0"/>
        </w:numPr>
        <w:jc w:val="both"/>
        <w:rPr>
          <w:rFonts w:hint="eastAsia"/>
        </w:rPr>
      </w:pPr>
    </w:p>
    <w:p>
      <w:pPr>
        <w:pStyle w:val="2"/>
        <w:widowControl w:val="0"/>
        <w:numPr>
          <w:ilvl w:val="0"/>
          <w:numId w:val="0"/>
        </w:numPr>
        <w:jc w:val="both"/>
        <w:rPr>
          <w:rFonts w:hint="eastAsia"/>
        </w:rPr>
      </w:pPr>
    </w:p>
    <w:p>
      <w:pPr>
        <w:pStyle w:val="2"/>
        <w:widowControl w:val="0"/>
        <w:numPr>
          <w:ilvl w:val="0"/>
          <w:numId w:val="0"/>
        </w:numPr>
        <w:jc w:val="both"/>
        <w:rPr>
          <w:rFonts w:hint="eastAsia"/>
        </w:rPr>
      </w:pPr>
    </w:p>
    <w:p>
      <w:pPr>
        <w:pStyle w:val="2"/>
        <w:widowControl w:val="0"/>
        <w:numPr>
          <w:ilvl w:val="0"/>
          <w:numId w:val="0"/>
        </w:numPr>
        <w:jc w:val="both"/>
        <w:rPr>
          <w:rFonts w:hint="eastAsia"/>
        </w:rPr>
      </w:pPr>
    </w:p>
    <w:p>
      <w:pPr>
        <w:pStyle w:val="2"/>
        <w:widowControl w:val="0"/>
        <w:numPr>
          <w:ilvl w:val="0"/>
          <w:numId w:val="0"/>
        </w:numPr>
        <w:jc w:val="both"/>
        <w:rPr>
          <w:rFonts w:hint="eastAsia"/>
        </w:rPr>
      </w:pPr>
    </w:p>
    <w:p>
      <w:pPr>
        <w:pStyle w:val="2"/>
        <w:widowControl w:val="0"/>
        <w:numPr>
          <w:ilvl w:val="0"/>
          <w:numId w:val="0"/>
        </w:numPr>
        <w:jc w:val="both"/>
        <w:rPr>
          <w:rFonts w:hint="eastAsia"/>
        </w:rPr>
      </w:pPr>
      <w:bookmarkStart w:id="0" w:name="_GoBack"/>
      <w:bookmarkEnd w:id="0"/>
    </w:p>
    <w:p>
      <w:pPr>
        <w:pStyle w:val="2"/>
        <w:widowControl w:val="0"/>
        <w:numPr>
          <w:ilvl w:val="0"/>
          <w:numId w:val="0"/>
        </w:numPr>
        <w:jc w:val="both"/>
        <w:rPr>
          <w:rFonts w:hint="eastAsia"/>
        </w:rPr>
      </w:pPr>
    </w:p>
    <w:p>
      <w:pPr>
        <w:pStyle w:val="2"/>
        <w:numPr>
          <w:ilvl w:val="0"/>
          <w:numId w:val="3"/>
        </w:numPr>
        <w:rPr>
          <w:rFonts w:hint="eastAsia" w:eastAsia="仿宋"/>
          <w:color w:val="auto"/>
          <w:lang w:eastAsia="zh-CN"/>
        </w:rPr>
      </w:pPr>
      <w:r>
        <w:rPr>
          <w:rFonts w:hint="eastAsia" w:eastAsia="仿宋"/>
          <w:color w:val="auto"/>
          <w:lang w:eastAsia="zh-CN"/>
        </w:rPr>
        <w:t>《国有资本经营预算支出表》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251"/>
        <w:gridCol w:w="1940"/>
        <w:gridCol w:w="2444"/>
        <w:gridCol w:w="1906"/>
        <w:gridCol w:w="21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105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08"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037" w:type="pct"/>
            <w:gridSpan w:val="3"/>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998" w:type="pct"/>
            <w:gridSpan w:val="4"/>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[403006]兴国县中等卫生职业技术学校</w:t>
            </w:r>
          </w:p>
        </w:tc>
        <w:tc>
          <w:tcPr>
            <w:tcW w:w="1001"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303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0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9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1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9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1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bl>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24"/>
        <w:gridCol w:w="1128"/>
        <w:gridCol w:w="3126"/>
        <w:gridCol w:w="2081"/>
        <w:gridCol w:w="29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5000" w:type="pct"/>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000" w:type="pct"/>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1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3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成本性支出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1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主管部门及代码</w:t>
            </w:r>
          </w:p>
        </w:tc>
        <w:tc>
          <w:tcPr>
            <w:tcW w:w="14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403-兴国县卫生健康委员会</w:t>
            </w:r>
          </w:p>
        </w:tc>
        <w:tc>
          <w:tcPr>
            <w:tcW w:w="9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1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兴国县中等卫生职业技术学校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19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项目资金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（万元）</w:t>
            </w:r>
          </w:p>
        </w:tc>
        <w:tc>
          <w:tcPr>
            <w:tcW w:w="14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23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19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23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19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23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19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23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及时足额到账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一级指标</w:t>
            </w:r>
          </w:p>
        </w:tc>
        <w:tc>
          <w:tcPr>
            <w:tcW w:w="5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二级指标</w:t>
            </w:r>
          </w:p>
        </w:tc>
        <w:tc>
          <w:tcPr>
            <w:tcW w:w="24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三级指标</w:t>
            </w:r>
          </w:p>
        </w:tc>
        <w:tc>
          <w:tcPr>
            <w:tcW w:w="1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66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52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经济成本指标</w:t>
            </w:r>
          </w:p>
        </w:tc>
        <w:tc>
          <w:tcPr>
            <w:tcW w:w="24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学生住宿费收入成 本</w:t>
            </w:r>
          </w:p>
        </w:tc>
        <w:tc>
          <w:tcPr>
            <w:tcW w:w="1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66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4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成人教育成本收入</w:t>
            </w:r>
          </w:p>
        </w:tc>
        <w:tc>
          <w:tcPr>
            <w:tcW w:w="1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6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社会成本指标</w:t>
            </w:r>
          </w:p>
        </w:tc>
        <w:tc>
          <w:tcPr>
            <w:tcW w:w="24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无社会成本</w:t>
            </w:r>
          </w:p>
        </w:tc>
        <w:tc>
          <w:tcPr>
            <w:tcW w:w="1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66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生态环境成本指标</w:t>
            </w:r>
          </w:p>
        </w:tc>
        <w:tc>
          <w:tcPr>
            <w:tcW w:w="24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无生态环境</w:t>
            </w:r>
          </w:p>
        </w:tc>
        <w:tc>
          <w:tcPr>
            <w:tcW w:w="1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66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产出指标</w:t>
            </w:r>
          </w:p>
        </w:tc>
        <w:tc>
          <w:tcPr>
            <w:tcW w:w="5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24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学生住宿费按</w:t>
            </w:r>
          </w:p>
        </w:tc>
        <w:tc>
          <w:tcPr>
            <w:tcW w:w="1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6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991" w:type="pct"/>
            <w:gridSpan w:val="2"/>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成人教育收入按学期</w:t>
            </w:r>
          </w:p>
        </w:tc>
        <w:tc>
          <w:tcPr>
            <w:tcW w:w="1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66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9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9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及时足额到位</w:t>
            </w:r>
          </w:p>
        </w:tc>
        <w:tc>
          <w:tcPr>
            <w:tcW w:w="1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6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9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9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2年内</w:t>
            </w:r>
          </w:p>
        </w:tc>
        <w:tc>
          <w:tcPr>
            <w:tcW w:w="1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6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效益指标</w:t>
            </w:r>
          </w:p>
        </w:tc>
        <w:tc>
          <w:tcPr>
            <w:tcW w:w="19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经济效益指标</w:t>
            </w:r>
          </w:p>
        </w:tc>
        <w:tc>
          <w:tcPr>
            <w:tcW w:w="9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用于学校日常支出</w:t>
            </w:r>
          </w:p>
        </w:tc>
        <w:tc>
          <w:tcPr>
            <w:tcW w:w="1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66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9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社会效益指标</w:t>
            </w:r>
          </w:p>
        </w:tc>
        <w:tc>
          <w:tcPr>
            <w:tcW w:w="9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社会反响良好</w:t>
            </w:r>
          </w:p>
        </w:tc>
        <w:tc>
          <w:tcPr>
            <w:tcW w:w="1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良好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66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9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生态效益指标</w:t>
            </w:r>
          </w:p>
        </w:tc>
        <w:tc>
          <w:tcPr>
            <w:tcW w:w="9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无影响</w:t>
            </w:r>
          </w:p>
        </w:tc>
        <w:tc>
          <w:tcPr>
            <w:tcW w:w="1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r>
    </w:tbl>
    <w:p>
      <w:pPr>
        <w:pStyle w:val="2"/>
        <w:numPr>
          <w:ilvl w:val="0"/>
          <w:numId w:val="0"/>
        </w:numPr>
        <w:ind w:leftChars="0"/>
        <w:rPr>
          <w:color w:val="auto"/>
          <w:sz w:val="20"/>
          <w:szCs w:val="20"/>
        </w:rPr>
      </w:pPr>
    </w:p>
    <w:p>
      <w:pPr>
        <w:pStyle w:val="2"/>
        <w:numPr>
          <w:ilvl w:val="0"/>
          <w:numId w:val="0"/>
        </w:numPr>
        <w:ind w:leftChars="0"/>
        <w:rPr>
          <w:color w:val="auto"/>
          <w:sz w:val="20"/>
          <w:szCs w:val="20"/>
        </w:rPr>
      </w:pPr>
    </w:p>
    <w:p>
      <w:pPr>
        <w:pStyle w:val="2"/>
        <w:numPr>
          <w:ilvl w:val="0"/>
          <w:numId w:val="0"/>
        </w:numPr>
        <w:ind w:leftChars="0"/>
        <w:rPr>
          <w:color w:val="auto"/>
          <w:sz w:val="20"/>
          <w:szCs w:val="20"/>
        </w:rPr>
      </w:pPr>
    </w:p>
    <w:p>
      <w:pPr>
        <w:pStyle w:val="2"/>
        <w:numPr>
          <w:ilvl w:val="0"/>
          <w:numId w:val="0"/>
        </w:numPr>
        <w:ind w:leftChars="0"/>
        <w:rPr>
          <w:color w:val="auto"/>
          <w:sz w:val="20"/>
          <w:szCs w:val="20"/>
        </w:rPr>
      </w:pPr>
    </w:p>
    <w:p>
      <w:pPr>
        <w:pStyle w:val="2"/>
        <w:numPr>
          <w:ilvl w:val="0"/>
          <w:numId w:val="0"/>
        </w:numPr>
        <w:ind w:leftChars="0"/>
        <w:rPr>
          <w:color w:val="auto"/>
          <w:sz w:val="20"/>
          <w:szCs w:val="20"/>
        </w:rPr>
        <w:sectPr>
          <w:pgSz w:w="11906" w:h="16838"/>
          <w:pgMar w:top="720" w:right="720" w:bottom="720" w:left="720" w:header="851" w:footer="992" w:gutter="0"/>
          <w:cols w:space="0" w:num="1"/>
          <w:docGrid w:type="lines" w:linePitch="32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和上级单位取得的非财政补助收入。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D90704F-73F6-409F-9126-0E8E3BCA709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77E7CD9-09FC-4179-82B3-A2520B643221}"/>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3" w:fontKey="{804A1ED2-19B1-486B-807F-5109A6F9585D}"/>
  </w:font>
  <w:font w:name="仿宋">
    <w:panose1 w:val="02010609060101010101"/>
    <w:charset w:val="86"/>
    <w:family w:val="auto"/>
    <w:pitch w:val="default"/>
    <w:sig w:usb0="800002BF" w:usb1="38CF7CFA" w:usb2="00000016" w:usb3="00000000" w:csb0="00040001" w:csb1="00000000"/>
    <w:embedRegular r:id="rId4" w:fontKey="{0AF8DF81-1C53-4061-8386-371E3DA9C95D}"/>
  </w:font>
  <w:font w:name="楷体">
    <w:panose1 w:val="02010609060101010101"/>
    <w:charset w:val="86"/>
    <w:family w:val="auto"/>
    <w:pitch w:val="default"/>
    <w:sig w:usb0="800002BF" w:usb1="38CF7CFA" w:usb2="00000016" w:usb3="00000000" w:csb0="00040001" w:csb1="00000000"/>
    <w:embedRegular r:id="rId5" w:fontKey="{845BFDE0-FE78-4DE8-9F86-C32DF0AACDB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abstractNum w:abstractNumId="1">
    <w:nsid w:val="AEAD03FE"/>
    <w:multiLevelType w:val="singleLevel"/>
    <w:tmpl w:val="AEAD03FE"/>
    <w:lvl w:ilvl="0" w:tentative="0">
      <w:start w:val="8"/>
      <w:numFmt w:val="chineseCounting"/>
      <w:suff w:val="nothing"/>
      <w:lvlText w:val="%1、"/>
      <w:lvlJc w:val="left"/>
      <w:rPr>
        <w:rFonts w:hint="eastAsia"/>
      </w:rPr>
    </w:lvl>
  </w:abstractNum>
  <w:abstractNum w:abstractNumId="2">
    <w:nsid w:val="134FF08D"/>
    <w:multiLevelType w:val="singleLevel"/>
    <w:tmpl w:val="134FF08D"/>
    <w:lvl w:ilvl="0" w:tentative="0">
      <w:start w:val="2"/>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445E02C8"/>
    <w:rsid w:val="01334890"/>
    <w:rsid w:val="04E2157A"/>
    <w:rsid w:val="04EE7A30"/>
    <w:rsid w:val="05F17CC7"/>
    <w:rsid w:val="067A4160"/>
    <w:rsid w:val="0A4800D1"/>
    <w:rsid w:val="0AAA2B3A"/>
    <w:rsid w:val="0C741652"/>
    <w:rsid w:val="0E252C04"/>
    <w:rsid w:val="0F4D0AAA"/>
    <w:rsid w:val="103E61FE"/>
    <w:rsid w:val="11B04EDA"/>
    <w:rsid w:val="12883761"/>
    <w:rsid w:val="150775E9"/>
    <w:rsid w:val="180B10BC"/>
    <w:rsid w:val="19CF11C0"/>
    <w:rsid w:val="19DD2996"/>
    <w:rsid w:val="19DF560A"/>
    <w:rsid w:val="1C76645C"/>
    <w:rsid w:val="1D8D4321"/>
    <w:rsid w:val="1DCB6BF8"/>
    <w:rsid w:val="1EAE27A1"/>
    <w:rsid w:val="1F212A52"/>
    <w:rsid w:val="1FB57B5F"/>
    <w:rsid w:val="222A0391"/>
    <w:rsid w:val="24E011DB"/>
    <w:rsid w:val="26804A23"/>
    <w:rsid w:val="27090EBD"/>
    <w:rsid w:val="278C389C"/>
    <w:rsid w:val="285F6C68"/>
    <w:rsid w:val="31F36644"/>
    <w:rsid w:val="31FC02D9"/>
    <w:rsid w:val="326D79FF"/>
    <w:rsid w:val="33F86541"/>
    <w:rsid w:val="36656759"/>
    <w:rsid w:val="383E473E"/>
    <w:rsid w:val="39C944DB"/>
    <w:rsid w:val="3A4013F4"/>
    <w:rsid w:val="3A68113E"/>
    <w:rsid w:val="3ED25BE0"/>
    <w:rsid w:val="3F5F2902"/>
    <w:rsid w:val="3FFE2FA6"/>
    <w:rsid w:val="40D20119"/>
    <w:rsid w:val="41AA69A0"/>
    <w:rsid w:val="41E63988"/>
    <w:rsid w:val="42207512"/>
    <w:rsid w:val="43DB4E24"/>
    <w:rsid w:val="445E02C8"/>
    <w:rsid w:val="46003033"/>
    <w:rsid w:val="481708DD"/>
    <w:rsid w:val="483B65A4"/>
    <w:rsid w:val="48C742DC"/>
    <w:rsid w:val="4A6A3171"/>
    <w:rsid w:val="4E9D1D67"/>
    <w:rsid w:val="4F7505EE"/>
    <w:rsid w:val="504A1A7A"/>
    <w:rsid w:val="537D1F15"/>
    <w:rsid w:val="53AC65A8"/>
    <w:rsid w:val="546D5D37"/>
    <w:rsid w:val="55627866"/>
    <w:rsid w:val="59480B21"/>
    <w:rsid w:val="59513E7A"/>
    <w:rsid w:val="5A581238"/>
    <w:rsid w:val="5B3C6463"/>
    <w:rsid w:val="5B653F38"/>
    <w:rsid w:val="5DB8393B"/>
    <w:rsid w:val="5DD706C5"/>
    <w:rsid w:val="5F261904"/>
    <w:rsid w:val="612972DF"/>
    <w:rsid w:val="629E7A04"/>
    <w:rsid w:val="651D10B4"/>
    <w:rsid w:val="65A64245"/>
    <w:rsid w:val="66FA76C2"/>
    <w:rsid w:val="6AAA163C"/>
    <w:rsid w:val="6AE10DD5"/>
    <w:rsid w:val="6B533A81"/>
    <w:rsid w:val="71724DA6"/>
    <w:rsid w:val="749222EA"/>
    <w:rsid w:val="75F145C2"/>
    <w:rsid w:val="76A62E75"/>
    <w:rsid w:val="77D5404E"/>
    <w:rsid w:val="7B0A3A31"/>
    <w:rsid w:val="7D311748"/>
    <w:rsid w:val="7E064983"/>
    <w:rsid w:val="7F163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4787</Words>
  <Characters>5984</Characters>
  <Lines>0</Lines>
  <Paragraphs>0</Paragraphs>
  <TotalTime>7</TotalTime>
  <ScaleCrop>false</ScaleCrop>
  <LinksUpToDate>false</LinksUpToDate>
  <CharactersWithSpaces>6129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荣@</cp:lastModifiedBy>
  <dcterms:modified xsi:type="dcterms:W3CDTF">2024-06-03T07:22:56Z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6D2DA2E4EECE4828B70267993A6742F1_13</vt:lpwstr>
  </property>
</Properties>
</file>