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兴国县卫生健康服务中心</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卫生健康服务中心</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卫生健康服务中心</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一、兴国县</w:t>
      </w:r>
      <w:r>
        <w:rPr>
          <w:rFonts w:hint="eastAsia" w:ascii="仿宋" w:hAnsi="仿宋" w:eastAsia="仿宋" w:cs="仿宋"/>
          <w:color w:val="auto"/>
          <w:sz w:val="32"/>
          <w:szCs w:val="32"/>
          <w:lang w:val="en-US" w:eastAsia="zh-CN"/>
        </w:rPr>
        <w:t>卫生健康服务中心</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卫生健康服务中心</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default" w:ascii="Times New Roman" w:hAnsi="Times New Roman" w:eastAsia="宋体" w:cs="Times New Roman"/>
          <w:kern w:val="2"/>
          <w:sz w:val="21"/>
          <w:lang w:val="en-US" w:eastAsia="zh-CN" w:bidi="ar-SA"/>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卫生健康服务中心</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highlight w:val="yellow"/>
          <w:lang w:val="en-US" w:eastAsia="zh-CN"/>
        </w:rPr>
      </w:pPr>
      <w:r>
        <w:rPr>
          <w:rFonts w:hint="eastAsia" w:ascii="仿宋" w:hAnsi="仿宋" w:eastAsia="仿宋"/>
          <w:color w:val="auto"/>
          <w:sz w:val="32"/>
          <w:szCs w:val="32"/>
          <w:lang w:eastAsia="zh-CN"/>
        </w:rPr>
        <w:t>主要</w:t>
      </w:r>
      <w:r>
        <w:rPr>
          <w:rFonts w:hint="eastAsia" w:ascii="仿宋" w:hAnsi="仿宋" w:eastAsia="仿宋"/>
          <w:color w:val="auto"/>
          <w:sz w:val="32"/>
          <w:szCs w:val="32"/>
        </w:rPr>
        <w:t>承担计划生育管理和服务；健康教育与健康促进、卫生健康新闻宣传活动的组织实施、业务培训和有关技术指导工作并承担健康教育与健康促进相关监测评估工作；爱国卫生、健康城市相关技术指导工作；组织开展地方病防治及监测工作；组织开展老年活动及老龄健康服务工作；协助开展行业专业人才队伍建设等职能；负责健康兴国行动监测、分析、评价等工作。</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卫生健康服务中心</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科室2</w:t>
      </w:r>
      <w:r>
        <w:rPr>
          <w:rFonts w:hint="eastAsia" w:ascii="仿宋" w:hAnsi="仿宋" w:eastAsia="仿宋" w:cs="仿宋"/>
          <w:sz w:val="32"/>
          <w:szCs w:val="32"/>
        </w:rPr>
        <w:t>个，包括：</w:t>
      </w:r>
      <w:r>
        <w:rPr>
          <w:rFonts w:hint="eastAsia" w:ascii="仿宋" w:hAnsi="仿宋" w:eastAsia="仿宋" w:cs="仿宋"/>
          <w:sz w:val="32"/>
          <w:szCs w:val="32"/>
          <w:lang w:val="en-US" w:eastAsia="zh-CN"/>
        </w:rPr>
        <w:t>财务室、办公室。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color w:val="auto"/>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29</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ascii="仿宋" w:hAnsi="仿宋" w:eastAsia="仿宋"/>
          <w:color w:val="auto"/>
          <w:sz w:val="32"/>
          <w:szCs w:val="32"/>
        </w:rPr>
        <w:t>全部</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29</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29</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29</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ascii="仿宋" w:hAnsi="仿宋" w:eastAsia="仿宋"/>
          <w:color w:val="auto"/>
          <w:sz w:val="32"/>
          <w:szCs w:val="32"/>
        </w:rPr>
        <w:t>全部</w:t>
      </w:r>
      <w:r>
        <w:rPr>
          <w:rFonts w:hint="eastAsia" w:ascii="仿宋" w:hAnsi="仿宋" w:eastAsia="仿宋" w:cs="仿宋"/>
          <w:sz w:val="32"/>
          <w:szCs w:val="32"/>
        </w:rPr>
        <w:t>补助事业在职人数</w:t>
      </w:r>
      <w:r>
        <w:rPr>
          <w:rFonts w:hint="eastAsia" w:ascii="仿宋" w:hAnsi="仿宋" w:eastAsia="仿宋" w:cs="仿宋"/>
          <w:sz w:val="32"/>
          <w:szCs w:val="32"/>
          <w:lang w:val="en-US" w:eastAsia="zh-CN"/>
        </w:rPr>
        <w:t>29</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12</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1</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rPr>
          <w:color w:val="auto"/>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卫生健康服务中心</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279.31</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72.62</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长</w:t>
      </w:r>
      <w:r>
        <w:rPr>
          <w:rFonts w:hint="eastAsia" w:ascii="仿宋" w:hAnsi="仿宋" w:eastAsia="仿宋" w:cs="仿宋"/>
          <w:color w:val="auto"/>
          <w:sz w:val="32"/>
          <w:szCs w:val="32"/>
          <w:lang w:val="en-US" w:eastAsia="zh-CN"/>
        </w:rPr>
        <w:t>35.13%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增减变化主要原因是：往年其他资金项目库额度较小，无法正常接收上级单位业务拨款，影响健康教育工作，因此</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lang w:eastAsia="zh-CN"/>
        </w:rPr>
        <w:t>增加了其他资金项目库额度，其他收入增长。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其中：上年结转0万元，较上年减少62.63万元；财政拨款收入125.71万元,较上年预算安排增加15.75万元;上级补助收入0万元，较上年预算安排减少3.00万元；其他收入153.60万元，较上年预算安排增加122.49万元。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支出预算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279.31</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72.62</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长</w:t>
      </w:r>
      <w:r>
        <w:rPr>
          <w:rFonts w:hint="eastAsia" w:ascii="仿宋" w:hAnsi="仿宋" w:eastAsia="仿宋" w:cs="仿宋"/>
          <w:color w:val="auto"/>
          <w:sz w:val="32"/>
          <w:szCs w:val="32"/>
          <w:lang w:val="en-US" w:eastAsia="zh-CN"/>
        </w:rPr>
        <w:t>35.13%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2023年单位绩效工资纳入预算，工资福利支出增长较多；其他资金项目库额度扩大，健康教育支出及其他支出增加</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按支出项目类别及经济分类科目划分：基本支出</w:t>
      </w:r>
      <w:r>
        <w:rPr>
          <w:rFonts w:hint="eastAsia" w:ascii="仿宋" w:hAnsi="仿宋" w:eastAsia="仿宋" w:cs="仿宋"/>
          <w:color w:val="auto"/>
          <w:sz w:val="32"/>
          <w:szCs w:val="32"/>
          <w:lang w:val="en-US" w:eastAsia="zh-CN"/>
        </w:rPr>
        <w:t>129.31</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13.79</w:t>
      </w:r>
      <w:r>
        <w:rPr>
          <w:rFonts w:hint="eastAsia" w:ascii="仿宋" w:hAnsi="仿宋" w:eastAsia="仿宋" w:cs="仿宋"/>
          <w:color w:val="auto"/>
          <w:sz w:val="32"/>
          <w:szCs w:val="32"/>
          <w:lang w:eastAsia="zh-CN"/>
        </w:rPr>
        <w:t>万元，其中：工资福利支出</w:t>
      </w:r>
      <w:r>
        <w:rPr>
          <w:rFonts w:hint="eastAsia" w:ascii="仿宋" w:hAnsi="仿宋" w:eastAsia="仿宋" w:cs="仿宋"/>
          <w:color w:val="auto"/>
          <w:sz w:val="32"/>
          <w:szCs w:val="32"/>
          <w:lang w:val="en-US" w:eastAsia="zh-CN"/>
        </w:rPr>
        <w:t>120.26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商品和服务支出4.79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对个人和家庭的补助1.57</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，资本性支出2.70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。项目支出</w:t>
      </w:r>
      <w:r>
        <w:rPr>
          <w:rFonts w:hint="eastAsia" w:ascii="仿宋" w:hAnsi="仿宋" w:eastAsia="仿宋" w:cs="仿宋"/>
          <w:color w:val="auto"/>
          <w:sz w:val="32"/>
          <w:szCs w:val="32"/>
          <w:lang w:val="en-US" w:eastAsia="zh-CN"/>
        </w:rPr>
        <w:t>150.00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58.82</w:t>
      </w:r>
      <w:r>
        <w:rPr>
          <w:rFonts w:hint="eastAsia" w:ascii="仿宋" w:hAnsi="仿宋" w:eastAsia="仿宋" w:cs="仿宋"/>
          <w:color w:val="auto"/>
          <w:sz w:val="32"/>
          <w:szCs w:val="32"/>
          <w:lang w:eastAsia="zh-CN"/>
        </w:rPr>
        <w:t>万元，其中：其他相关支出</w:t>
      </w:r>
      <w:r>
        <w:rPr>
          <w:rFonts w:hint="eastAsia" w:ascii="仿宋" w:hAnsi="仿宋" w:eastAsia="仿宋" w:cs="仿宋"/>
          <w:color w:val="auto"/>
          <w:sz w:val="32"/>
          <w:szCs w:val="32"/>
          <w:lang w:val="en-US" w:eastAsia="zh-CN"/>
        </w:rPr>
        <w:t>150.00万元</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u w:val="none"/>
          <w:lang w:eastAsia="zh-CN"/>
        </w:rPr>
      </w:pPr>
      <w:r>
        <w:rPr>
          <w:rFonts w:hint="eastAsia" w:ascii="仿宋" w:hAnsi="仿宋" w:eastAsia="仿宋" w:cs="仿宋"/>
          <w:color w:val="auto"/>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color w:val="auto"/>
          <w:sz w:val="32"/>
          <w:szCs w:val="32"/>
          <w:lang w:val="en-US" w:eastAsia="zh-CN"/>
        </w:rPr>
        <w:t>20.25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加7.79</w:t>
      </w:r>
      <w:r>
        <w:rPr>
          <w:rFonts w:hint="eastAsia" w:ascii="仿宋" w:hAnsi="仿宋" w:eastAsia="仿宋" w:cs="仿宋"/>
          <w:color w:val="auto"/>
          <w:sz w:val="32"/>
          <w:szCs w:val="32"/>
          <w:lang w:eastAsia="zh-CN"/>
        </w:rPr>
        <w:t>万元；卫生健康支出</w:t>
      </w:r>
      <w:r>
        <w:rPr>
          <w:rFonts w:hint="eastAsia" w:ascii="仿宋" w:hAnsi="仿宋" w:eastAsia="仿宋" w:cs="仿宋"/>
          <w:color w:val="auto"/>
          <w:sz w:val="32"/>
          <w:szCs w:val="32"/>
          <w:lang w:val="en-US" w:eastAsia="zh-CN"/>
        </w:rPr>
        <w:t>78.84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67.29</w:t>
      </w:r>
      <w:r>
        <w:rPr>
          <w:rFonts w:hint="eastAsia" w:ascii="仿宋" w:hAnsi="仿宋" w:eastAsia="仿宋" w:cs="仿宋"/>
          <w:color w:val="auto"/>
          <w:sz w:val="32"/>
          <w:szCs w:val="32"/>
          <w:lang w:eastAsia="zh-CN"/>
        </w:rPr>
        <w:t>万元；城乡社区支出为</w:t>
      </w:r>
      <w:r>
        <w:rPr>
          <w:rFonts w:hint="eastAsia" w:ascii="仿宋" w:hAnsi="仿宋" w:eastAsia="仿宋" w:cs="仿宋"/>
          <w:color w:val="auto"/>
          <w:sz w:val="32"/>
          <w:szCs w:val="32"/>
          <w:lang w:val="en-US" w:eastAsia="zh-CN"/>
        </w:rPr>
        <w:t>0万元，较上年预算安排减少5.76万元；</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10.63</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0.60</w:t>
      </w:r>
      <w:r>
        <w:rPr>
          <w:rFonts w:hint="eastAsia" w:ascii="仿宋" w:hAnsi="仿宋" w:eastAsia="仿宋" w:cs="仿宋"/>
          <w:color w:val="auto"/>
          <w:sz w:val="32"/>
          <w:szCs w:val="32"/>
          <w:lang w:eastAsia="zh-CN"/>
        </w:rPr>
        <w:t>万元；其他支出</w:t>
      </w:r>
      <w:r>
        <w:rPr>
          <w:rFonts w:hint="eastAsia" w:ascii="仿宋" w:hAnsi="仿宋" w:eastAsia="仿宋" w:cs="仿宋"/>
          <w:color w:val="auto"/>
          <w:sz w:val="32"/>
          <w:szCs w:val="32"/>
          <w:lang w:val="en-US" w:eastAsia="zh-CN"/>
        </w:rPr>
        <w:t>169.60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138.49</w:t>
      </w:r>
      <w:r>
        <w:rPr>
          <w:rFonts w:hint="eastAsia" w:ascii="仿宋" w:hAnsi="仿宋" w:eastAsia="仿宋" w:cs="仿宋"/>
          <w:color w:val="auto"/>
          <w:sz w:val="32"/>
          <w:szCs w:val="32"/>
          <w:lang w:eastAsia="zh-CN"/>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财政拨款支出预算125.71万元，占本年支出预算额的45.01%，较上年预算安排增加15.75万元，增长14.32%。增减变化主要原因是：2023年单位绩效工资纳入预算，工资福利支出增长较多；办公设备购置需求增加，资本性支出增加。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lang w:eastAsia="zh-CN"/>
        </w:rPr>
        <w:t>按支出项目类别及经济分类科目划分：</w:t>
      </w:r>
      <w:r>
        <w:rPr>
          <w:rFonts w:hint="eastAsia" w:ascii="仿宋" w:hAnsi="仿宋" w:eastAsia="仿宋" w:cs="仿宋"/>
          <w:color w:val="auto"/>
          <w:sz w:val="32"/>
          <w:szCs w:val="32"/>
          <w:u w:val="none"/>
          <w:lang w:eastAsia="zh-CN"/>
        </w:rPr>
        <w:t>基本支出</w:t>
      </w:r>
      <w:r>
        <w:rPr>
          <w:rFonts w:hint="eastAsia" w:ascii="仿宋" w:hAnsi="仿宋" w:eastAsia="仿宋" w:cs="仿宋"/>
          <w:color w:val="auto"/>
          <w:sz w:val="32"/>
          <w:szCs w:val="32"/>
          <w:u w:val="none"/>
          <w:lang w:val="en-US" w:eastAsia="zh-CN"/>
        </w:rPr>
        <w:t>125.71万</w:t>
      </w:r>
      <w:r>
        <w:rPr>
          <w:rFonts w:hint="eastAsia" w:ascii="仿宋" w:hAnsi="仿宋" w:eastAsia="仿宋" w:cs="仿宋"/>
          <w:color w:val="auto"/>
          <w:sz w:val="32"/>
          <w:szCs w:val="32"/>
          <w:u w:val="none"/>
        </w:rPr>
        <w:t>元</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eastAsia="zh-CN"/>
        </w:rPr>
        <w:t>加</w:t>
      </w:r>
      <w:r>
        <w:rPr>
          <w:rFonts w:hint="eastAsia" w:ascii="仿宋" w:hAnsi="仿宋" w:eastAsia="仿宋" w:cs="仿宋"/>
          <w:color w:val="auto"/>
          <w:sz w:val="32"/>
          <w:szCs w:val="32"/>
          <w:u w:val="none"/>
          <w:lang w:val="en-US" w:eastAsia="zh-CN"/>
        </w:rPr>
        <w:t>15.75</w:t>
      </w:r>
      <w:r>
        <w:rPr>
          <w:rFonts w:hint="eastAsia" w:ascii="仿宋" w:hAnsi="仿宋" w:eastAsia="仿宋" w:cs="仿宋"/>
          <w:color w:val="auto"/>
          <w:sz w:val="32"/>
          <w:szCs w:val="32"/>
          <w:u w:val="none"/>
          <w:lang w:eastAsia="zh-CN"/>
        </w:rPr>
        <w:t>万元，其中：工资福利支出</w:t>
      </w:r>
      <w:r>
        <w:rPr>
          <w:rFonts w:hint="eastAsia" w:ascii="仿宋" w:hAnsi="仿宋" w:eastAsia="仿宋" w:cs="仿宋"/>
          <w:color w:val="auto"/>
          <w:sz w:val="32"/>
          <w:szCs w:val="32"/>
          <w:u w:val="none"/>
          <w:lang w:val="en-US" w:eastAsia="zh-CN"/>
        </w:rPr>
        <w:t>116.66</w:t>
      </w:r>
      <w:r>
        <w:rPr>
          <w:rFonts w:hint="eastAsia" w:ascii="仿宋" w:hAnsi="仿宋" w:eastAsia="仿宋" w:cs="仿宋"/>
          <w:color w:val="auto"/>
          <w:sz w:val="32"/>
          <w:szCs w:val="32"/>
          <w:u w:val="none"/>
          <w:lang w:eastAsia="zh-CN"/>
        </w:rPr>
        <w:t>万元，商品和服务支出</w:t>
      </w:r>
      <w:r>
        <w:rPr>
          <w:rFonts w:hint="eastAsia" w:ascii="仿宋" w:hAnsi="仿宋" w:eastAsia="仿宋" w:cs="仿宋"/>
          <w:color w:val="auto"/>
          <w:sz w:val="32"/>
          <w:szCs w:val="32"/>
          <w:u w:val="none"/>
          <w:lang w:val="en-US" w:eastAsia="zh-CN"/>
        </w:rPr>
        <w:t>4.79</w:t>
      </w:r>
      <w:r>
        <w:rPr>
          <w:rFonts w:hint="eastAsia" w:ascii="仿宋" w:hAnsi="仿宋" w:eastAsia="仿宋" w:cs="仿宋"/>
          <w:color w:val="auto"/>
          <w:sz w:val="32"/>
          <w:szCs w:val="32"/>
          <w:u w:val="none"/>
          <w:lang w:eastAsia="zh-CN"/>
        </w:rPr>
        <w:t>万元，对个人和家庭的补助</w:t>
      </w:r>
      <w:r>
        <w:rPr>
          <w:rFonts w:hint="eastAsia" w:ascii="仿宋" w:hAnsi="仿宋" w:eastAsia="仿宋" w:cs="仿宋"/>
          <w:color w:val="auto"/>
          <w:sz w:val="32"/>
          <w:szCs w:val="32"/>
          <w:u w:val="none"/>
          <w:lang w:val="en-US" w:eastAsia="zh-CN"/>
        </w:rPr>
        <w:t>1.57</w:t>
      </w:r>
      <w:r>
        <w:rPr>
          <w:rFonts w:hint="eastAsia" w:ascii="仿宋" w:hAnsi="仿宋" w:eastAsia="仿宋" w:cs="仿宋"/>
          <w:color w:val="auto"/>
          <w:sz w:val="32"/>
          <w:szCs w:val="32"/>
          <w:u w:val="none"/>
          <w:lang w:eastAsia="zh-CN"/>
        </w:rPr>
        <w:t>万元，资本性支出</w:t>
      </w:r>
      <w:r>
        <w:rPr>
          <w:rFonts w:hint="eastAsia" w:ascii="仿宋" w:hAnsi="仿宋" w:eastAsia="仿宋" w:cs="仿宋"/>
          <w:color w:val="auto"/>
          <w:sz w:val="32"/>
          <w:szCs w:val="32"/>
          <w:u w:val="none"/>
          <w:lang w:val="en-US" w:eastAsia="zh-CN"/>
        </w:rPr>
        <w:t>2.70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lang w:val="en-US" w:eastAsia="zh-CN"/>
        </w:rPr>
        <w:t>项目支出0万元，较上年预算安排增加0万元。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w:t>
      </w:r>
      <w:r>
        <w:rPr>
          <w:rFonts w:hint="eastAsia" w:ascii="仿宋" w:hAnsi="仿宋" w:eastAsia="仿宋" w:cs="仿宋"/>
          <w:color w:val="auto"/>
          <w:spacing w:val="5"/>
          <w:sz w:val="32"/>
          <w:szCs w:val="32"/>
          <w:u w:val="none"/>
        </w:rPr>
        <w:t>社会保障和就业支出</w:t>
      </w:r>
      <w:r>
        <w:rPr>
          <w:rFonts w:hint="eastAsia" w:ascii="仿宋" w:hAnsi="仿宋" w:eastAsia="仿宋" w:cs="仿宋"/>
          <w:color w:val="auto"/>
          <w:sz w:val="32"/>
          <w:szCs w:val="32"/>
          <w:u w:val="none"/>
          <w:lang w:val="en-US" w:eastAsia="zh-CN"/>
        </w:rPr>
        <w:t>20.25</w:t>
      </w:r>
      <w:r>
        <w:rPr>
          <w:rFonts w:hint="eastAsia" w:ascii="仿宋" w:hAnsi="仿宋" w:eastAsia="仿宋" w:cs="仿宋"/>
          <w:color w:val="auto"/>
          <w:spacing w:val="5"/>
          <w:sz w:val="32"/>
          <w:szCs w:val="32"/>
          <w:u w:val="none"/>
        </w:rPr>
        <w:t>万元,较</w:t>
      </w:r>
      <w:r>
        <w:rPr>
          <w:rFonts w:hint="eastAsia" w:ascii="仿宋" w:hAnsi="仿宋" w:eastAsia="仿宋" w:cs="仿宋"/>
          <w:color w:val="auto"/>
          <w:spacing w:val="10"/>
          <w:sz w:val="32"/>
          <w:szCs w:val="32"/>
          <w:u w:val="none"/>
        </w:rPr>
        <w:t>上年预算安排</w:t>
      </w:r>
      <w:r>
        <w:rPr>
          <w:rFonts w:hint="eastAsia" w:ascii="仿宋" w:hAnsi="仿宋" w:eastAsia="仿宋" w:cs="仿宋"/>
          <w:color w:val="auto"/>
          <w:sz w:val="32"/>
          <w:szCs w:val="32"/>
          <w:u w:val="none"/>
          <w:lang w:eastAsia="zh-CN"/>
        </w:rPr>
        <w:t>增加</w:t>
      </w:r>
      <w:r>
        <w:rPr>
          <w:rFonts w:hint="eastAsia" w:ascii="仿宋" w:hAnsi="仿宋" w:eastAsia="仿宋" w:cs="仿宋"/>
          <w:color w:val="auto"/>
          <w:sz w:val="32"/>
          <w:szCs w:val="32"/>
          <w:u w:val="none"/>
          <w:lang w:val="en-US" w:eastAsia="zh-CN"/>
        </w:rPr>
        <w:t>9.40</w:t>
      </w:r>
      <w:r>
        <w:rPr>
          <w:rFonts w:hint="eastAsia" w:ascii="仿宋" w:hAnsi="仿宋" w:eastAsia="仿宋" w:cs="仿宋"/>
          <w:color w:val="auto"/>
          <w:spacing w:val="10"/>
          <w:sz w:val="32"/>
          <w:szCs w:val="32"/>
          <w:u w:val="none"/>
        </w:rPr>
        <w:t>万元;卫生健康支出</w:t>
      </w:r>
      <w:r>
        <w:rPr>
          <w:rFonts w:hint="eastAsia" w:ascii="仿宋" w:hAnsi="仿宋" w:eastAsia="仿宋" w:cs="仿宋"/>
          <w:color w:val="auto"/>
          <w:sz w:val="32"/>
          <w:szCs w:val="32"/>
          <w:u w:val="none"/>
          <w:lang w:val="en-US" w:eastAsia="zh-CN"/>
        </w:rPr>
        <w:t>78.84</w:t>
      </w:r>
      <w:r>
        <w:rPr>
          <w:rFonts w:hint="eastAsia" w:ascii="仿宋" w:hAnsi="仿宋" w:eastAsia="仿宋" w:cs="仿宋"/>
          <w:color w:val="auto"/>
          <w:spacing w:val="10"/>
          <w:sz w:val="32"/>
          <w:szCs w:val="32"/>
          <w:u w:val="none"/>
        </w:rPr>
        <w:t>万</w:t>
      </w:r>
      <w:r>
        <w:rPr>
          <w:rFonts w:hint="eastAsia" w:ascii="仿宋" w:hAnsi="仿宋" w:eastAsia="仿宋" w:cs="仿宋"/>
          <w:color w:val="auto"/>
          <w:spacing w:val="5"/>
          <w:sz w:val="32"/>
          <w:szCs w:val="32"/>
          <w:u w:val="none"/>
        </w:rPr>
        <w:t>元,较上年预算安排</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2"/>
          <w:szCs w:val="32"/>
          <w:u w:val="none"/>
          <w:lang w:val="en-US" w:eastAsia="zh-CN"/>
        </w:rPr>
        <w:t>9.04</w:t>
      </w:r>
      <w:r>
        <w:rPr>
          <w:rFonts w:hint="eastAsia" w:ascii="仿宋" w:hAnsi="仿宋" w:eastAsia="仿宋" w:cs="仿宋"/>
          <w:color w:val="auto"/>
          <w:spacing w:val="5"/>
          <w:sz w:val="32"/>
          <w:szCs w:val="32"/>
          <w:u w:val="none"/>
        </w:rPr>
        <w:t>万元;住房保障支出</w:t>
      </w:r>
      <w:r>
        <w:rPr>
          <w:rFonts w:hint="eastAsia" w:ascii="仿宋" w:hAnsi="仿宋" w:eastAsia="仿宋" w:cs="仿宋"/>
          <w:color w:val="auto"/>
          <w:spacing w:val="5"/>
          <w:sz w:val="32"/>
          <w:szCs w:val="32"/>
          <w:u w:val="none"/>
          <w:lang w:val="en-US" w:eastAsia="zh-CN"/>
        </w:rPr>
        <w:t>10.63</w:t>
      </w:r>
      <w:r>
        <w:rPr>
          <w:rFonts w:hint="eastAsia" w:ascii="仿宋" w:hAnsi="仿宋" w:eastAsia="仿宋" w:cs="仿宋"/>
          <w:color w:val="auto"/>
          <w:spacing w:val="5"/>
          <w:sz w:val="32"/>
          <w:szCs w:val="32"/>
          <w:u w:val="none"/>
        </w:rPr>
        <w:t>万</w:t>
      </w:r>
      <w:r>
        <w:rPr>
          <w:rFonts w:hint="eastAsia" w:ascii="仿宋" w:hAnsi="仿宋" w:eastAsia="仿宋" w:cs="仿宋"/>
          <w:color w:val="auto"/>
          <w:spacing w:val="17"/>
          <w:sz w:val="32"/>
          <w:szCs w:val="32"/>
          <w:u w:val="none"/>
        </w:rPr>
        <w:t>元,较上年预算安排</w:t>
      </w:r>
      <w:r>
        <w:rPr>
          <w:rFonts w:hint="eastAsia" w:ascii="仿宋" w:hAnsi="仿宋" w:eastAsia="仿宋" w:cs="仿宋"/>
          <w:color w:val="auto"/>
          <w:sz w:val="32"/>
          <w:szCs w:val="32"/>
          <w:u w:val="none"/>
          <w:lang w:eastAsia="zh-CN"/>
        </w:rPr>
        <w:t>减少</w:t>
      </w:r>
      <w:r>
        <w:rPr>
          <w:rFonts w:hint="eastAsia" w:ascii="仿宋" w:hAnsi="仿宋" w:eastAsia="仿宋" w:cs="仿宋"/>
          <w:color w:val="auto"/>
          <w:sz w:val="32"/>
          <w:szCs w:val="32"/>
          <w:u w:val="none"/>
          <w:lang w:val="en-US" w:eastAsia="zh-CN"/>
        </w:rPr>
        <w:t>0.60</w:t>
      </w:r>
      <w:r>
        <w:rPr>
          <w:rFonts w:hint="eastAsia" w:ascii="仿宋" w:hAnsi="仿宋" w:eastAsia="仿宋" w:cs="仿宋"/>
          <w:color w:val="auto"/>
          <w:spacing w:val="17"/>
          <w:sz w:val="32"/>
          <w:szCs w:val="32"/>
          <w:u w:val="none"/>
        </w:rPr>
        <w:t>万元;其他支出</w:t>
      </w:r>
      <w:r>
        <w:rPr>
          <w:rFonts w:hint="eastAsia" w:ascii="仿宋" w:hAnsi="仿宋" w:eastAsia="仿宋" w:cs="仿宋"/>
          <w:color w:val="auto"/>
          <w:sz w:val="32"/>
          <w:szCs w:val="32"/>
          <w:u w:val="none"/>
          <w:lang w:val="en-US" w:eastAsia="zh-CN"/>
        </w:rPr>
        <w:t>16.00</w:t>
      </w:r>
      <w:r>
        <w:rPr>
          <w:rFonts w:hint="eastAsia" w:ascii="仿宋" w:hAnsi="仿宋" w:eastAsia="仿宋" w:cs="仿宋"/>
          <w:color w:val="auto"/>
          <w:spacing w:val="5"/>
          <w:sz w:val="32"/>
          <w:szCs w:val="32"/>
          <w:u w:val="none"/>
        </w:rPr>
        <w:t>万</w:t>
      </w:r>
      <w:r>
        <w:rPr>
          <w:rFonts w:hint="eastAsia" w:ascii="仿宋" w:hAnsi="仿宋" w:eastAsia="仿宋" w:cs="仿宋"/>
          <w:color w:val="auto"/>
          <w:spacing w:val="17"/>
          <w:sz w:val="32"/>
          <w:szCs w:val="32"/>
          <w:u w:val="none"/>
        </w:rPr>
        <w:t>元,较上年预算安排</w:t>
      </w:r>
      <w:r>
        <w:rPr>
          <w:rFonts w:hint="eastAsia" w:ascii="仿宋" w:hAnsi="仿宋" w:eastAsia="仿宋" w:cs="仿宋"/>
          <w:color w:val="auto"/>
          <w:sz w:val="32"/>
          <w:szCs w:val="32"/>
          <w:u w:val="none"/>
          <w:lang w:eastAsia="zh-CN"/>
        </w:rPr>
        <w:t>增加</w:t>
      </w:r>
      <w:r>
        <w:rPr>
          <w:rFonts w:hint="eastAsia" w:ascii="仿宋" w:hAnsi="仿宋" w:eastAsia="仿宋" w:cs="仿宋"/>
          <w:color w:val="auto"/>
          <w:sz w:val="32"/>
          <w:szCs w:val="32"/>
          <w:u w:val="none"/>
          <w:lang w:val="en-US" w:eastAsia="zh-CN"/>
        </w:rPr>
        <w:t>16.00</w:t>
      </w:r>
      <w:r>
        <w:rPr>
          <w:rFonts w:hint="eastAsia" w:ascii="仿宋" w:hAnsi="仿宋" w:eastAsia="仿宋" w:cs="仿宋"/>
          <w:color w:val="auto"/>
          <w:spacing w:val="17"/>
          <w:sz w:val="32"/>
          <w:szCs w:val="32"/>
          <w:u w:val="none"/>
        </w:rPr>
        <w:t>万元</w:t>
      </w:r>
      <w:r>
        <w:rPr>
          <w:rFonts w:hint="eastAsia" w:ascii="仿宋" w:hAnsi="仿宋" w:eastAsia="仿宋" w:cs="仿宋"/>
          <w:color w:val="auto"/>
          <w:spacing w:val="17"/>
          <w:sz w:val="32"/>
          <w:szCs w:val="32"/>
          <w:u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w:t>
      </w:r>
      <w:r>
        <w:rPr>
          <w:rFonts w:hint="eastAsia" w:ascii="仿宋" w:hAnsi="仿宋" w:eastAsia="仿宋" w:cs="仿宋"/>
          <w:color w:val="auto"/>
          <w:kern w:val="0"/>
          <w:sz w:val="32"/>
          <w:szCs w:val="32"/>
          <w:lang w:val="en-US" w:eastAsia="zh-CN" w:bidi="ar"/>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年单位政府采购总额</w:t>
      </w:r>
      <w:r>
        <w:rPr>
          <w:rFonts w:hint="eastAsia" w:ascii="仿宋" w:hAnsi="仿宋" w:eastAsia="仿宋" w:cs="仿宋"/>
          <w:color w:val="auto"/>
          <w:sz w:val="32"/>
          <w:szCs w:val="32"/>
          <w:u w:val="none"/>
          <w:lang w:val="en-US" w:eastAsia="zh-CN"/>
        </w:rPr>
        <w:t>2.70</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2.70</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2022年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2023年本</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150.00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项目名称：卫生健康服务中心其他资金项目库</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：其他资金项目库</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兴常发</w:t>
      </w:r>
      <w:r>
        <w:rPr>
          <w:rFonts w:hint="eastAsia" w:ascii="仿宋" w:hAnsi="仿宋" w:eastAsia="仿宋" w:cs="仿宋"/>
          <w:color w:val="auto"/>
          <w:sz w:val="32"/>
          <w:szCs w:val="32"/>
          <w:lang w:eastAsia="zh-CN"/>
        </w:rPr>
        <w:t>【20</w:t>
      </w:r>
      <w:r>
        <w:rPr>
          <w:rFonts w:hint="eastAsia" w:ascii="仿宋" w:hAnsi="仿宋" w:eastAsia="仿宋" w:cs="仿宋"/>
          <w:color w:val="auto"/>
          <w:sz w:val="32"/>
          <w:szCs w:val="32"/>
          <w:lang w:val="en-US" w:eastAsia="zh-CN"/>
        </w:rPr>
        <w:t>23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号</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：兴国县卫生健康服务中心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：一年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150万元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：保证单位其他资金正常运行</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color w:val="auto"/>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bookmarkStart w:id="0" w:name="_GoBack"/>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bookmarkEnd w:id="0"/>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1.43</w:t>
      </w:r>
      <w:r>
        <w:rPr>
          <w:rFonts w:hint="eastAsia" w:ascii="仿宋" w:hAnsi="仿宋" w:eastAsia="仿宋" w:cs="仿宋"/>
          <w:color w:val="auto"/>
          <w:sz w:val="32"/>
          <w:szCs w:val="32"/>
        </w:rPr>
        <w:t>万元。其中：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1.43</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1.57</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应上级要求，三公经费逐年递减</w:t>
      </w:r>
      <w:r>
        <w:rPr>
          <w:rFonts w:hint="eastAsia" w:ascii="仿宋" w:hAnsi="仿宋" w:eastAsia="仿宋" w:cs="仿宋"/>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w:t>
      </w:r>
      <w:r>
        <w:rPr>
          <w:rFonts w:hint="eastAsia" w:ascii="仿宋" w:hAnsi="仿宋" w:eastAsia="仿宋" w:cs="仿宋"/>
          <w:color w:val="auto"/>
          <w:sz w:val="32"/>
          <w:szCs w:val="32"/>
          <w:lang w:val="en-US" w:eastAsia="zh-CN"/>
        </w:rPr>
        <w:t>原</w:t>
      </w:r>
      <w:r>
        <w:rPr>
          <w:rFonts w:hint="eastAsia" w:ascii="仿宋" w:hAnsi="仿宋" w:eastAsia="仿宋" w:cs="仿宋"/>
          <w:color w:val="auto"/>
          <w:sz w:val="32"/>
          <w:szCs w:val="32"/>
        </w:rPr>
        <w:t>因是：</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highlight w:val="none"/>
          <w:lang w:eastAsia="zh-CN"/>
        </w:rPr>
        <w:t>与上年安排保持一致</w:t>
      </w:r>
      <w:r>
        <w:rPr>
          <w:rFonts w:hint="eastAsia" w:ascii="仿宋" w:hAnsi="仿宋" w:eastAsia="仿宋" w:cs="仿宋"/>
          <w:color w:val="auto"/>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b w:val="0"/>
          <w:bCs w:val="0"/>
          <w:color w:val="auto"/>
          <w:sz w:val="32"/>
          <w:szCs w:val="32"/>
        </w:rPr>
        <w:sectPr>
          <w:footerReference r:id="rId3" w:type="default"/>
          <w:pgSz w:w="11906" w:h="16838"/>
          <w:pgMar w:top="1587" w:right="1587" w:bottom="1587" w:left="1587" w:header="851" w:footer="992" w:gutter="0"/>
          <w:pgNumType w:fmt="decimal"/>
          <w:cols w:space="0" w:num="1"/>
          <w:docGrid w:type="lines" w:linePitch="32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卫生健康服务中心2023年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pPr w:leftFromText="180" w:rightFromText="180" w:vertAnchor="text" w:horzAnchor="page" w:tblpXSpec="center" w:tblpY="636"/>
        <w:tblOverlap w:val="never"/>
        <w:tblW w:w="101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96"/>
        <w:gridCol w:w="936"/>
        <w:gridCol w:w="3096"/>
        <w:gridCol w:w="12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10144"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 w:hRule="atLeast"/>
          <w:jc w:val="center"/>
        </w:trPr>
        <w:tc>
          <w:tcPr>
            <w:tcW w:w="4896"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[403004]兴国县卫生健康服务中心</w:t>
            </w:r>
          </w:p>
        </w:tc>
        <w:tc>
          <w:tcPr>
            <w:tcW w:w="936"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3096" w:type="dxa"/>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216"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58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43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153.60</w:t>
            </w: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279.31</w:t>
            </w: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4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279.31</w:t>
            </w:r>
          </w:p>
        </w:tc>
        <w:tc>
          <w:tcPr>
            <w:tcW w:w="3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279.31</w:t>
            </w:r>
          </w:p>
        </w:tc>
      </w:tr>
    </w:tbl>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docGrid w:type="lines" w:linePitch="322" w:charSpace="0"/>
        </w:sectPr>
      </w:pPr>
    </w:p>
    <w:p>
      <w:pPr>
        <w:pStyle w:val="2"/>
        <w:numPr>
          <w:ilvl w:val="0"/>
          <w:numId w:val="1"/>
        </w:numPr>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5"/>
        <w:tblW w:w="521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01"/>
        <w:gridCol w:w="2844"/>
        <w:gridCol w:w="855"/>
        <w:gridCol w:w="735"/>
        <w:gridCol w:w="945"/>
        <w:gridCol w:w="1320"/>
        <w:gridCol w:w="1155"/>
        <w:gridCol w:w="1050"/>
        <w:gridCol w:w="885"/>
        <w:gridCol w:w="780"/>
        <w:gridCol w:w="870"/>
        <w:gridCol w:w="885"/>
        <w:gridCol w:w="720"/>
        <w:gridCol w:w="840"/>
        <w:gridCol w:w="8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jc w:val="center"/>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1822" w:type="pct"/>
            <w:gridSpan w:val="4"/>
            <w:tcBorders>
              <w:top w:val="nil"/>
              <w:left w:val="nil"/>
              <w:bottom w:val="nil"/>
              <w:right w:val="nil"/>
            </w:tcBorders>
            <w:shd w:val="clear" w:color="auto" w:fill="auto"/>
            <w:noWrap/>
            <w:vAlign w:val="center"/>
          </w:tcPr>
          <w:p>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[403004]兴国县卫生健康服务中心</w:t>
            </w:r>
          </w:p>
        </w:tc>
        <w:tc>
          <w:tcPr>
            <w:tcW w:w="29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40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5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2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6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532"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jc w:val="center"/>
        </w:trPr>
        <w:tc>
          <w:tcPr>
            <w:tcW w:w="4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87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262"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37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7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3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事业收入</w:t>
            </w:r>
          </w:p>
        </w:tc>
        <w:tc>
          <w:tcPr>
            <w:tcW w:w="26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7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2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5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1" w:hRule="atLeast"/>
          <w:jc w:val="center"/>
        </w:trPr>
        <w:tc>
          <w:tcPr>
            <w:tcW w:w="4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2"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3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7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46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7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6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2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9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40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2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7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3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6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7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5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7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279.31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153.60</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20.25</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20.25</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20.25</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2089999</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1"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78.84</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78.84</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78.84</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2100407</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其他专业公共卫生机构</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169.60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153.60</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169.60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153.60</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2299999</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169.60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153.60</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eastAsia"/>
          <w:lang w:val="en-US" w:eastAsia="zh-CN"/>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074"/>
        <w:gridCol w:w="982"/>
        <w:gridCol w:w="3014"/>
        <w:gridCol w:w="841"/>
        <w:gridCol w:w="578"/>
        <w:gridCol w:w="995"/>
        <w:gridCol w:w="11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845"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[403004]兴国县卫生健康服务中心</w:t>
            </w:r>
          </w:p>
        </w:tc>
        <w:tc>
          <w:tcPr>
            <w:tcW w:w="1754" w:type="pct"/>
            <w:gridSpan w:val="2"/>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6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60"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3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664" w:type="pct"/>
            <w:gridSpan w:val="2"/>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65"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5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664" w:type="pct"/>
            <w:gridSpan w:val="2"/>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5"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43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70" w:type="pct"/>
            <w:gridSpan w:val="2"/>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64" w:type="pct"/>
            <w:gridSpan w:val="2"/>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6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279.31</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129.31</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20.25</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20.25</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2089999</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78.84</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78.84</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2100407</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其他专业公共卫生机构</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169.60</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169.60</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2299999</w:t>
            </w: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169.60</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19.60</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4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8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bl>
    <w:p>
      <w:pPr>
        <w:pStyle w:val="2"/>
        <w:numPr>
          <w:ilvl w:val="0"/>
          <w:numId w:val="0"/>
        </w:numPr>
        <w:ind w:leftChars="0"/>
        <w:rPr>
          <w:rFonts w:hint="eastAsi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sectPr>
          <w:pgSz w:w="11906" w:h="16838"/>
          <w:pgMar w:top="720" w:right="720" w:bottom="720" w:left="720" w:header="851" w:footer="992" w:gutter="0"/>
          <w:pgNumType w:fmt="decimal"/>
          <w:cols w:space="0" w:num="1"/>
          <w:docGrid w:type="lines" w:linePitch="322" w:charSpace="0"/>
        </w:sect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tbl>
      <w:tblPr>
        <w:tblStyle w:val="5"/>
        <w:tblW w:w="499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52"/>
        <w:gridCol w:w="891"/>
        <w:gridCol w:w="1952"/>
        <w:gridCol w:w="891"/>
        <w:gridCol w:w="1502"/>
        <w:gridCol w:w="1667"/>
        <w:gridCol w:w="18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2244"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[403004]兴国县卫生健康服务中心</w:t>
            </w:r>
          </w:p>
        </w:tc>
        <w:tc>
          <w:tcPr>
            <w:tcW w:w="41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0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80"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854"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133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669"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91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1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0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78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20.25</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20.25</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78.84</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78.84</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9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sectPr>
          <w:pgSz w:w="11906" w:h="16838"/>
          <w:pgMar w:top="720" w:right="720" w:bottom="720" w:left="720" w:header="851" w:footer="992" w:gutter="0"/>
          <w:pgNumType w:fmt="decimal"/>
          <w:cols w:space="0" w:num="1"/>
          <w:docGrid w:type="lines" w:linePitch="322" w:charSpace="0"/>
        </w:sect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tbl>
      <w:tblPr>
        <w:tblStyle w:val="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058"/>
        <w:gridCol w:w="359"/>
        <w:gridCol w:w="3639"/>
        <w:gridCol w:w="425"/>
        <w:gridCol w:w="853"/>
        <w:gridCol w:w="1066"/>
        <w:gridCol w:w="12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599"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[403004]兴国县卫生健康服务中心</w:t>
            </w:r>
          </w:p>
        </w:tc>
        <w:tc>
          <w:tcPr>
            <w:tcW w:w="1902" w:type="pct"/>
            <w:gridSpan w:val="2"/>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9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9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330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697"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43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71" w:type="pct"/>
            <w:gridSpan w:val="2"/>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97" w:type="pct"/>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9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0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20.25</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2089999</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78.84</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78.84</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2100407</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其他专业公共卫生机构</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70.91</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其他支出</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1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2299999</w:t>
            </w:r>
          </w:p>
        </w:tc>
        <w:tc>
          <w:tcPr>
            <w:tcW w:w="18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其他支出</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footerReference r:id="rId5" w:type="default"/>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96"/>
        <w:gridCol w:w="3296"/>
        <w:gridCol w:w="1881"/>
        <w:gridCol w:w="1298"/>
        <w:gridCol w:w="15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04"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[403004]兴国县卫生健康服务中心</w:t>
            </w:r>
          </w:p>
        </w:tc>
        <w:tc>
          <w:tcPr>
            <w:tcW w:w="8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0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0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80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19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42"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4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125.71</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118.22</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116.66</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37.31</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37.31</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18.54</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18.54</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30103</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奖金</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30106</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伙食补助费</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30107</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绩效工资</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12.58</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30112</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其他社会保障缴费</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7.67</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30113</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商品和服务支出</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4.79</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30201</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办公费</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30217</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公务接待费</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30229</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福利费</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0.29</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对个人和家庭的补助</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30305</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生活补助</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30309</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奖励金</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0.48</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0.48</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资本性支出</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31002</w:t>
            </w:r>
          </w:p>
        </w:tc>
        <w:tc>
          <w:tcPr>
            <w:tcW w:w="1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办公设备购置</w:t>
            </w:r>
          </w:p>
        </w:tc>
        <w:tc>
          <w:tcPr>
            <w:tcW w:w="8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r>
    </w:tbl>
    <w:p>
      <w:pPr>
        <w:pStyle w:val="2"/>
        <w:rPr>
          <w:rFonts w:hint="eastAsia" w:eastAsia="仿宋"/>
          <w:color w:val="auto"/>
          <w:lang w:eastAsia="zh-CN"/>
        </w:rPr>
        <w:sectPr>
          <w:footerReference r:id="rId6" w:type="default"/>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5"/>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85"/>
        <w:gridCol w:w="2100"/>
        <w:gridCol w:w="698"/>
        <w:gridCol w:w="994"/>
        <w:gridCol w:w="1356"/>
        <w:gridCol w:w="2727"/>
        <w:gridCol w:w="13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5000" w:type="pct"/>
            <w:gridSpan w:val="7"/>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2004"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[403004]兴国县卫生健康服务中心</w:t>
            </w:r>
          </w:p>
        </w:tc>
        <w:tc>
          <w:tcPr>
            <w:tcW w:w="465"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63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27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18"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69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98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32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6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12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6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6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2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jc w:val="center"/>
        </w:trPr>
        <w:tc>
          <w:tcPr>
            <w:tcW w:w="695"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82"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26"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5"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4"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276"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18"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jc w:val="center"/>
        </w:trPr>
        <w:tc>
          <w:tcPr>
            <w:tcW w:w="695"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403004</w:t>
            </w:r>
          </w:p>
        </w:tc>
        <w:tc>
          <w:tcPr>
            <w:tcW w:w="982"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兴国县卫生健康服务中心</w:t>
            </w:r>
          </w:p>
        </w:tc>
        <w:tc>
          <w:tcPr>
            <w:tcW w:w="3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34"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eastAsia" w:eastAsia="仿宋"/>
          <w:color w:val="auto"/>
          <w:sz w:val="20"/>
          <w:szCs w:val="20"/>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6"/>
        <w:gridCol w:w="2801"/>
        <w:gridCol w:w="1843"/>
        <w:gridCol w:w="2271"/>
        <w:gridCol w:w="27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47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31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348"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1787"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[403004]兴国县卫生健康服务中心</w:t>
            </w:r>
          </w:p>
        </w:tc>
        <w:tc>
          <w:tcPr>
            <w:tcW w:w="8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06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28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78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21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pgSz w:w="11906" w:h="16838"/>
          <w:pgMar w:top="720" w:right="720" w:bottom="720" w:left="720" w:header="851" w:footer="992" w:gutter="0"/>
          <w:pgNumType w:fmt="decimal"/>
          <w:cols w:space="0" w:num="1"/>
          <w:docGrid w:type="lines" w:linePitch="322" w:charSpace="0"/>
        </w:sectPr>
      </w:pPr>
    </w:p>
    <w:p>
      <w:pPr>
        <w:pStyle w:val="2"/>
        <w:numPr>
          <w:ilvl w:val="0"/>
          <w:numId w:val="2"/>
        </w:numPr>
        <w:rPr>
          <w:rFonts w:hint="eastAsia" w:eastAsia="仿宋"/>
          <w:color w:val="auto"/>
          <w:lang w:eastAsia="zh-CN"/>
        </w:rPr>
      </w:pPr>
      <w:r>
        <w:rPr>
          <w:rFonts w:hint="eastAsia" w:eastAsia="仿宋"/>
          <w:color w:val="auto"/>
          <w:lang w:eastAsia="zh-CN"/>
        </w:rPr>
        <w:t>《国有资本经营预算支出表》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16"/>
        <w:gridCol w:w="1847"/>
        <w:gridCol w:w="1187"/>
        <w:gridCol w:w="2007"/>
        <w:gridCol w:w="24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26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33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394" w:type="pct"/>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8"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[403004]兴国县卫生健康服务中心</w:t>
            </w:r>
          </w:p>
        </w:tc>
        <w:tc>
          <w:tcPr>
            <w:tcW w:w="133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0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5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1"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60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39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tbl>
      <w:tblPr>
        <w:tblStyle w:val="5"/>
        <w:tblW w:w="100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48"/>
        <w:gridCol w:w="1861"/>
        <w:gridCol w:w="2804"/>
        <w:gridCol w:w="1483"/>
        <w:gridCol w:w="25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2" w:hRule="atLeast"/>
          <w:jc w:val="center"/>
        </w:trPr>
        <w:tc>
          <w:tcPr>
            <w:tcW w:w="1006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006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32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68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卫生健康服务中心其他资金项目库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32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主管部门及代码</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兴国县卫生健康委员会</w:t>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兴国县卫生健康服务中心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320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4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32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4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32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4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jc w:val="center"/>
        </w:trPr>
        <w:tc>
          <w:tcPr>
            <w:tcW w:w="320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40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2"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年度绩效目标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2" w:hRule="atLeast"/>
          <w:jc w:val="center"/>
        </w:trPr>
        <w:tc>
          <w:tcPr>
            <w:tcW w:w="100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0"/>
                <w:szCs w:val="20"/>
                <w:u w:val="none"/>
                <w:lang w:eastAsia="zh-CN"/>
              </w:rPr>
              <w:t>保证单位其他资金正常运行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jc w:val="center"/>
        </w:trPr>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一级指标</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二级指标</w:t>
            </w:r>
          </w:p>
        </w:tc>
        <w:tc>
          <w:tcPr>
            <w:tcW w:w="42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三级指标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jc w:val="center"/>
        </w:trPr>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成本指标</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经济成本指标</w:t>
            </w:r>
          </w:p>
        </w:tc>
        <w:tc>
          <w:tcPr>
            <w:tcW w:w="42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其他资金项目</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＝1500000元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jc w:val="center"/>
        </w:trPr>
        <w:tc>
          <w:tcPr>
            <w:tcW w:w="134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产出指标</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数量指标</w:t>
            </w:r>
          </w:p>
        </w:tc>
        <w:tc>
          <w:tcPr>
            <w:tcW w:w="42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资金正确使用率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lang w:val="en-US" w:eastAsia="zh-CN"/>
              </w:rPr>
            </w:pPr>
            <w:r>
              <w:rPr>
                <w:rFonts w:hint="eastAsia" w:ascii="宋体" w:hAnsi="宋体" w:eastAsia="宋体" w:cs="宋体"/>
                <w:b w:val="0"/>
                <w:bCs w:val="0"/>
                <w:i w:val="0"/>
                <w:iCs w:val="0"/>
                <w:color w:val="000000"/>
                <w:kern w:val="0"/>
                <w:sz w:val="20"/>
                <w:szCs w:val="20"/>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jc w:val="center"/>
        </w:trPr>
        <w:tc>
          <w:tcPr>
            <w:tcW w:w="1348"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lang w:val="en-US" w:eastAsia="zh-CN"/>
              </w:rPr>
            </w:pPr>
            <w:r>
              <w:rPr>
                <w:rFonts w:hint="eastAsia" w:ascii="宋体" w:hAnsi="宋体" w:eastAsia="宋体" w:cs="宋体"/>
                <w:b w:val="0"/>
                <w:bCs w:val="0"/>
                <w:i w:val="0"/>
                <w:iCs w:val="0"/>
                <w:color w:val="000000"/>
                <w:kern w:val="0"/>
                <w:sz w:val="20"/>
                <w:szCs w:val="20"/>
                <w:u w:val="none"/>
                <w:lang w:val="en-US" w:eastAsia="zh-CN" w:bidi="ar"/>
              </w:rPr>
              <w:t>质量指标</w:t>
            </w:r>
          </w:p>
        </w:tc>
        <w:tc>
          <w:tcPr>
            <w:tcW w:w="42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保证单位正常运行</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jc w:val="center"/>
        </w:trPr>
        <w:tc>
          <w:tcPr>
            <w:tcW w:w="1348"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时效指标</w:t>
            </w:r>
          </w:p>
        </w:tc>
        <w:tc>
          <w:tcPr>
            <w:tcW w:w="42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日常使用</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jc w:val="center"/>
        </w:trPr>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lang w:val="en-US" w:eastAsia="zh-CN"/>
              </w:rPr>
            </w:pPr>
            <w:r>
              <w:rPr>
                <w:rFonts w:hint="eastAsia" w:ascii="宋体" w:hAnsi="宋体" w:eastAsia="宋体" w:cs="宋体"/>
                <w:b w:val="0"/>
                <w:bCs w:val="0"/>
                <w:i w:val="0"/>
                <w:iCs w:val="0"/>
                <w:color w:val="000000"/>
                <w:kern w:val="0"/>
                <w:sz w:val="20"/>
                <w:szCs w:val="20"/>
                <w:u w:val="none"/>
                <w:lang w:val="en-US" w:eastAsia="zh-CN" w:bidi="ar"/>
              </w:rPr>
              <w:t>效益指标</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经济效益指标</w:t>
            </w:r>
          </w:p>
        </w:tc>
        <w:tc>
          <w:tcPr>
            <w:tcW w:w="42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其它资金使用率</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2" w:hRule="atLeast"/>
          <w:jc w:val="center"/>
        </w:trPr>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满意度指标</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服务对象满意度</w:t>
            </w:r>
          </w:p>
        </w:tc>
        <w:tc>
          <w:tcPr>
            <w:tcW w:w="42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满意度</w:t>
            </w:r>
          </w:p>
        </w:tc>
        <w:tc>
          <w:tcPr>
            <w:tcW w:w="2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≥98%</w:t>
            </w:r>
          </w:p>
        </w:tc>
      </w:tr>
    </w:tbl>
    <w:p>
      <w:pPr>
        <w:pStyle w:val="2"/>
        <w:numPr>
          <w:ilvl w:val="0"/>
          <w:numId w:val="0"/>
        </w:numPr>
        <w:ind w:leftChars="0"/>
        <w:rPr>
          <w:color w:val="auto"/>
        </w:rPr>
      </w:pPr>
    </w:p>
    <w:p>
      <w:pPr>
        <w:pStyle w:val="2"/>
        <w:numPr>
          <w:ilvl w:val="0"/>
          <w:numId w:val="0"/>
        </w:numPr>
        <w:ind w:leftChars="0"/>
        <w:rPr>
          <w:color w:val="auto"/>
        </w:rPr>
        <w:sectPr>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rPr>
        <w:t>一、收入科目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13D05D7-3AF3-472E-B6FA-D93E114CD6D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84FABBF-1737-46EB-9A60-0D004FF7725D}"/>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9B3C210D-ACCF-406A-8362-5D6E28989EB1}"/>
  </w:font>
  <w:font w:name="仿宋">
    <w:panose1 w:val="02010609060101010101"/>
    <w:charset w:val="86"/>
    <w:family w:val="auto"/>
    <w:pitch w:val="default"/>
    <w:sig w:usb0="800002BF" w:usb1="38CF7CFA" w:usb2="00000016" w:usb3="00000000" w:csb0="00040001" w:csb1="00000000"/>
    <w:embedRegular r:id="rId4" w:fontKey="{07B61BB4-E1E5-42D4-89B2-4A35A3DB48C4}"/>
  </w:font>
  <w:font w:name="楷体">
    <w:panose1 w:val="02010609060101010101"/>
    <w:charset w:val="86"/>
    <w:family w:val="auto"/>
    <w:pitch w:val="default"/>
    <w:sig w:usb0="800002BF" w:usb1="38CF7CFA" w:usb2="00000016" w:usb3="00000000" w:csb0="00040001" w:csb1="00000000"/>
    <w:embedRegular r:id="rId5" w:fontKey="{BCC5090A-8B22-4E89-A8E3-DE80A9FC2F4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8</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Xu0wzwEAAKcDAAAOAAAAAAAAAAEAIAAAAB4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13</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ED076D9D"/>
    <w:multiLevelType w:val="singleLevel"/>
    <w:tmpl w:val="ED076D9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0092509"/>
    <w:rsid w:val="02EE59E6"/>
    <w:rsid w:val="03420238"/>
    <w:rsid w:val="03936CB9"/>
    <w:rsid w:val="03C230FA"/>
    <w:rsid w:val="04664AEF"/>
    <w:rsid w:val="04EE7A30"/>
    <w:rsid w:val="05A84572"/>
    <w:rsid w:val="061834A6"/>
    <w:rsid w:val="07061550"/>
    <w:rsid w:val="085602B5"/>
    <w:rsid w:val="08CA34D3"/>
    <w:rsid w:val="092C4D0B"/>
    <w:rsid w:val="0AD33D99"/>
    <w:rsid w:val="0ADD6A3D"/>
    <w:rsid w:val="0B065FC2"/>
    <w:rsid w:val="0CB657C6"/>
    <w:rsid w:val="0DD70E5E"/>
    <w:rsid w:val="0E0D7668"/>
    <w:rsid w:val="0E715E49"/>
    <w:rsid w:val="0F4D0AAA"/>
    <w:rsid w:val="0F6F1C49"/>
    <w:rsid w:val="0F7B4AA5"/>
    <w:rsid w:val="0FC63F72"/>
    <w:rsid w:val="0FD61CDB"/>
    <w:rsid w:val="100C052A"/>
    <w:rsid w:val="10AB3168"/>
    <w:rsid w:val="11D31F29"/>
    <w:rsid w:val="13B16CE7"/>
    <w:rsid w:val="13C24A51"/>
    <w:rsid w:val="150775E9"/>
    <w:rsid w:val="157E7936"/>
    <w:rsid w:val="19CF11C0"/>
    <w:rsid w:val="1B291859"/>
    <w:rsid w:val="1BD15007"/>
    <w:rsid w:val="1C2A5889"/>
    <w:rsid w:val="1ECB5101"/>
    <w:rsid w:val="1ED16490"/>
    <w:rsid w:val="1F901EA7"/>
    <w:rsid w:val="1FA31F22"/>
    <w:rsid w:val="21366A7E"/>
    <w:rsid w:val="21BA76AF"/>
    <w:rsid w:val="22D87DED"/>
    <w:rsid w:val="23007343"/>
    <w:rsid w:val="23567302"/>
    <w:rsid w:val="252A5D24"/>
    <w:rsid w:val="261A49D8"/>
    <w:rsid w:val="26C32B62"/>
    <w:rsid w:val="272555CB"/>
    <w:rsid w:val="28333D17"/>
    <w:rsid w:val="2A43777E"/>
    <w:rsid w:val="2A975F2C"/>
    <w:rsid w:val="2AA44A58"/>
    <w:rsid w:val="2C1F6A8C"/>
    <w:rsid w:val="2D60110A"/>
    <w:rsid w:val="30CF4099"/>
    <w:rsid w:val="313D504B"/>
    <w:rsid w:val="326D79FF"/>
    <w:rsid w:val="32C65EB4"/>
    <w:rsid w:val="370F790F"/>
    <w:rsid w:val="38415FDC"/>
    <w:rsid w:val="39770A30"/>
    <w:rsid w:val="3A4013F4"/>
    <w:rsid w:val="3A5320BE"/>
    <w:rsid w:val="3A68113E"/>
    <w:rsid w:val="3A712BA9"/>
    <w:rsid w:val="3B2F1913"/>
    <w:rsid w:val="3C5C33E5"/>
    <w:rsid w:val="3F171845"/>
    <w:rsid w:val="3F450160"/>
    <w:rsid w:val="3F5F2902"/>
    <w:rsid w:val="3FDB75D6"/>
    <w:rsid w:val="3FFE2FA6"/>
    <w:rsid w:val="41540E79"/>
    <w:rsid w:val="420460B1"/>
    <w:rsid w:val="43BB30E7"/>
    <w:rsid w:val="445E02C8"/>
    <w:rsid w:val="44C13ED9"/>
    <w:rsid w:val="459F674C"/>
    <w:rsid w:val="485F6737"/>
    <w:rsid w:val="4A161077"/>
    <w:rsid w:val="4A77763C"/>
    <w:rsid w:val="4D3679D0"/>
    <w:rsid w:val="4E870795"/>
    <w:rsid w:val="4FE35B43"/>
    <w:rsid w:val="53932938"/>
    <w:rsid w:val="54A24A18"/>
    <w:rsid w:val="55572544"/>
    <w:rsid w:val="57AC301B"/>
    <w:rsid w:val="58B57CAD"/>
    <w:rsid w:val="5B2A20C8"/>
    <w:rsid w:val="5B653F38"/>
    <w:rsid w:val="5CFC7735"/>
    <w:rsid w:val="5D5F28DD"/>
    <w:rsid w:val="5E59557E"/>
    <w:rsid w:val="5F577D10"/>
    <w:rsid w:val="5FEF7F48"/>
    <w:rsid w:val="60141868"/>
    <w:rsid w:val="601E25DC"/>
    <w:rsid w:val="60B42F40"/>
    <w:rsid w:val="65031DA0"/>
    <w:rsid w:val="657B5DDA"/>
    <w:rsid w:val="65E81919"/>
    <w:rsid w:val="66C537B1"/>
    <w:rsid w:val="66FA76C2"/>
    <w:rsid w:val="67724674"/>
    <w:rsid w:val="67BF46A4"/>
    <w:rsid w:val="68CF6B69"/>
    <w:rsid w:val="69E1398B"/>
    <w:rsid w:val="6B122D3D"/>
    <w:rsid w:val="6B8D6867"/>
    <w:rsid w:val="6CB0280D"/>
    <w:rsid w:val="6E8421A4"/>
    <w:rsid w:val="6EAB7730"/>
    <w:rsid w:val="6EE61403"/>
    <w:rsid w:val="71724DA6"/>
    <w:rsid w:val="71AA0173"/>
    <w:rsid w:val="73EA270D"/>
    <w:rsid w:val="76C2648A"/>
    <w:rsid w:val="76DF266D"/>
    <w:rsid w:val="785E3A65"/>
    <w:rsid w:val="795310F0"/>
    <w:rsid w:val="7CA26617"/>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4807</Words>
  <Characters>6196</Characters>
  <Lines>0</Lines>
  <Paragraphs>0</Paragraphs>
  <TotalTime>7</TotalTime>
  <ScaleCrop>false</ScaleCrop>
  <LinksUpToDate>false</LinksUpToDate>
  <CharactersWithSpaces>6488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荣@</cp:lastModifiedBy>
  <dcterms:modified xsi:type="dcterms:W3CDTF">2024-06-03T07:38:42Z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0A84A567192E4265B8F235DC0F627EC8_13</vt:lpwstr>
  </property>
</Properties>
</file>