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兴国县崇贤乡卫生院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崇贤乡卫生院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崇贤乡卫生院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崇贤乡卫生院</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崇贤乡卫生院</w:t>
      </w:r>
      <w:r>
        <w:rPr>
          <w:rFonts w:hint="eastAsia" w:ascii="仿宋" w:hAnsi="仿宋" w:eastAsia="仿宋" w:cs="仿宋"/>
          <w:b/>
          <w:bCs/>
          <w:color w:val="auto"/>
          <w:sz w:val="32"/>
          <w:szCs w:val="32"/>
        </w:rPr>
        <w:t>单位预算表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崇贤乡卫生院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崇贤</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bookmarkStart w:id="0" w:name="_GoBack"/>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崇贤乡卫生院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eastAsia="zh-CN"/>
        </w:rPr>
        <w:t>办公室、</w:t>
      </w:r>
      <w:r>
        <w:rPr>
          <w:rFonts w:hint="eastAsia" w:ascii="仿宋" w:hAnsi="仿宋" w:eastAsia="仿宋" w:cs="仿宋"/>
          <w:sz w:val="32"/>
          <w:szCs w:val="32"/>
          <w:lang w:val="en-US" w:eastAsia="zh-CN"/>
        </w:rPr>
        <w:t>内外科、儿科、妇产科、B超室、CT室、收费室、护理组、中医馆、财务室、公卫科。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32</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人,部</w:t>
      </w:r>
      <w:r>
        <w:rPr>
          <w:rFonts w:hint="eastAsia" w:ascii="仿宋" w:hAnsi="仿宋" w:eastAsia="仿宋" w:cs="仿宋"/>
          <w:sz w:val="32"/>
          <w:szCs w:val="32"/>
          <w:lang w:val="en-US" w:eastAsia="zh-CN"/>
        </w:rPr>
        <w:t>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32</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人,部</w:t>
      </w:r>
      <w:r>
        <w:rPr>
          <w:rFonts w:hint="eastAsia" w:ascii="仿宋" w:hAnsi="仿宋" w:eastAsia="仿宋" w:cs="仿宋"/>
          <w:sz w:val="32"/>
          <w:szCs w:val="32"/>
          <w:lang w:val="en-US" w:eastAsia="zh-CN"/>
        </w:rPr>
        <w:t>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31</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6</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1</w:t>
      </w:r>
      <w:r>
        <w:rPr>
          <w:rFonts w:hint="eastAsia" w:ascii="仿宋" w:hAnsi="仿宋" w:eastAsia="仿宋" w:cs="仿宋"/>
          <w:sz w:val="32"/>
          <w:szCs w:val="32"/>
        </w:rPr>
        <w:t>人。</w:t>
      </w:r>
      <w:r>
        <w:rPr>
          <w:rFonts w:hint="eastAsia" w:ascii="仿宋" w:hAnsi="仿宋" w:eastAsia="仿宋" w:cs="仿宋"/>
          <w:sz w:val="32"/>
          <w:szCs w:val="32"/>
        </w:rPr>
        <w:fldChar w:fldCharType="end"/>
      </w:r>
    </w:p>
    <w:p>
      <w:pPr>
        <w:spacing w:line="560" w:lineRule="exact"/>
        <w:rPr>
          <w:rFonts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崇贤乡卫生院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兴国县崇贤乡</w:t>
      </w:r>
      <w:r>
        <w:rPr>
          <w:rFonts w:hint="eastAsia" w:ascii="仿宋" w:hAnsi="仿宋" w:eastAsia="仿宋" w:cs="仿宋"/>
          <w:sz w:val="32"/>
          <w:szCs w:val="32"/>
          <w:lang w:eastAsia="zh-CN"/>
        </w:rPr>
        <w:t>卫生院收入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rPr>
        <w:t>1434.70万元，较上年预算安排增</w:t>
      </w:r>
      <w:r>
        <w:rPr>
          <w:rFonts w:hint="eastAsia" w:ascii="仿宋" w:hAnsi="仿宋" w:eastAsia="仿宋" w:cs="仿宋"/>
          <w:sz w:val="32"/>
          <w:szCs w:val="32"/>
          <w:lang w:val="en-US" w:eastAsia="zh-CN"/>
        </w:rPr>
        <w:t>加254.06</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长17.70%</w:t>
      </w:r>
      <w:r>
        <w:rPr>
          <w:rFonts w:hint="eastAsia" w:ascii="仿宋" w:hAnsi="仿宋" w:eastAsia="仿宋" w:cs="仿宋"/>
          <w:sz w:val="32"/>
          <w:szCs w:val="32"/>
        </w:rPr>
        <w:t>。</w:t>
      </w:r>
      <w:r>
        <w:rPr>
          <w:rFonts w:hint="eastAsia" w:ascii="仿宋" w:hAnsi="仿宋" w:eastAsia="仿宋" w:cs="仿宋"/>
          <w:sz w:val="32"/>
          <w:szCs w:val="32"/>
          <w:lang w:eastAsia="zh-CN"/>
        </w:rPr>
        <w:t>增加变化主要原因是：</w:t>
      </w:r>
      <w:r>
        <w:rPr>
          <w:rFonts w:hint="eastAsia" w:ascii="仿宋" w:hAnsi="仿宋" w:eastAsia="仿宋" w:cs="仿宋"/>
          <w:sz w:val="32"/>
          <w:szCs w:val="32"/>
          <w:lang w:val="en-US" w:eastAsia="zh-CN"/>
        </w:rPr>
        <w:t>增加了医疗业务收入</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其中</w:t>
      </w:r>
      <w:r>
        <w:rPr>
          <w:rFonts w:hint="eastAsia" w:ascii="仿宋" w:hAnsi="仿宋" w:eastAsia="仿宋" w:cs="仿宋"/>
          <w:sz w:val="32"/>
          <w:szCs w:val="32"/>
        </w:rPr>
        <w:t>：</w:t>
      </w:r>
      <w:r>
        <w:rPr>
          <w:rFonts w:hint="eastAsia" w:ascii="仿宋" w:hAnsi="仿宋" w:eastAsia="仿宋" w:cs="仿宋"/>
          <w:sz w:val="32"/>
          <w:szCs w:val="32"/>
          <w:lang w:val="en-US" w:eastAsia="zh-CN"/>
        </w:rPr>
        <w:t>财政拨款收入220.07</w:t>
      </w:r>
      <w:r>
        <w:rPr>
          <w:rFonts w:hint="eastAsia" w:ascii="仿宋" w:hAnsi="仿宋" w:eastAsia="仿宋" w:cs="仿宋"/>
          <w:sz w:val="32"/>
          <w:szCs w:val="32"/>
        </w:rPr>
        <w:t>万元</w:t>
      </w:r>
      <w:r>
        <w:rPr>
          <w:rFonts w:hint="eastAsia" w:ascii="仿宋" w:hAnsi="仿宋" w:eastAsia="仿宋" w:cs="仿宋"/>
          <w:sz w:val="32"/>
          <w:szCs w:val="32"/>
          <w:lang w:eastAsia="zh-CN"/>
        </w:rPr>
        <w:t>，较上年预算安排增</w:t>
      </w:r>
      <w:r>
        <w:rPr>
          <w:rFonts w:hint="eastAsia" w:ascii="仿宋" w:hAnsi="仿宋" w:eastAsia="仿宋" w:cs="仿宋"/>
          <w:sz w:val="32"/>
          <w:szCs w:val="32"/>
          <w:lang w:val="en-US" w:eastAsia="zh-CN"/>
        </w:rPr>
        <w:t>加34.65万元；</w:t>
      </w:r>
      <w:r>
        <w:rPr>
          <w:rFonts w:hint="eastAsia" w:ascii="仿宋" w:hAnsi="仿宋" w:eastAsia="仿宋" w:cs="仿宋"/>
          <w:sz w:val="32"/>
          <w:szCs w:val="32"/>
          <w:lang w:eastAsia="zh-CN"/>
        </w:rPr>
        <w:t>政府性基金预算</w:t>
      </w:r>
      <w:r>
        <w:rPr>
          <w:rFonts w:hint="eastAsia" w:ascii="仿宋" w:hAnsi="仿宋" w:eastAsia="仿宋" w:cs="仿宋"/>
          <w:sz w:val="32"/>
          <w:szCs w:val="32"/>
        </w:rPr>
        <w:t>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万元;教育收费资金收</w:t>
      </w:r>
      <w:r>
        <w:rPr>
          <w:rFonts w:hint="eastAsia" w:ascii="仿宋" w:hAnsi="仿宋" w:eastAsia="仿宋" w:cs="仿宋"/>
          <w:sz w:val="32"/>
          <w:szCs w:val="32"/>
          <w:lang w:eastAsia="zh-CN"/>
        </w:rPr>
        <w:t>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w:t>
      </w:r>
      <w:r>
        <w:rPr>
          <w:rFonts w:hint="eastAsia" w:ascii="仿宋" w:hAnsi="仿宋" w:eastAsia="仿宋" w:cs="仿宋"/>
          <w:sz w:val="32"/>
          <w:szCs w:val="32"/>
          <w:lang w:eastAsia="zh-CN"/>
        </w:rPr>
        <w:t>上</w:t>
      </w:r>
      <w:r>
        <w:rPr>
          <w:rFonts w:hint="eastAsia" w:ascii="仿宋" w:hAnsi="仿宋" w:eastAsia="仿宋" w:cs="仿宋"/>
          <w:sz w:val="32"/>
          <w:szCs w:val="32"/>
        </w:rPr>
        <w:t>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事业收入1214.63</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加219.41万元</w:t>
      </w:r>
      <w:r>
        <w:rPr>
          <w:rFonts w:hint="eastAsia" w:ascii="仿宋" w:hAnsi="仿宋" w:eastAsia="仿宋" w:cs="仿宋"/>
          <w:sz w:val="32"/>
          <w:szCs w:val="32"/>
          <w:lang w:eastAsia="zh-CN"/>
        </w:rPr>
        <w:t>；上级补助</w:t>
      </w:r>
      <w:r>
        <w:rPr>
          <w:rFonts w:hint="eastAsia" w:ascii="仿宋" w:hAnsi="仿宋" w:eastAsia="仿宋" w:cs="仿宋"/>
          <w:sz w:val="32"/>
          <w:szCs w:val="32"/>
        </w:rPr>
        <w:t>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崇贤乡</w:t>
      </w:r>
      <w:r>
        <w:rPr>
          <w:rFonts w:hint="eastAsia" w:ascii="仿宋" w:hAnsi="仿宋" w:eastAsia="仿宋" w:cs="仿宋"/>
          <w:sz w:val="32"/>
          <w:szCs w:val="32"/>
          <w:lang w:eastAsia="zh-CN"/>
        </w:rPr>
        <w:t>卫生院支</w:t>
      </w:r>
      <w:r>
        <w:rPr>
          <w:rFonts w:hint="eastAsia" w:ascii="仿宋" w:hAnsi="仿宋" w:eastAsia="仿宋" w:cs="仿宋"/>
          <w:sz w:val="32"/>
          <w:szCs w:val="32"/>
        </w:rPr>
        <w:t>出预算总额为</w:t>
      </w:r>
      <w:r>
        <w:rPr>
          <w:rFonts w:hint="eastAsia" w:ascii="仿宋" w:hAnsi="仿宋" w:eastAsia="仿宋" w:cs="仿宋"/>
          <w:sz w:val="32"/>
          <w:szCs w:val="32"/>
          <w:lang w:eastAsia="zh-CN"/>
        </w:rPr>
        <w:t>1434.70</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加254.06</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eastAsia="zh-CN"/>
        </w:rPr>
        <w:t>加</w:t>
      </w:r>
      <w:r>
        <w:rPr>
          <w:rFonts w:hint="eastAsia" w:ascii="仿宋" w:hAnsi="仿宋" w:eastAsia="仿宋" w:cs="仿宋"/>
          <w:sz w:val="32"/>
          <w:szCs w:val="32"/>
          <w:lang w:val="en-US" w:eastAsia="zh-CN"/>
        </w:rPr>
        <w:t>17.70%</w:t>
      </w:r>
      <w:r>
        <w:rPr>
          <w:rFonts w:hint="eastAsia" w:ascii="仿宋" w:hAnsi="仿宋" w:eastAsia="仿宋" w:cs="仿宋"/>
          <w:sz w:val="32"/>
          <w:szCs w:val="32"/>
        </w:rPr>
        <w:t>。</w:t>
      </w:r>
      <w:r>
        <w:rPr>
          <w:rFonts w:hint="eastAsia" w:ascii="仿宋" w:hAnsi="仿宋" w:eastAsia="仿宋" w:cs="仿宋"/>
          <w:sz w:val="32"/>
          <w:szCs w:val="32"/>
          <w:lang w:eastAsia="zh-CN"/>
        </w:rPr>
        <w:t>增加变化主要原因是：</w:t>
      </w:r>
      <w:r>
        <w:rPr>
          <w:rFonts w:hint="eastAsia" w:ascii="仿宋" w:hAnsi="仿宋" w:eastAsia="仿宋" w:cs="仿宋"/>
          <w:sz w:val="32"/>
          <w:szCs w:val="32"/>
          <w:lang w:val="en-US" w:eastAsia="zh-CN"/>
        </w:rPr>
        <w:t>人员工资及药品费增加</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1434.70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加254.06</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611.97</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商品和服务支出471.15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对个人和家庭的补助 0.91</w:t>
      </w:r>
      <w:r>
        <w:rPr>
          <w:rFonts w:hint="eastAsia" w:ascii="仿宋" w:hAnsi="仿宋" w:eastAsia="仿宋" w:cs="仿宋"/>
          <w:sz w:val="32"/>
          <w:szCs w:val="32"/>
        </w:rPr>
        <w:t>万元</w:t>
      </w:r>
      <w:r>
        <w:rPr>
          <w:rFonts w:hint="eastAsia" w:ascii="仿宋" w:hAnsi="仿宋" w:eastAsia="仿宋" w:cs="仿宋"/>
          <w:sz w:val="32"/>
          <w:szCs w:val="32"/>
          <w:lang w:val="en-US" w:eastAsia="zh-CN"/>
        </w:rPr>
        <w:t>，资本性支出350.67</w:t>
      </w:r>
      <w:r>
        <w:rPr>
          <w:rFonts w:hint="eastAsia" w:ascii="仿宋" w:hAnsi="仿宋" w:eastAsia="仿宋" w:cs="仿宋"/>
          <w:sz w:val="32"/>
          <w:szCs w:val="32"/>
        </w:rPr>
        <w:t>万元</w:t>
      </w:r>
      <w:r>
        <w:rPr>
          <w:rFonts w:hint="eastAsia" w:ascii="仿宋" w:hAnsi="仿宋" w:eastAsia="仿宋" w:cs="仿宋"/>
          <w:sz w:val="32"/>
          <w:szCs w:val="32"/>
          <w:lang w:eastAsia="zh-CN"/>
        </w:rPr>
        <w:t>；项目支出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其他相关支出</w:t>
      </w:r>
      <w:r>
        <w:rPr>
          <w:rFonts w:hint="eastAsia" w:ascii="仿宋" w:hAnsi="仿宋" w:eastAsia="仿宋" w:cs="仿宋"/>
          <w:sz w:val="32"/>
          <w:szCs w:val="32"/>
          <w:lang w:val="en-US" w:eastAsia="zh-CN"/>
        </w:rPr>
        <w:t>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34.42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4.70</w:t>
      </w:r>
      <w:r>
        <w:rPr>
          <w:rFonts w:hint="eastAsia" w:ascii="仿宋" w:hAnsi="仿宋" w:eastAsia="仿宋" w:cs="仿宋"/>
          <w:sz w:val="32"/>
          <w:szCs w:val="32"/>
          <w:lang w:eastAsia="zh-CN"/>
        </w:rPr>
        <w:t>万元，</w:t>
      </w:r>
      <w:r>
        <w:rPr>
          <w:rFonts w:hint="eastAsia" w:ascii="仿宋" w:hAnsi="仿宋" w:eastAsia="仿宋" w:cs="仿宋"/>
          <w:sz w:val="32"/>
          <w:szCs w:val="32"/>
        </w:rPr>
        <w:t>卫生健康</w:t>
      </w:r>
      <w:r>
        <w:rPr>
          <w:rFonts w:hint="eastAsia" w:ascii="仿宋" w:hAnsi="仿宋" w:eastAsia="仿宋" w:cs="仿宋"/>
          <w:sz w:val="32"/>
          <w:szCs w:val="32"/>
          <w:lang w:eastAsia="zh-CN"/>
        </w:rPr>
        <w:t>支出</w:t>
      </w:r>
      <w:r>
        <w:rPr>
          <w:rFonts w:hint="eastAsia" w:ascii="仿宋" w:hAnsi="仿宋" w:eastAsia="仿宋" w:cs="仿宋"/>
          <w:sz w:val="32"/>
          <w:szCs w:val="32"/>
          <w:lang w:val="en-US" w:eastAsia="zh-CN"/>
        </w:rPr>
        <w:t>1400.28</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加275.81</w:t>
      </w:r>
      <w:r>
        <w:rPr>
          <w:rFonts w:hint="eastAsia" w:ascii="仿宋" w:hAnsi="仿宋" w:eastAsia="仿宋" w:cs="仿宋"/>
          <w:sz w:val="32"/>
          <w:szCs w:val="32"/>
          <w:lang w:eastAsia="zh-CN"/>
        </w:rPr>
        <w:t>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17.05万元；</w:t>
      </w:r>
      <w:r>
        <w:rPr>
          <w:rFonts w:hint="eastAsia" w:ascii="仿宋" w:hAnsi="仿宋" w:eastAsia="仿宋" w:cs="仿宋"/>
          <w:sz w:val="32"/>
          <w:szCs w:val="32"/>
        </w:rPr>
        <w:t>其他支出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2023年本单位财政拨款（补助）支出预算220.07万元，占本年支出预算额的15.33%，较上年预算安排增加34.65万元，增加15.70%。增加变化主要原因是：人员工资增长。具体为：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按支出项目类别及经济分类科目划分</w:t>
      </w:r>
      <w:r>
        <w:rPr>
          <w:rFonts w:hint="eastAsia" w:ascii="仿宋" w:hAnsi="仿宋" w:eastAsia="仿宋" w:cs="仿宋"/>
          <w:sz w:val="32"/>
          <w:szCs w:val="32"/>
          <w:lang w:val="en-US" w:eastAsia="zh-CN"/>
        </w:rPr>
        <w:t>：基本支出220.07万元，较上年预算安排增加34.65万元，其中：工资福利支出 220.07万元，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0万元。项目支出0万元，较上年预算安排增加0万元，其中：工资福利支出0万元，</w:t>
      </w:r>
      <w:r>
        <w:rPr>
          <w:rFonts w:hint="eastAsia" w:ascii="仿宋" w:hAnsi="仿宋" w:eastAsia="仿宋" w:cs="仿宋"/>
          <w:sz w:val="32"/>
          <w:szCs w:val="32"/>
          <w:lang w:eastAsia="zh-CN"/>
        </w:rPr>
        <w:t>商品和服务支出</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对个人和家庭的补助</w:t>
      </w:r>
      <w:r>
        <w:rPr>
          <w:rFonts w:hint="eastAsia" w:ascii="仿宋" w:hAnsi="仿宋" w:eastAsia="仿宋" w:cs="仿宋"/>
          <w:sz w:val="32"/>
          <w:szCs w:val="32"/>
          <w:lang w:val="en-US" w:eastAsia="zh-CN"/>
        </w:rPr>
        <w:t>0万元，</w:t>
      </w:r>
      <w:r>
        <w:rPr>
          <w:rFonts w:hint="eastAsia" w:ascii="仿宋" w:hAnsi="仿宋" w:eastAsia="仿宋" w:cs="仿宋"/>
          <w:sz w:val="32"/>
          <w:szCs w:val="32"/>
          <w:lang w:eastAsia="zh-CN"/>
        </w:rPr>
        <w:t>资本性支出</w:t>
      </w:r>
      <w:r>
        <w:rPr>
          <w:rFonts w:hint="eastAsia" w:ascii="仿宋" w:hAnsi="仿宋" w:eastAsia="仿宋" w:cs="仿宋"/>
          <w:sz w:val="32"/>
          <w:szCs w:val="32"/>
          <w:lang w:val="en-US" w:eastAsia="zh-CN"/>
        </w:rPr>
        <w:t>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33.51万元，较上年预算安排</w:t>
      </w:r>
      <w:r>
        <w:rPr>
          <w:rFonts w:hint="eastAsia" w:ascii="仿宋" w:hAnsi="仿宋" w:eastAsia="仿宋" w:cs="仿宋"/>
          <w:sz w:val="32"/>
          <w:szCs w:val="32"/>
        </w:rPr>
        <w:t>增</w:t>
      </w:r>
      <w:r>
        <w:rPr>
          <w:rFonts w:hint="eastAsia" w:ascii="仿宋" w:hAnsi="仿宋" w:eastAsia="仿宋" w:cs="仿宋"/>
          <w:sz w:val="32"/>
          <w:szCs w:val="32"/>
          <w:lang w:val="en-US" w:eastAsia="zh-CN"/>
        </w:rPr>
        <w:t>加10.04万元;</w:t>
      </w:r>
      <w:r>
        <w:rPr>
          <w:rFonts w:hint="eastAsia" w:ascii="仿宋" w:hAnsi="仿宋" w:eastAsia="仿宋" w:cs="仿宋"/>
          <w:sz w:val="32"/>
          <w:szCs w:val="32"/>
        </w:rPr>
        <w:t>卫生健康支出</w:t>
      </w:r>
      <w:r>
        <w:rPr>
          <w:rFonts w:hint="eastAsia" w:ascii="仿宋" w:hAnsi="仿宋" w:eastAsia="仿宋" w:cs="仿宋"/>
          <w:sz w:val="32"/>
          <w:szCs w:val="32"/>
          <w:lang w:val="en-US" w:eastAsia="zh-CN"/>
        </w:rPr>
        <w:t>186.56万元，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24.61万元，</w:t>
      </w:r>
      <w:r>
        <w:rPr>
          <w:rFonts w:hint="eastAsia" w:ascii="仿宋" w:hAnsi="仿宋" w:eastAsia="仿宋" w:cs="仿宋"/>
          <w:sz w:val="32"/>
          <w:szCs w:val="32"/>
        </w:rPr>
        <w:t>住房保障支出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r>
        <w:rPr>
          <w:rFonts w:hint="eastAsia" w:ascii="仿宋" w:hAnsi="仿宋" w:eastAsia="仿宋" w:cs="仿宋"/>
          <w:sz w:val="32"/>
          <w:szCs w:val="32"/>
        </w:rPr>
        <w:t>其他支出</w:t>
      </w:r>
      <w:r>
        <w:rPr>
          <w:rFonts w:hint="eastAsia" w:ascii="仿宋" w:hAnsi="仿宋" w:eastAsia="仿宋" w:cs="仿宋"/>
          <w:sz w:val="32"/>
          <w:szCs w:val="32"/>
          <w:lang w:val="en-US" w:eastAsia="zh-CN"/>
        </w:rPr>
        <w:t>0万元，</w:t>
      </w:r>
      <w:r>
        <w:rPr>
          <w:rFonts w:hint="eastAsia" w:ascii="仿宋" w:hAnsi="仿宋" w:eastAsia="仿宋" w:cs="仿宋"/>
          <w:sz w:val="32"/>
          <w:szCs w:val="32"/>
        </w:rPr>
        <w:t>较上年预算安排增加</w:t>
      </w:r>
      <w:r>
        <w:rPr>
          <w:rFonts w:hint="eastAsia" w:ascii="仿宋" w:hAnsi="仿宋" w:eastAsia="仿宋" w:cs="仿宋"/>
          <w:sz w:val="32"/>
          <w:szCs w:val="32"/>
          <w:lang w:val="en-US" w:eastAsia="zh-CN"/>
        </w:rPr>
        <w:t>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年单位政府采购总额</w:t>
      </w:r>
      <w:r>
        <w:rPr>
          <w:rFonts w:hint="eastAsia" w:ascii="仿宋" w:hAnsi="仿宋" w:eastAsia="仿宋" w:cs="仿宋"/>
          <w:sz w:val="32"/>
          <w:szCs w:val="32"/>
          <w:lang w:val="en-US" w:eastAsia="zh-CN"/>
        </w:rPr>
        <w:t>360.27</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360.27</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2023年兴国县崇贤乡卫生院单位“三公”经费一般公共预算安排0万元。其中：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因公出国（境）费0万元，比上年增加0万元，主要原因是：与上年安排保持一致。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公务接待费0万元，比上年增加0万元，主要原因是：与上年安排保持一致。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公务用车运行维护费0万元，比上年增加0万元，主要原因是：与上年安排保持一致。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公务用车购置费0万元，比上年增加0万元，主要原因是：与上年安排保持一致。</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sectPr>
          <w:pgSz w:w="11906" w:h="16838"/>
          <w:pgMar w:top="1587" w:right="1587" w:bottom="1587" w:left="1587" w:header="851" w:footer="992" w:gutter="0"/>
          <w:cols w:space="425" w:num="1"/>
          <w:docGrid w:type="lines" w:linePitch="312" w:charSpace="0"/>
        </w:sectPr>
      </w:pPr>
    </w:p>
    <w:p>
      <w:pPr>
        <w:spacing w:line="560" w:lineRule="exact"/>
        <w:jc w:val="center"/>
        <w:rPr>
          <w:rFonts w:hint="eastAsia" w:ascii="宋体" w:hAnsi="宋体" w:eastAsia="宋体" w:cs="宋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崇贤乡卫生院2023年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3"/>
        <w:tblpPr w:leftFromText="180" w:rightFromText="180" w:vertAnchor="text" w:horzAnchor="page" w:tblpX="672" w:tblpY="186"/>
        <w:tblOverlap w:val="never"/>
        <w:tblW w:w="106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25"/>
        <w:gridCol w:w="1315"/>
        <w:gridCol w:w="3398"/>
        <w:gridCol w:w="16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0618"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131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39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6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54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507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1,214.64</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2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1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c>
          <w:tcPr>
            <w:tcW w:w="3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r>
    </w:tbl>
    <w:p>
      <w:pPr>
        <w:pStyle w:val="2"/>
        <w:rPr>
          <w:rFonts w:hint="eastAsia" w:asciiTheme="minorEastAsia" w:hAnsiTheme="minorEastAsia" w:eastAsiaTheme="minorEastAsia" w:cstheme="minorEastAsia"/>
          <w:color w:val="auto"/>
          <w:sz w:val="20"/>
          <w:szCs w:val="20"/>
        </w:rPr>
        <w:sectPr>
          <w:pgSz w:w="11906" w:h="16838"/>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单位收入总表</w:t>
      </w:r>
      <w:r>
        <w:rPr>
          <w:rFonts w:hint="eastAsia" w:ascii="仿宋" w:hAnsi="仿宋" w:eastAsia="仿宋" w:cs="仿宋"/>
          <w:color w:val="auto"/>
          <w:sz w:val="32"/>
          <w:szCs w:val="32"/>
        </w:rPr>
        <w:t>》</w:t>
      </w:r>
    </w:p>
    <w:tbl>
      <w:tblPr>
        <w:tblStyle w:val="3"/>
        <w:tblW w:w="5158" w:type="pct"/>
        <w:tblInd w:w="-25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19"/>
        <w:gridCol w:w="3870"/>
        <w:gridCol w:w="1020"/>
        <w:gridCol w:w="585"/>
        <w:gridCol w:w="825"/>
        <w:gridCol w:w="855"/>
        <w:gridCol w:w="945"/>
        <w:gridCol w:w="855"/>
        <w:gridCol w:w="720"/>
        <w:gridCol w:w="1140"/>
        <w:gridCol w:w="720"/>
        <w:gridCol w:w="795"/>
        <w:gridCol w:w="780"/>
        <w:gridCol w:w="600"/>
        <w:gridCol w:w="7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jc w:val="center"/>
              <w:rPr>
                <w:rFonts w:hint="default" w:ascii="Calibri" w:hAnsi="Calibri" w:cs="Calibri"/>
                <w:i w:val="0"/>
                <w:iCs w:val="0"/>
                <w:color w:val="000000"/>
                <w:sz w:val="22"/>
                <w:szCs w:val="22"/>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3859" w:type="pct"/>
            <w:gridSpan w:val="10"/>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1140" w:type="pct"/>
            <w:gridSpan w:val="5"/>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502"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功能科目编码</w:t>
            </w:r>
          </w:p>
        </w:tc>
        <w:tc>
          <w:tcPr>
            <w:tcW w:w="1201"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功能科目名称</w:t>
            </w:r>
          </w:p>
        </w:tc>
        <w:tc>
          <w:tcPr>
            <w:tcW w:w="316"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合计</w:t>
            </w:r>
          </w:p>
        </w:tc>
        <w:tc>
          <w:tcPr>
            <w:tcW w:w="18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上年结转</w:t>
            </w:r>
          </w:p>
        </w:tc>
        <w:tc>
          <w:tcPr>
            <w:tcW w:w="1080"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财政拨款</w:t>
            </w:r>
          </w:p>
        </w:tc>
        <w:tc>
          <w:tcPr>
            <w:tcW w:w="22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教育收费资金收入</w:t>
            </w:r>
          </w:p>
        </w:tc>
        <w:tc>
          <w:tcPr>
            <w:tcW w:w="35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事业收入</w:t>
            </w:r>
          </w:p>
        </w:tc>
        <w:tc>
          <w:tcPr>
            <w:tcW w:w="22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事业单位经营收入</w:t>
            </w:r>
          </w:p>
        </w:tc>
        <w:tc>
          <w:tcPr>
            <w:tcW w:w="24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附属单位上缴收入</w:t>
            </w:r>
          </w:p>
        </w:tc>
        <w:tc>
          <w:tcPr>
            <w:tcW w:w="24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上级补助收入</w:t>
            </w:r>
          </w:p>
        </w:tc>
        <w:tc>
          <w:tcPr>
            <w:tcW w:w="18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其他收入</w:t>
            </w:r>
          </w:p>
        </w:tc>
        <w:tc>
          <w:tcPr>
            <w:tcW w:w="241"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2" w:hRule="atLeast"/>
        </w:trPr>
        <w:tc>
          <w:tcPr>
            <w:tcW w:w="502" w:type="pct"/>
            <w:vMerge w:val="continue"/>
            <w:tcBorders>
              <w:top w:val="single" w:color="auto" w:sz="4" w:space="0"/>
              <w:left w:val="single" w:color="auto"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201" w:type="pct"/>
            <w:vMerge w:val="continue"/>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316" w:type="pct"/>
            <w:vMerge w:val="continue"/>
            <w:tcBorders>
              <w:top w:val="single" w:color="auto"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181" w:type="pct"/>
            <w:vMerge w:val="continue"/>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56" w:type="pc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小计</w:t>
            </w:r>
          </w:p>
        </w:tc>
        <w:tc>
          <w:tcPr>
            <w:tcW w:w="265" w:type="pc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一般公共预算拨款收入</w:t>
            </w:r>
          </w:p>
        </w:tc>
        <w:tc>
          <w:tcPr>
            <w:tcW w:w="293" w:type="pc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政府性基金预算拨款收入</w:t>
            </w:r>
          </w:p>
        </w:tc>
        <w:tc>
          <w:tcPr>
            <w:tcW w:w="265" w:type="pct"/>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国有资本经营预算收入</w:t>
            </w:r>
          </w:p>
        </w:tc>
        <w:tc>
          <w:tcPr>
            <w:tcW w:w="223"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353"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23"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6"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2"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186" w:type="pct"/>
            <w:vMerge w:val="continue"/>
            <w:tcBorders>
              <w:top w:val="single" w:color="auto"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241" w:type="pct"/>
            <w:vMerge w:val="continue"/>
            <w:tcBorders>
              <w:top w:val="single" w:color="auto" w:sz="4" w:space="0"/>
              <w:left w:val="single" w:color="000000" w:sz="4" w:space="0"/>
              <w:bottom w:val="single" w:color="000000" w:sz="4" w:space="0"/>
              <w:right w:val="single" w:color="auto" w:sz="4" w:space="0"/>
            </w:tcBorders>
            <w:shd w:val="clear" w:color="auto" w:fill="auto"/>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 w:hRule="atLeast"/>
        </w:trPr>
        <w:tc>
          <w:tcPr>
            <w:tcW w:w="50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t>
            </w:r>
          </w:p>
        </w:tc>
        <w:tc>
          <w:tcPr>
            <w:tcW w:w="120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w:t>
            </w:r>
          </w:p>
        </w:tc>
        <w:tc>
          <w:tcPr>
            <w:tcW w:w="3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25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26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26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2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3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22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2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c>
          <w:tcPr>
            <w:tcW w:w="24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w:t>
            </w:r>
          </w:p>
        </w:tc>
        <w:tc>
          <w:tcPr>
            <w:tcW w:w="1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c>
          <w:tcPr>
            <w:tcW w:w="2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合计</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1,434.70</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220.07</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220.07</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1,214.64</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208</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社会保障和就业支出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65.16</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33.51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33.51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31.65</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05</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行政事业单位养老支出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64.25</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33.51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33.51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30.74</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2080505</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机关事业单位基本养老保险缴费支出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40.83</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24.50</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24.50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16.33</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2080506</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机关事业单位职业年金缴费支出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23.41</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9.01</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9.01</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14.40</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抚恤</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0.91</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0.91</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2080801</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死亡抚恤</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0.91</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0.91</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210</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卫生健康支出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1,347.39</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186.56</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186.56</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1,160.83</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03</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基层医疗卫生机构</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1,330.59</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178.30</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178.30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1,152.28</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2100302</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乡镇卫生院</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1,330.59</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178.30</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178.30</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1,152.28</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11</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行政事业单位医疗</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16.80</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8.25</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8.55</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2101102</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事业单位医疗</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16.80</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8.25</w:t>
            </w: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8.25</w:t>
            </w: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8.55</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住房保障支出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02</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住房改革支出</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2210201</w:t>
            </w:r>
          </w:p>
        </w:tc>
        <w:tc>
          <w:tcPr>
            <w:tcW w:w="1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住房公积金</w:t>
            </w:r>
          </w:p>
        </w:tc>
        <w:tc>
          <w:tcPr>
            <w:tcW w:w="3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5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9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3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22.16</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auto"/>
                <w:sz w:val="20"/>
                <w:szCs w:val="20"/>
                <w:u w:val="none"/>
              </w:rPr>
            </w:pPr>
          </w:p>
        </w:tc>
      </w:tr>
    </w:tbl>
    <w:p>
      <w:pPr>
        <w:pStyle w:val="2"/>
        <w:rPr>
          <w:rFonts w:hint="eastAsia" w:asciiTheme="minorEastAsia" w:hAnsiTheme="minorEastAsia" w:eastAsiaTheme="minorEastAsia" w:cstheme="minorEastAsia"/>
          <w:color w:val="auto"/>
          <w:sz w:val="20"/>
          <w:szCs w:val="20"/>
        </w:rPr>
        <w:sectPr>
          <w:pgSz w:w="16838" w:h="11906" w:orient="landscape"/>
          <w:pgMar w:top="720" w:right="720" w:bottom="720" w:left="720" w:header="851" w:footer="992" w:gutter="0"/>
          <w:cols w:space="0" w:num="1"/>
          <w:rtlGutter w:val="0"/>
          <w:docGrid w:type="lines" w:linePitch="312" w:charSpace="0"/>
        </w:sectPr>
      </w:pPr>
    </w:p>
    <w:p>
      <w:pPr>
        <w:pStyle w:val="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18"/>
        <w:gridCol w:w="4407"/>
        <w:gridCol w:w="1803"/>
        <w:gridCol w:w="1429"/>
        <w:gridCol w:w="12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tbl>
            <w:tblPr>
              <w:tblStyle w:val="3"/>
              <w:tblW w:w="10680" w:type="dxa"/>
              <w:tblInd w:w="-11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225"/>
              <w:gridCol w:w="1815"/>
              <w:gridCol w:w="1425"/>
              <w:gridCol w:w="1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914"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84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6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bl>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84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9"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5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4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9"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5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4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1,434.70</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34.42</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34.42</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行政事业单位养老支出</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机关事业单位基本养老保险缴费支出</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2080506</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600" w:firstLineChars="3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机关事业单位职业年金缴费支出</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抚恤</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2080801</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死亡抚恤</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0.91</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600" w:firstLineChars="3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1,400.28</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1,400.28</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基层医疗卫生机构</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1,392.03</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1,392.03</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2100302</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600" w:firstLineChars="3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乡镇卫生院</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1,392.03</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1,392.03</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行政事业单位医疗</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2101102</w:t>
            </w:r>
          </w:p>
        </w:tc>
        <w:tc>
          <w:tcPr>
            <w:tcW w:w="20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600" w:firstLineChars="3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事业单位医疗</w:t>
            </w:r>
          </w:p>
        </w:tc>
        <w:tc>
          <w:tcPr>
            <w:tcW w:w="8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6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5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宋体" w:hAnsi="宋体" w:eastAsia="宋体" w:cs="宋体"/>
          <w:b/>
          <w:bCs/>
          <w:i w:val="0"/>
          <w:iCs w:val="0"/>
          <w:color w:val="000000"/>
          <w:kern w:val="0"/>
          <w:sz w:val="40"/>
          <w:szCs w:val="40"/>
          <w:u w:val="none"/>
          <w:lang w:val="en-US" w:eastAsia="zh-CN" w:bidi="ar"/>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tbl>
      <w:tblPr>
        <w:tblStyle w:val="3"/>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4"/>
        <w:gridCol w:w="1170"/>
        <w:gridCol w:w="2356"/>
        <w:gridCol w:w="839"/>
        <w:gridCol w:w="1050"/>
        <w:gridCol w:w="1256"/>
        <w:gridCol w:w="13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default" w:ascii="Calibri" w:hAnsi="Calibri" w:cs="Calibri"/>
                <w:i w:val="0"/>
                <w:iCs w:val="0"/>
                <w:color w:val="000000"/>
                <w:sz w:val="22"/>
                <w:szCs w:val="22"/>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4371" w:type="pct"/>
            <w:gridSpan w:val="6"/>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628"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79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04"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10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项目(按支出功能科目</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类级)</w:t>
            </w:r>
          </w:p>
        </w:tc>
        <w:tc>
          <w:tcPr>
            <w:tcW w:w="39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8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社会保障和就业支出</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186.56</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186.56</w:t>
            </w: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4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11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3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5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62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r>
    </w:tbl>
    <w:p>
      <w:pPr>
        <w:pStyle w:val="2"/>
        <w:rPr>
          <w:rFonts w:hint="eastAsia" w:ascii="宋体" w:hAnsi="宋体" w:eastAsia="宋体" w:cs="宋体"/>
          <w:b/>
          <w:bCs/>
          <w:i w:val="0"/>
          <w:iCs w:val="0"/>
          <w:color w:val="000000"/>
          <w:kern w:val="0"/>
          <w:sz w:val="40"/>
          <w:szCs w:val="40"/>
          <w:u w:val="none"/>
          <w:lang w:val="en-US" w:eastAsia="zh-CN" w:bidi="ar"/>
        </w:rPr>
        <w:sectPr>
          <w:pgSz w:w="11906" w:h="16838"/>
          <w:pgMar w:top="720" w:right="720" w:bottom="720" w:left="720" w:header="851" w:footer="992" w:gutter="0"/>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《一般公共预算支出表》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50"/>
        <w:gridCol w:w="3816"/>
        <w:gridCol w:w="1638"/>
        <w:gridCol w:w="1270"/>
        <w:gridCol w:w="16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81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7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7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1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18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68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9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1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7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33.51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2080505</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2080506</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186.56</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186.56</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178.30</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2100302</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178.30</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178.30</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200" w:firstLineChars="1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1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2101102</w:t>
            </w:r>
          </w:p>
        </w:tc>
        <w:tc>
          <w:tcPr>
            <w:tcW w:w="16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6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7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widowControl w:val="0"/>
        <w:numPr>
          <w:ilvl w:val="0"/>
          <w:numId w:val="0"/>
        </w:numPr>
        <w:jc w:val="both"/>
        <w:rPr>
          <w:rFonts w:hint="eastAsia" w:ascii="仿宋" w:hAnsi="仿宋" w:eastAsia="仿宋" w:cs="仿宋"/>
          <w:color w:val="auto"/>
          <w:sz w:val="32"/>
          <w:szCs w:val="32"/>
        </w:rPr>
        <w:sectPr>
          <w:pgSz w:w="11906" w:h="16838"/>
          <w:pgMar w:top="720" w:right="720" w:bottom="720" w:left="720" w:header="851" w:footer="992" w:gutter="0"/>
          <w:cols w:space="0" w:num="1"/>
          <w:rtlGutter w:val="0"/>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《一般公共预算基本支出表》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82"/>
        <w:gridCol w:w="3216"/>
        <w:gridCol w:w="1575"/>
        <w:gridCol w:w="1739"/>
        <w:gridCol w:w="20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48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73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1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4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1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05"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7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0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220.07</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30101</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111.01</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111.01</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30102</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67.29</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67.29</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30108</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24.50</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30109</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9.01</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firstLine="400" w:firstLineChars="20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30110</w:t>
            </w:r>
          </w:p>
        </w:tc>
        <w:tc>
          <w:tcPr>
            <w:tcW w:w="1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8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8.25</w:t>
            </w:r>
          </w:p>
        </w:tc>
        <w:tc>
          <w:tcPr>
            <w:tcW w:w="96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rFonts w:hint="eastAsia"/>
          <w:sz w:val="21"/>
          <w:szCs w:val="21"/>
          <w:lang w:val="en-US" w:eastAsia="zh-CN"/>
        </w:rPr>
      </w:pPr>
    </w:p>
    <w:p>
      <w:pPr>
        <w:pStyle w:val="2"/>
        <w:rPr>
          <w:rFonts w:hint="eastAsia"/>
          <w:lang w:val="en-US" w:eastAsia="zh-CN"/>
        </w:rPr>
      </w:pPr>
    </w:p>
    <w:p>
      <w:pPr>
        <w:pStyle w:val="2"/>
        <w:widowControl w:val="0"/>
        <w:numPr>
          <w:ilvl w:val="0"/>
          <w:numId w:val="0"/>
        </w:numPr>
        <w:jc w:val="both"/>
        <w:rPr>
          <w:rFonts w:hint="eastAsia" w:ascii="仿宋" w:hAnsi="仿宋" w:eastAsia="仿宋" w:cs="仿宋"/>
          <w:color w:val="auto"/>
          <w:sz w:val="32"/>
          <w:szCs w:val="32"/>
        </w:rPr>
        <w:sectPr>
          <w:pgSz w:w="11906" w:h="16838"/>
          <w:pgMar w:top="720" w:right="720" w:bottom="720" w:left="720" w:header="851" w:footer="992" w:gutter="0"/>
          <w:cols w:space="425" w:num="1"/>
          <w:docGrid w:type="lines" w:linePitch="312" w:charSpace="0"/>
        </w:sectPr>
      </w:pPr>
    </w:p>
    <w:p>
      <w:pPr>
        <w:numPr>
          <w:ilvl w:val="0"/>
          <w:numId w:val="0"/>
        </w:numPr>
        <w:spacing w:line="560" w:lineRule="exact"/>
        <w:ind w:leftChars="0"/>
        <w:rPr>
          <w:rFonts w:hint="default"/>
          <w:lang w:val="en-US"/>
        </w:rPr>
      </w:pP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《一般公共预算“三公”经费支出表》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9"/>
        <w:gridCol w:w="1320"/>
        <w:gridCol w:w="975"/>
        <w:gridCol w:w="1830"/>
        <w:gridCol w:w="1335"/>
        <w:gridCol w:w="2355"/>
        <w:gridCol w:w="1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4280" w:type="pct"/>
            <w:gridSpan w:val="6"/>
            <w:tcBorders>
              <w:top w:val="nil"/>
              <w:left w:val="nil"/>
              <w:bottom w:val="nil"/>
              <w:right w:val="nil"/>
            </w:tcBorders>
            <w:shd w:val="clear" w:color="auto" w:fill="auto"/>
            <w:noWrap/>
            <w:vAlign w:val="center"/>
          </w:tcPr>
          <w:p>
            <w:pPr>
              <w:rPr>
                <w:rFonts w:hint="default" w:ascii="Calibri" w:hAnsi="Calibri" w:cs="Calibri"/>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71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62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61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45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5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1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62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1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5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85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621"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7"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56"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6"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4"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102" w:type="pct"/>
            <w:tcBorders>
              <w:top w:val="single" w:color="000000" w:sz="4" w:space="0"/>
              <w:left w:val="single" w:color="000000" w:sz="4" w:space="0"/>
              <w:bottom w:val="single" w:color="auto"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19" w:type="pct"/>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621"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1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45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56"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2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10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1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numPr>
          <w:ilvl w:val="0"/>
          <w:numId w:val="0"/>
        </w:numPr>
        <w:spacing w:line="560" w:lineRule="exact"/>
        <w:ind w:leftChars="0"/>
        <w:rPr>
          <w:rFonts w:hint="eastAsia" w:ascii="仿宋" w:hAnsi="仿宋" w:eastAsia="仿宋" w:cs="仿宋"/>
          <w:color w:val="auto"/>
          <w:sz w:val="32"/>
          <w:szCs w:val="32"/>
          <w:lang w:val="en-US" w:eastAsia="zh-CN"/>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widowControl w:val="0"/>
        <w:numPr>
          <w:ilvl w:val="0"/>
          <w:numId w:val="0"/>
        </w:numPr>
        <w:jc w:val="both"/>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八、</w:t>
      </w:r>
      <w:r>
        <w:rPr>
          <w:rFonts w:hint="eastAsia" w:ascii="仿宋" w:hAnsi="仿宋" w:eastAsia="仿宋" w:cs="仿宋"/>
          <w:color w:val="auto"/>
          <w:sz w:val="32"/>
          <w:szCs w:val="32"/>
        </w:rPr>
        <w:t>《政府性基金预算支出表》</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22"/>
        <w:gridCol w:w="2226"/>
        <w:gridCol w:w="1316"/>
        <w:gridCol w:w="2224"/>
        <w:gridCol w:w="26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739"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126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08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91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1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4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32"/>
        <w:gridCol w:w="2567"/>
        <w:gridCol w:w="1905"/>
        <w:gridCol w:w="1656"/>
        <w:gridCol w:w="16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240" w:type="pct"/>
            <w:gridSpan w:val="4"/>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[403025]兴国县崇贤乡卫生院</w:t>
            </w:r>
          </w:p>
        </w:tc>
        <w:tc>
          <w:tcPr>
            <w:tcW w:w="7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5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2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2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8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7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pStyle w:val="2"/>
        <w:rPr>
          <w:color w:val="auto"/>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rFonts w:hint="eastAsia" w:eastAsia="仿宋_GB2312"/>
          <w:color w:val="auto"/>
          <w:lang w:val="en-US" w:eastAsia="zh-CN"/>
        </w:rPr>
      </w:pPr>
      <w:r>
        <w:rPr>
          <w:rFonts w:hint="eastAsia"/>
          <w:color w:val="auto"/>
          <w:lang w:val="en-US" w:eastAsia="zh-CN"/>
        </w:rPr>
        <w:t>无</w:t>
      </w:r>
    </w:p>
    <w:p>
      <w:pPr>
        <w:spacing w:line="560" w:lineRule="exact"/>
        <w:ind w:firstLine="0" w:firstLineChars="0"/>
        <w:jc w:val="center"/>
        <w:rPr>
          <w:rFonts w:hint="eastAsia" w:ascii="黑体" w:hAnsi="黑体" w:eastAsia="黑体" w:cs="黑体"/>
          <w:b w:val="0"/>
          <w:bCs w:val="0"/>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pgSz w:w="11906" w:h="16838"/>
          <w:pgMar w:top="720" w:right="720" w:bottom="720" w:left="720" w:header="851" w:footer="992" w:gutter="0"/>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color w:val="auto"/>
          <w:sz w:val="32"/>
          <w:szCs w:val="32"/>
        </w:rPr>
        <w:t>（六）死亡抚恤：反映单位遗属人员生活补助。</w:t>
      </w:r>
    </w:p>
    <w:p/>
    <w:sectPr>
      <w:pgSz w:w="11906" w:h="16838"/>
      <w:pgMar w:top="1587"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3D3E4E"/>
    <w:multiLevelType w:val="singleLevel"/>
    <w:tmpl w:val="523D3E4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502f0912-caa5-4941-b2d1-7dda9bfd25df"/>
  </w:docVars>
  <w:rsids>
    <w:rsidRoot w:val="31C93669"/>
    <w:rsid w:val="00382DEE"/>
    <w:rsid w:val="00844285"/>
    <w:rsid w:val="00867FFD"/>
    <w:rsid w:val="00F74A57"/>
    <w:rsid w:val="01123CBC"/>
    <w:rsid w:val="014A102B"/>
    <w:rsid w:val="01D628BE"/>
    <w:rsid w:val="01DB2D9A"/>
    <w:rsid w:val="025007BF"/>
    <w:rsid w:val="032410AF"/>
    <w:rsid w:val="033B376C"/>
    <w:rsid w:val="033F65AC"/>
    <w:rsid w:val="03C70711"/>
    <w:rsid w:val="03D90444"/>
    <w:rsid w:val="047168CE"/>
    <w:rsid w:val="04AC7907"/>
    <w:rsid w:val="05033781"/>
    <w:rsid w:val="052E47BF"/>
    <w:rsid w:val="05B64EE1"/>
    <w:rsid w:val="05D15877"/>
    <w:rsid w:val="06913258"/>
    <w:rsid w:val="06B238FA"/>
    <w:rsid w:val="06EB2968"/>
    <w:rsid w:val="0774295E"/>
    <w:rsid w:val="07E55609"/>
    <w:rsid w:val="08CB0A64"/>
    <w:rsid w:val="096153BB"/>
    <w:rsid w:val="09C73CC8"/>
    <w:rsid w:val="0A6A44EC"/>
    <w:rsid w:val="0A825391"/>
    <w:rsid w:val="0ACA0AE6"/>
    <w:rsid w:val="0BEF6A57"/>
    <w:rsid w:val="0CC7558C"/>
    <w:rsid w:val="0D0227BA"/>
    <w:rsid w:val="0D057217"/>
    <w:rsid w:val="0D786F20"/>
    <w:rsid w:val="0DFC3E81"/>
    <w:rsid w:val="0F0E7B3C"/>
    <w:rsid w:val="0F305284"/>
    <w:rsid w:val="0FF7412C"/>
    <w:rsid w:val="10843A57"/>
    <w:rsid w:val="116B728B"/>
    <w:rsid w:val="117F262B"/>
    <w:rsid w:val="120E39AF"/>
    <w:rsid w:val="12413D84"/>
    <w:rsid w:val="12704669"/>
    <w:rsid w:val="12D93FBD"/>
    <w:rsid w:val="13053004"/>
    <w:rsid w:val="134578A4"/>
    <w:rsid w:val="14C52A4A"/>
    <w:rsid w:val="157E0E4B"/>
    <w:rsid w:val="15A85EC8"/>
    <w:rsid w:val="15D373E9"/>
    <w:rsid w:val="15E334FA"/>
    <w:rsid w:val="15F31839"/>
    <w:rsid w:val="16247C45"/>
    <w:rsid w:val="16E3540A"/>
    <w:rsid w:val="17214184"/>
    <w:rsid w:val="172D48D7"/>
    <w:rsid w:val="174340FA"/>
    <w:rsid w:val="174F484D"/>
    <w:rsid w:val="175E2CE2"/>
    <w:rsid w:val="17A353F5"/>
    <w:rsid w:val="18187335"/>
    <w:rsid w:val="187D53EA"/>
    <w:rsid w:val="19153875"/>
    <w:rsid w:val="194505FE"/>
    <w:rsid w:val="1A554870"/>
    <w:rsid w:val="1A98475D"/>
    <w:rsid w:val="1AC07BCE"/>
    <w:rsid w:val="1AC92B69"/>
    <w:rsid w:val="1AD35795"/>
    <w:rsid w:val="1B544B28"/>
    <w:rsid w:val="1C6C108F"/>
    <w:rsid w:val="1D1F2F14"/>
    <w:rsid w:val="1DD41F50"/>
    <w:rsid w:val="1E8E6D68"/>
    <w:rsid w:val="1F2C1918"/>
    <w:rsid w:val="1F5922CD"/>
    <w:rsid w:val="1FAA237D"/>
    <w:rsid w:val="1FF452F5"/>
    <w:rsid w:val="202C6073"/>
    <w:rsid w:val="20607ACB"/>
    <w:rsid w:val="207277FE"/>
    <w:rsid w:val="208539D6"/>
    <w:rsid w:val="21006EE6"/>
    <w:rsid w:val="21FC1A76"/>
    <w:rsid w:val="220A4192"/>
    <w:rsid w:val="226D4721"/>
    <w:rsid w:val="22AC524A"/>
    <w:rsid w:val="231A0405"/>
    <w:rsid w:val="23623B5A"/>
    <w:rsid w:val="239F090A"/>
    <w:rsid w:val="241035B6"/>
    <w:rsid w:val="245F009A"/>
    <w:rsid w:val="24977834"/>
    <w:rsid w:val="24FD1D8D"/>
    <w:rsid w:val="25172CD9"/>
    <w:rsid w:val="25C96113"/>
    <w:rsid w:val="27AB1CB6"/>
    <w:rsid w:val="293B2E83"/>
    <w:rsid w:val="29C56BF1"/>
    <w:rsid w:val="2A111E36"/>
    <w:rsid w:val="2A597E09"/>
    <w:rsid w:val="2A833419"/>
    <w:rsid w:val="2A9F0556"/>
    <w:rsid w:val="2B146296"/>
    <w:rsid w:val="2C6A2949"/>
    <w:rsid w:val="2C6C77F8"/>
    <w:rsid w:val="2C8E3C12"/>
    <w:rsid w:val="2CA70830"/>
    <w:rsid w:val="2D742E08"/>
    <w:rsid w:val="2E144B1E"/>
    <w:rsid w:val="2E5073D1"/>
    <w:rsid w:val="2E7F1A64"/>
    <w:rsid w:val="2EB060C2"/>
    <w:rsid w:val="2ED65175"/>
    <w:rsid w:val="2F154177"/>
    <w:rsid w:val="2F307202"/>
    <w:rsid w:val="2FB219C5"/>
    <w:rsid w:val="2FD8767E"/>
    <w:rsid w:val="2FE9188B"/>
    <w:rsid w:val="31C93669"/>
    <w:rsid w:val="3247469D"/>
    <w:rsid w:val="32700042"/>
    <w:rsid w:val="33D83968"/>
    <w:rsid w:val="343C3F54"/>
    <w:rsid w:val="344101EC"/>
    <w:rsid w:val="346C4839"/>
    <w:rsid w:val="34894B8C"/>
    <w:rsid w:val="354E03E2"/>
    <w:rsid w:val="360A4309"/>
    <w:rsid w:val="36D63C83"/>
    <w:rsid w:val="373E1CFE"/>
    <w:rsid w:val="378D6FA0"/>
    <w:rsid w:val="37B207B5"/>
    <w:rsid w:val="38037262"/>
    <w:rsid w:val="388D1D36"/>
    <w:rsid w:val="38F17A02"/>
    <w:rsid w:val="3950297B"/>
    <w:rsid w:val="39601210"/>
    <w:rsid w:val="3B6B3A9C"/>
    <w:rsid w:val="3BA5430C"/>
    <w:rsid w:val="3BD038FF"/>
    <w:rsid w:val="3CE05DC4"/>
    <w:rsid w:val="3D4C5207"/>
    <w:rsid w:val="3EAF1EF2"/>
    <w:rsid w:val="3EBB4385"/>
    <w:rsid w:val="40D45C40"/>
    <w:rsid w:val="40E35E83"/>
    <w:rsid w:val="40E84D51"/>
    <w:rsid w:val="41074620"/>
    <w:rsid w:val="41FD4D22"/>
    <w:rsid w:val="42613503"/>
    <w:rsid w:val="42CB4E20"/>
    <w:rsid w:val="438F22F2"/>
    <w:rsid w:val="446612A5"/>
    <w:rsid w:val="44801C3A"/>
    <w:rsid w:val="449C4CC6"/>
    <w:rsid w:val="44AE49FA"/>
    <w:rsid w:val="44F227B7"/>
    <w:rsid w:val="45010FCD"/>
    <w:rsid w:val="45E47D76"/>
    <w:rsid w:val="460F771A"/>
    <w:rsid w:val="46873754"/>
    <w:rsid w:val="47150D60"/>
    <w:rsid w:val="474B2E49"/>
    <w:rsid w:val="479C6D8B"/>
    <w:rsid w:val="47B761BF"/>
    <w:rsid w:val="47C167F2"/>
    <w:rsid w:val="47EA6595"/>
    <w:rsid w:val="482F7BFF"/>
    <w:rsid w:val="48E924A4"/>
    <w:rsid w:val="499248EA"/>
    <w:rsid w:val="49D97E23"/>
    <w:rsid w:val="4A804742"/>
    <w:rsid w:val="4A857FAB"/>
    <w:rsid w:val="4B254A30"/>
    <w:rsid w:val="4C545E87"/>
    <w:rsid w:val="4CF34D70"/>
    <w:rsid w:val="4E434405"/>
    <w:rsid w:val="4F0973FC"/>
    <w:rsid w:val="4FE17A31"/>
    <w:rsid w:val="50DB65BC"/>
    <w:rsid w:val="51031C29"/>
    <w:rsid w:val="513E2C61"/>
    <w:rsid w:val="51840FBC"/>
    <w:rsid w:val="51CB6BEB"/>
    <w:rsid w:val="523E7AF4"/>
    <w:rsid w:val="52416EAD"/>
    <w:rsid w:val="52681863"/>
    <w:rsid w:val="52691F60"/>
    <w:rsid w:val="52D01FDF"/>
    <w:rsid w:val="52F43F1F"/>
    <w:rsid w:val="534722A1"/>
    <w:rsid w:val="536157B2"/>
    <w:rsid w:val="53642E53"/>
    <w:rsid w:val="53A042C7"/>
    <w:rsid w:val="54505185"/>
    <w:rsid w:val="54CB0CB0"/>
    <w:rsid w:val="55425416"/>
    <w:rsid w:val="554F368F"/>
    <w:rsid w:val="55B654BC"/>
    <w:rsid w:val="55D3606E"/>
    <w:rsid w:val="56044479"/>
    <w:rsid w:val="56170651"/>
    <w:rsid w:val="56304679"/>
    <w:rsid w:val="56811F6E"/>
    <w:rsid w:val="57061740"/>
    <w:rsid w:val="57CC546B"/>
    <w:rsid w:val="58BC2EB0"/>
    <w:rsid w:val="58F5279F"/>
    <w:rsid w:val="58F928DB"/>
    <w:rsid w:val="594159E5"/>
    <w:rsid w:val="5ABC3575"/>
    <w:rsid w:val="5CE45005"/>
    <w:rsid w:val="5CF52D6E"/>
    <w:rsid w:val="5CFF599B"/>
    <w:rsid w:val="5D291B9D"/>
    <w:rsid w:val="5F693DE4"/>
    <w:rsid w:val="5F744410"/>
    <w:rsid w:val="60587E80"/>
    <w:rsid w:val="60C53FFF"/>
    <w:rsid w:val="62B724F3"/>
    <w:rsid w:val="62D2496B"/>
    <w:rsid w:val="630E06E5"/>
    <w:rsid w:val="63536A40"/>
    <w:rsid w:val="636B5B38"/>
    <w:rsid w:val="637B7452"/>
    <w:rsid w:val="637C698B"/>
    <w:rsid w:val="64340620"/>
    <w:rsid w:val="644D7933"/>
    <w:rsid w:val="64A87C0C"/>
    <w:rsid w:val="65912E75"/>
    <w:rsid w:val="65D35C16"/>
    <w:rsid w:val="65E322FD"/>
    <w:rsid w:val="66415276"/>
    <w:rsid w:val="66D67198"/>
    <w:rsid w:val="66E005EB"/>
    <w:rsid w:val="674438E5"/>
    <w:rsid w:val="67762CFD"/>
    <w:rsid w:val="699F478D"/>
    <w:rsid w:val="69EE1271"/>
    <w:rsid w:val="6A260A0B"/>
    <w:rsid w:val="6A3A3955"/>
    <w:rsid w:val="6ACC7220"/>
    <w:rsid w:val="6AFF7CB3"/>
    <w:rsid w:val="6C2C7E2E"/>
    <w:rsid w:val="6DB91B96"/>
    <w:rsid w:val="6E9879FD"/>
    <w:rsid w:val="706E4EB9"/>
    <w:rsid w:val="712C09DD"/>
    <w:rsid w:val="717C1858"/>
    <w:rsid w:val="71B44B4E"/>
    <w:rsid w:val="72007D93"/>
    <w:rsid w:val="726B5B54"/>
    <w:rsid w:val="72E66F89"/>
    <w:rsid w:val="73010267"/>
    <w:rsid w:val="73C82B32"/>
    <w:rsid w:val="75153B55"/>
    <w:rsid w:val="7533222E"/>
    <w:rsid w:val="75333145"/>
    <w:rsid w:val="75436915"/>
    <w:rsid w:val="7621652A"/>
    <w:rsid w:val="764A5A81"/>
    <w:rsid w:val="76871252"/>
    <w:rsid w:val="76872831"/>
    <w:rsid w:val="768F16E6"/>
    <w:rsid w:val="773109EF"/>
    <w:rsid w:val="77476464"/>
    <w:rsid w:val="775F730A"/>
    <w:rsid w:val="78574485"/>
    <w:rsid w:val="788B1067"/>
    <w:rsid w:val="78B43685"/>
    <w:rsid w:val="7944721D"/>
    <w:rsid w:val="7A074F0E"/>
    <w:rsid w:val="7B152298"/>
    <w:rsid w:val="7BE81275"/>
    <w:rsid w:val="7C156B31"/>
    <w:rsid w:val="7DEE13E8"/>
    <w:rsid w:val="7E48597D"/>
    <w:rsid w:val="7E5C59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4181</Words>
  <Characters>5207</Characters>
  <Lines>0</Lines>
  <Paragraphs>0</Paragraphs>
  <TotalTime>19</TotalTime>
  <ScaleCrop>false</ScaleCrop>
  <LinksUpToDate>false</LinksUpToDate>
  <CharactersWithSpaces>5297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dcterms:modified xsi:type="dcterms:W3CDTF">2024-06-03T08:23:47Z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7E012E1478074B44A24869CF124B5712</vt:lpwstr>
  </property>
</Properties>
</file>