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兴国县妇幼保健计划生育服务中心</w:t>
      </w: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2021年度单位决算目录</w:t>
      </w:r>
    </w:p>
    <w:p>
      <w:pPr>
        <w:pStyle w:val="2"/>
        <w:jc w:val="center"/>
        <w:rPr>
          <w:rFonts w:hint="default" w:ascii="宋体" w:hAnsi="宋体" w:eastAsia="宋体" w:cs="宋体"/>
          <w:b/>
          <w:bCs/>
          <w:sz w:val="36"/>
          <w:szCs w:val="36"/>
          <w:lang w:val="en-US" w:eastAsia="zh-CN"/>
        </w:rPr>
      </w:pPr>
    </w:p>
    <w:p>
      <w:pPr>
        <w:numPr>
          <w:ilvl w:val="0"/>
          <w:numId w:val="0"/>
        </w:numPr>
        <w:jc w:val="left"/>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第一部分  兴国县妇幼保健计划生育服务中心单位概况</w:t>
      </w:r>
    </w:p>
    <w:p>
      <w:pPr>
        <w:numPr>
          <w:ilvl w:val="0"/>
          <w:numId w:val="0"/>
        </w:num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一、单位主要职能</w:t>
      </w:r>
    </w:p>
    <w:p>
      <w:pPr>
        <w:pStyle w:val="2"/>
        <w:numPr>
          <w:ilvl w:val="0"/>
          <w:numId w:val="0"/>
        </w:numPr>
        <w:ind w:leftChars="0"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二、单位基本情况</w:t>
      </w:r>
    </w:p>
    <w:p>
      <w:pPr>
        <w:pStyle w:val="2"/>
        <w:numPr>
          <w:ilvl w:val="0"/>
          <w:numId w:val="0"/>
        </w:numPr>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第二部分 兴国县妇幼保健计划生育服务中心2021年单位决算报表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一、《收入支出决算总表》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二、《收入决算表》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三、《支出决算表》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四、《财政拨款收入支出决算表》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五、《一般公共预算财政拨款支出决算表》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六、《一般公共预算财政拨款基本支出决算表》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七、《一般公共预算财政拨款“三公”经费支出决算表》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八、《政府性基金预算财政拨款收入支出决算表》</w:t>
      </w:r>
    </w:p>
    <w:p>
      <w:pPr>
        <w:pStyle w:val="2"/>
        <w:numPr>
          <w:ilvl w:val="0"/>
          <w:numId w:val="0"/>
        </w:numPr>
        <w:ind w:leftChars="0" w:firstLine="64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九、《国有资本经营预算财政拨款支出决算表》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十、《国有资产占用情况表》</w:t>
      </w:r>
    </w:p>
    <w:p>
      <w:pPr>
        <w:pStyle w:val="2"/>
        <w:numPr>
          <w:ilvl w:val="0"/>
          <w:numId w:val="0"/>
        </w:numPr>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第三部分  兴国县妇幼保健计划生育服务中心2021年度单位决算情况说明</w:t>
      </w:r>
    </w:p>
    <w:p>
      <w:pPr>
        <w:pStyle w:val="2"/>
        <w:numPr>
          <w:ilvl w:val="0"/>
          <w:numId w:val="0"/>
        </w:num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一、收入决算情况说明</w:t>
      </w:r>
    </w:p>
    <w:p>
      <w:pPr>
        <w:pStyle w:val="2"/>
        <w:numPr>
          <w:ilvl w:val="0"/>
          <w:numId w:val="0"/>
        </w:num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二、支出决算情况说明</w:t>
      </w:r>
    </w:p>
    <w:p>
      <w:pPr>
        <w:pStyle w:val="2"/>
        <w:numPr>
          <w:ilvl w:val="0"/>
          <w:numId w:val="0"/>
        </w:num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三、财政拨款支出决算情况说明</w:t>
      </w:r>
    </w:p>
    <w:p>
      <w:pPr>
        <w:pStyle w:val="2"/>
        <w:numPr>
          <w:ilvl w:val="0"/>
          <w:numId w:val="0"/>
        </w:numPr>
        <w:ind w:firstLine="64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四、一般公共预算财政拨款基本支出决算情况说明</w:t>
      </w:r>
    </w:p>
    <w:p>
      <w:pPr>
        <w:ind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五、</w:t>
      </w:r>
      <w:r>
        <w:rPr>
          <w:rFonts w:hint="eastAsia" w:ascii="仿宋" w:hAnsi="仿宋" w:eastAsia="仿宋" w:cs="仿宋"/>
          <w:b w:val="0"/>
          <w:bCs w:val="0"/>
          <w:sz w:val="32"/>
          <w:szCs w:val="32"/>
        </w:rPr>
        <w:t>一般公共预算财政拨款“三公”经费支出决算情况说明</w:t>
      </w:r>
    </w:p>
    <w:p>
      <w:pPr>
        <w:pStyle w:val="2"/>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六、机关运行经费支出情况说明</w:t>
      </w:r>
    </w:p>
    <w:p>
      <w:pPr>
        <w:pStyle w:val="2"/>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七、政府采购支出情况说明</w:t>
      </w:r>
    </w:p>
    <w:p>
      <w:pPr>
        <w:pStyle w:val="2"/>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八、国有资产占用情况说明</w:t>
      </w:r>
    </w:p>
    <w:p>
      <w:pPr>
        <w:pStyle w:val="2"/>
        <w:ind w:firstLine="64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九、预算绩效情况说明</w:t>
      </w:r>
    </w:p>
    <w:p>
      <w:pPr>
        <w:pStyle w:val="2"/>
        <w:numPr>
          <w:ilvl w:val="0"/>
          <w:numId w:val="0"/>
        </w:numPr>
        <w:rPr>
          <w:rFonts w:hint="eastAsia" w:ascii="宋体" w:hAnsi="宋体" w:eastAsia="宋体" w:cs="宋体"/>
          <w:b/>
          <w:bCs/>
          <w:sz w:val="44"/>
          <w:szCs w:val="44"/>
          <w:lang w:val="en-US" w:eastAsia="zh-CN"/>
        </w:rPr>
      </w:pPr>
      <w:r>
        <w:rPr>
          <w:rFonts w:hint="eastAsia" w:ascii="宋体" w:hAnsi="宋体" w:eastAsia="宋体" w:cs="宋体"/>
          <w:b w:val="0"/>
          <w:bCs w:val="0"/>
          <w:sz w:val="32"/>
          <w:szCs w:val="32"/>
          <w:lang w:val="en-US" w:eastAsia="zh-CN"/>
        </w:rPr>
        <w:t>第四部分 名词解释</w:t>
      </w:r>
    </w:p>
    <w:p>
      <w:pPr>
        <w:pStyle w:val="2"/>
        <w:rPr>
          <w:rFonts w:hint="eastAsia" w:ascii="宋体" w:hAnsi="宋体" w:eastAsia="宋体" w:cs="宋体"/>
          <w:b/>
          <w:bCs/>
          <w:sz w:val="44"/>
          <w:szCs w:val="44"/>
          <w:lang w:val="en-US" w:eastAsia="zh-CN"/>
        </w:rPr>
      </w:pPr>
    </w:p>
    <w:p>
      <w:pPr>
        <w:numPr>
          <w:ilvl w:val="0"/>
          <w:numId w:val="1"/>
        </w:numPr>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兴国县妇幼保健计划生育服务中心单位概况</w:t>
      </w:r>
    </w:p>
    <w:p>
      <w:pPr>
        <w:numPr>
          <w:ilvl w:val="0"/>
          <w:numId w:val="2"/>
        </w:numPr>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单位主要职能</w:t>
      </w:r>
    </w:p>
    <w:p>
      <w:pPr>
        <w:keepNext w:val="0"/>
        <w:keepLines w:val="0"/>
        <w:widowControl/>
        <w:suppressLineNumbers w:val="0"/>
        <w:spacing w:before="0" w:beforeAutospacing="0" w:after="0" w:afterAutospacing="0" w:line="480" w:lineRule="auto"/>
        <w:ind w:right="0" w:firstLine="640" w:firstLineChars="200"/>
        <w:jc w:val="left"/>
        <w:rPr>
          <w:rFonts w:hint="eastAsia" w:ascii="仿宋" w:hAnsi="仿宋" w:eastAsia="仿宋" w:cs="仿宋"/>
          <w:kern w:val="0"/>
          <w:sz w:val="32"/>
          <w:szCs w:val="32"/>
          <w:lang w:val="en-US" w:eastAsia="zh-CN" w:bidi="ar"/>
        </w:rPr>
      </w:pPr>
      <w:r>
        <w:rPr>
          <w:rFonts w:hint="eastAsia" w:ascii="仿宋" w:hAnsi="仿宋" w:eastAsia="仿宋" w:cs="仿宋"/>
          <w:b w:val="0"/>
          <w:bCs w:val="0"/>
          <w:sz w:val="32"/>
          <w:szCs w:val="32"/>
          <w:lang w:val="en-US" w:eastAsia="zh-CN"/>
        </w:rPr>
        <w:t>兴国县妇幼保健计划生育服务中心</w:t>
      </w:r>
      <w:r>
        <w:rPr>
          <w:rFonts w:hint="eastAsia" w:ascii="仿宋" w:hAnsi="仿宋" w:eastAsia="仿宋" w:cs="仿宋"/>
          <w:kern w:val="0"/>
          <w:sz w:val="32"/>
          <w:szCs w:val="32"/>
          <w:lang w:val="en-US" w:eastAsia="zh-CN" w:bidi="ar"/>
        </w:rPr>
        <w:t>是一所集医疗、保健、妇女儿童健康教育、生殖健康服务和教学科研为一体的江西省“二级甲等”妇幼保健专科医院。宗旨和业务范围：为妇女儿童身体健康保健服务、负责妇女保健、儿童保健、妇女病筛查、遗传病筛查、产前诊断与接生、高危孕产妇筛查、监测与监护高危新生儿筛查、治疗与监护儿童疾病防治、妇幼卫生监测与信息管理、妇幼卫生保健人员培训、妇幼保健科学研究计划生育技术服务、妇幼保健咨询等。主要职责有：</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切实履行公共卫生职责，开展与妇女儿童健康密切相关的基本医疗服务。</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完成各级政府和卫生行政部门下达的指令性任务。</w:t>
      </w:r>
      <w:r>
        <w:rPr>
          <w:rFonts w:hint="eastAsia" w:ascii="仿宋" w:hAnsi="仿宋" w:eastAsia="仿宋" w:cs="仿宋"/>
          <w:sz w:val="32"/>
          <w:szCs w:val="32"/>
          <w:lang w:val="en-US" w:eastAsia="zh-CN"/>
        </w:rPr>
        <w:t xml:space="preserve"> </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掌握本辖区妇女儿童健康状况及影响因素，协助卫生行政部门制定本辖区妇幼卫生工作的相关政策、技术规范及各项规章制度。</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受卫生行政部门委托对本辖区各级各类医疗保健机构开展的妇幼卫生服务进行检查、考核与评价。</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负责指导和开展本辖区的妇幼保健健康教育与健康促进工作；组织实施本辖区母婴保健技术培训，对基层医疗保健机构开展业务指导，并提供技术支持。</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负责本辖区孕产妇死亡、婴儿及5岁以下儿童死亡、出生缺陷监测、妇幼卫生服务及技术管理等信息的收集、统计、分析、质量控制和汇总上报。</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开展妇女保健服务，包括青春期保健、婚前和孕前保健、孕产期保健、更年期保健、老年期保健。重点加强心理卫生咨询、营养指导、计划生育技术服务、生殖道感染/性传播疾病等妇女常见病防治。</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开展儿童保健服务，包括胎儿期、新生儿期、婴幼儿期、学龄前期及学龄期保健，受卫生行政部门委托对托幼园所卫生保健进行管理和业务指导。重点加强儿童早期综合发展、营养与喂养指导、生长发育监测、心理行为咨询、儿童疾病综合管理等儿童保健服务。</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开展妇幼卫生、生殖健康的应用性科学研究并组织推广适宜技术。</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提供以下基本医疗服务，包括妇女儿童常见疾病诊治、计划生育技术服务、产前筛查、新生儿疾病筛查、助产技术服务、产前诊断、产科并发症处理、新生儿危重症抢救和治疗等。</w:t>
      </w:r>
    </w:p>
    <w:p>
      <w:pPr>
        <w:numPr>
          <w:ilvl w:val="0"/>
          <w:numId w:val="2"/>
        </w:numPr>
        <w:ind w:left="0" w:leftChars="0" w:firstLine="0" w:firstLineChars="0"/>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单位基本情况</w:t>
      </w:r>
    </w:p>
    <w:p>
      <w:pPr>
        <w:ind w:firstLine="630"/>
        <w:jc w:val="left"/>
        <w:rPr>
          <w:rFonts w:hint="eastAsia" w:ascii="仿宋_GB2312" w:hAnsi="仿宋_GB2312" w:eastAsia="仿宋_GB2312"/>
          <w:color w:val="auto"/>
          <w:sz w:val="32"/>
          <w:szCs w:val="32"/>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kern w:val="0"/>
          <w:sz w:val="32"/>
          <w:szCs w:val="32"/>
          <w:lang w:val="en-US" w:eastAsia="zh-CN" w:bidi="ar"/>
        </w:rPr>
        <w:t>本单位年末现有职工338人（其中在编职工133人、备案制职工94人、借调职工4人、临聘职工107人），其中卫技人员268人，现编制床位105张。</w:t>
      </w:r>
      <w:r>
        <w:rPr>
          <w:rFonts w:hint="eastAsia" w:ascii="仿宋_GB2312" w:hAnsi="仿宋_GB2312" w:eastAsia="仿宋_GB2312"/>
          <w:color w:val="auto"/>
          <w:sz w:val="32"/>
          <w:szCs w:val="32"/>
        </w:rPr>
        <w:t>由养老保险基金发放养老金的离退休人员</w:t>
      </w:r>
      <w:r>
        <w:rPr>
          <w:rFonts w:hint="eastAsia" w:ascii="仿宋_GB2312" w:hAnsi="仿宋_GB2312" w:eastAsia="仿宋_GB2312"/>
          <w:color w:val="auto"/>
          <w:sz w:val="32"/>
          <w:szCs w:val="32"/>
          <w:lang w:val="en-US" w:eastAsia="zh-CN"/>
        </w:rPr>
        <w:t>63</w:t>
      </w:r>
      <w:r>
        <w:rPr>
          <w:rFonts w:hint="eastAsia" w:ascii="仿宋_GB2312" w:hAnsi="仿宋_GB2312" w:eastAsia="仿宋_GB2312"/>
          <w:color w:val="auto"/>
          <w:sz w:val="32"/>
          <w:szCs w:val="32"/>
        </w:rPr>
        <w:t>人</w:t>
      </w:r>
      <w:r>
        <w:rPr>
          <w:rFonts w:hint="eastAsia" w:ascii="仿宋_GB2312" w:hAnsi="仿宋_GB2312" w:eastAsia="仿宋_GB2312"/>
          <w:color w:val="auto"/>
          <w:sz w:val="32"/>
          <w:szCs w:val="32"/>
          <w:lang w:eastAsia="zh-CN"/>
        </w:rPr>
        <w:t>。</w:t>
      </w:r>
    </w:p>
    <w:p>
      <w:pPr>
        <w:keepNext w:val="0"/>
        <w:keepLines w:val="0"/>
        <w:widowControl/>
        <w:suppressLineNumbers w:val="0"/>
        <w:spacing w:before="0" w:beforeAutospacing="0" w:after="0" w:afterAutospacing="0" w:line="480" w:lineRule="auto"/>
        <w:ind w:left="0" w:right="0" w:firstLine="480"/>
        <w:jc w:val="left"/>
        <w:rPr>
          <w:rFonts w:hint="eastAsia" w:ascii="仿宋" w:hAnsi="仿宋" w:eastAsia="仿宋" w:cs="仿宋"/>
          <w:color w:val="FF0000"/>
          <w:kern w:val="0"/>
          <w:sz w:val="32"/>
          <w:szCs w:val="32"/>
          <w:lang w:val="en-US" w:eastAsia="zh-CN" w:bidi="ar"/>
        </w:rPr>
      </w:pPr>
    </w:p>
    <w:p>
      <w:pPr>
        <w:pStyle w:val="2"/>
        <w:rPr>
          <w:rFonts w:hint="eastAsia" w:ascii="仿宋" w:hAnsi="仿宋" w:eastAsia="仿宋" w:cs="仿宋"/>
          <w:kern w:val="0"/>
          <w:sz w:val="32"/>
          <w:szCs w:val="32"/>
          <w:lang w:val="en-US" w:eastAsia="zh-CN" w:bidi="ar"/>
        </w:rPr>
      </w:pPr>
    </w:p>
    <w:p>
      <w:pPr>
        <w:pStyle w:val="2"/>
        <w:ind w:firstLine="640" w:firstLineChars="200"/>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numPr>
          <w:ilvl w:val="0"/>
          <w:numId w:val="1"/>
        </w:numPr>
        <w:ind w:left="0" w:leftChars="0" w:firstLine="0" w:firstLineChars="0"/>
        <w:jc w:val="center"/>
        <w:rPr>
          <w:rFonts w:hint="default" w:ascii="仿宋" w:hAnsi="仿宋" w:eastAsia="仿宋" w:cs="仿宋"/>
          <w:b/>
          <w:bCs/>
          <w:lang w:val="en-US" w:eastAsia="zh-CN"/>
        </w:rPr>
      </w:pPr>
      <w:r>
        <w:rPr>
          <w:rFonts w:hint="eastAsia" w:ascii="宋体" w:hAnsi="宋体" w:eastAsia="宋体" w:cs="宋体"/>
          <w:b/>
          <w:bCs/>
          <w:lang w:val="en-US" w:eastAsia="zh-CN"/>
        </w:rPr>
        <w:t xml:space="preserve"> 2021年度单位决算表</w:t>
      </w: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5"/>
        <w:gridCol w:w="455"/>
        <w:gridCol w:w="455"/>
        <w:gridCol w:w="1397"/>
        <w:gridCol w:w="780"/>
        <w:gridCol w:w="1140"/>
        <w:gridCol w:w="140"/>
        <w:gridCol w:w="1592"/>
        <w:gridCol w:w="1327"/>
        <w:gridCol w:w="631"/>
        <w:gridCol w:w="615"/>
        <w:gridCol w:w="187"/>
        <w:gridCol w:w="10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3"/>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351" w:type="pct"/>
            <w:gridSpan w:val="4"/>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38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5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708" w:type="pct"/>
            <w:gridSpan w:val="7"/>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5000" w:type="pct"/>
            <w:gridSpan w:val="1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编制单位：兴国县妇幼保健计划生育服务中心               2021年度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 w:hRule="atLeast"/>
        </w:trPr>
        <w:tc>
          <w:tcPr>
            <w:tcW w:w="2291" w:type="pct"/>
            <w:gridSpan w:val="6"/>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2708" w:type="pct"/>
            <w:gridSpan w:val="7"/>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55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项目（按功能分类）</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602" w:type="pct"/>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    次</w:t>
            </w:r>
          </w:p>
        </w:tc>
        <w:tc>
          <w:tcPr>
            <w:tcW w:w="381"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55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    次</w:t>
            </w:r>
          </w:p>
        </w:tc>
        <w:tc>
          <w:tcPr>
            <w:tcW w:w="300"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602" w:type="pct"/>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2,110.25</w:t>
            </w: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5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5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5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5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5,723.35</w:t>
            </w: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5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5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5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37.53</w:t>
            </w: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7,221.27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7"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55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55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55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55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7,871.13</w:t>
            </w: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7,341.51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使用非财政拨款结余</w:t>
            </w: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55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结余分配                 </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529.61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年初结转和结余</w:t>
            </w: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55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年末结转和结余                                </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2"/>
                <w:szCs w:val="22"/>
                <w:u w:val="none"/>
              </w:rPr>
            </w:pP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55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5" w:type="pct"/>
            <w:gridSpan w:val="4"/>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2"/>
                <w:szCs w:val="22"/>
                <w:u w:val="none"/>
              </w:rPr>
            </w:pP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602" w:type="pct"/>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 w:hRule="atLeast"/>
        </w:trPr>
        <w:tc>
          <w:tcPr>
            <w:tcW w:w="1351"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38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55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7,871.13</w:t>
            </w:r>
          </w:p>
        </w:tc>
        <w:tc>
          <w:tcPr>
            <w:tcW w:w="180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30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602" w:type="pct"/>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7,871.13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5000" w:type="pct"/>
            <w:gridSpan w:val="1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注：1.本表反映部门本年度的总收支和年末结转结余情况。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trPr>
        <w:tc>
          <w:tcPr>
            <w:tcW w:w="5000" w:type="pct"/>
            <w:gridSpan w:val="1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2.本套报表金额单位转换时可能存在尾数误差。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239" w:type="pct"/>
            <w:gridSpan w:val="13"/>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88" w:type="pct"/>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18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8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34" w:type="pct"/>
            <w:gridSpan w:val="4"/>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66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5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27"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3211" w:type="pct"/>
            <w:gridSpan w:val="9"/>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编制单位：兴国县妇幼保健计划生育服务中心     2021年度</w:t>
            </w:r>
          </w:p>
        </w:tc>
        <w:tc>
          <w:tcPr>
            <w:tcW w:w="1027"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000" w:type="pct"/>
            <w:gridSpan w:val="7"/>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660" w:type="pct"/>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550" w:type="pct"/>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594" w:type="pct"/>
            <w:gridSpan w:val="3"/>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433" w:type="pct"/>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66"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1434" w:type="pct"/>
            <w:gridSpan w:val="4"/>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660"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550"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594" w:type="pct"/>
            <w:gridSpan w:val="3"/>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33"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66"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34" w:type="pct"/>
            <w:gridSpan w:val="4"/>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660"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550"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594" w:type="pct"/>
            <w:gridSpan w:val="3"/>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33"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66"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34" w:type="pct"/>
            <w:gridSpan w:val="4"/>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660"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550"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594" w:type="pct"/>
            <w:gridSpan w:val="3"/>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33"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88" w:type="pct"/>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188"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188"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434"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66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94"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3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88" w:type="pct"/>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8"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8"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434"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7,871.13</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2,110.25</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5,723.35</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100.16</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100.16</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96.59</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96.59</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72.49</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72.49</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机关事业单位职业年金缴费支出</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24.10</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24.10</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7,750.89</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1,990.01</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5,723.35</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公立医院</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312.62</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312.62</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2100206</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妇幼保健医院</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171.56</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171.56</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2100299</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其他公立医院支出</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141.07</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141.07</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7,118.40</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1,357.53</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5,723.35</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2100403</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妇幼保健机构</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6,135.39</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374.52</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5,723.35</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基本公共卫生服务</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238.82</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238.82</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673.22</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673.22</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2100410</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突发公共卫生事件应急处理</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70.96</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70.96</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265.94</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265.94</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265.94</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265.94</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51.64</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51.64</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47.37</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47.37</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2101103</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6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434"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55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594"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4" w:hRule="atLeast"/>
        </w:trPr>
        <w:tc>
          <w:tcPr>
            <w:tcW w:w="4239" w:type="pct"/>
            <w:gridSpan w:val="13"/>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p/>
    <w:p>
      <w:pPr>
        <w:pStyle w:val="2"/>
        <w:numPr>
          <w:ilvl w:val="0"/>
          <w:numId w:val="0"/>
        </w:numPr>
        <w:ind w:leftChars="0"/>
        <w:jc w:val="both"/>
        <w:rPr>
          <w:rFonts w:hint="default" w:ascii="仿宋" w:hAnsi="仿宋" w:eastAsia="仿宋" w:cs="仿宋"/>
          <w:b/>
          <w:bCs/>
          <w:lang w:val="en-US" w:eastAsia="zh-CN"/>
        </w:rPr>
      </w:pPr>
    </w:p>
    <w:p>
      <w:pPr>
        <w:pStyle w:val="2"/>
        <w:numPr>
          <w:ilvl w:val="0"/>
          <w:numId w:val="0"/>
        </w:numPr>
        <w:ind w:leftChars="0"/>
        <w:jc w:val="both"/>
        <w:rPr>
          <w:rFonts w:hint="default" w:ascii="仿宋" w:hAnsi="仿宋" w:eastAsia="仿宋" w:cs="仿宋"/>
          <w:b/>
          <w:bCs/>
          <w:lang w:val="en-US" w:eastAsia="zh-CN"/>
        </w:rPr>
      </w:pPr>
    </w:p>
    <w:p>
      <w:pPr>
        <w:pStyle w:val="2"/>
        <w:numPr>
          <w:ilvl w:val="0"/>
          <w:numId w:val="0"/>
        </w:numPr>
        <w:ind w:leftChars="0"/>
        <w:jc w:val="both"/>
        <w:rPr>
          <w:rFonts w:hint="default" w:ascii="仿宋" w:hAnsi="仿宋" w:eastAsia="仿宋" w:cs="仿宋"/>
          <w:b/>
          <w:bCs/>
          <w:lang w:val="en-US" w:eastAsia="zh-CN"/>
        </w:rPr>
      </w:pPr>
    </w:p>
    <w:tbl>
      <w:tblPr>
        <w:tblStyle w:val="6"/>
        <w:tblW w:w="89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0"/>
        <w:gridCol w:w="436"/>
        <w:gridCol w:w="436"/>
        <w:gridCol w:w="3956"/>
        <w:gridCol w:w="1192"/>
        <w:gridCol w:w="1110"/>
        <w:gridCol w:w="11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8988" w:type="dxa"/>
            <w:gridSpan w:val="7"/>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700"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43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3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95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9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68"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8988" w:type="dxa"/>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编制单位：兴国县妇幼保健计划生育服务中心     2021年度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5528"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119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11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158"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395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19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5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95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19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5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95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19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5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700"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43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43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395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1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5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700" w:type="dxa"/>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3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3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395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7,341.51</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6,008.14</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1,333.37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100.16</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100.16</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96.59</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96.59</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72.49</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72.49</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机关事业单位职业年金缴费支出</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24.10</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24.10</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7,221.27</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5,887.90</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1,333.37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公立医院</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312.62</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121.70</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2100206</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妇幼保健医院</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171.56</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2100299</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其他公立医院支出</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141.07</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121.70</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6,588.79</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5,605.78</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983.01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2100403</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妇幼保健机构</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5,605.78</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5,605.78</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基本公共卫生服务</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238.82</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673.22</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2100410</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突发公共卫生事件应急处理</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70.96</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265.94</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108.78</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265.94</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108.78</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51.64</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51.64</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47.37</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47.37</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2101103</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1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11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11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1" w:hRule="atLeast"/>
          <w:jc w:val="center"/>
        </w:trPr>
        <w:tc>
          <w:tcPr>
            <w:tcW w:w="8988" w:type="dxa"/>
            <w:gridSpan w:val="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p>
      <w:pPr>
        <w:pStyle w:val="2"/>
        <w:numPr>
          <w:ilvl w:val="0"/>
          <w:numId w:val="0"/>
        </w:numPr>
        <w:jc w:val="both"/>
        <w:rPr>
          <w:rFonts w:hint="default" w:ascii="仿宋" w:hAnsi="仿宋" w:eastAsia="仿宋" w:cs="仿宋"/>
          <w:b/>
          <w:bCs/>
          <w:lang w:val="en-US" w:eastAsia="zh-CN"/>
        </w:rPr>
      </w:pPr>
    </w:p>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5544" w:type="pct"/>
        <w:tblInd w:w="-68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4"/>
        <w:gridCol w:w="436"/>
        <w:gridCol w:w="436"/>
        <w:gridCol w:w="436"/>
        <w:gridCol w:w="806"/>
        <w:gridCol w:w="450"/>
        <w:gridCol w:w="1200"/>
        <w:gridCol w:w="1500"/>
        <w:gridCol w:w="1536"/>
        <w:gridCol w:w="504"/>
        <w:gridCol w:w="536"/>
        <w:gridCol w:w="56"/>
        <w:gridCol w:w="1096"/>
        <w:gridCol w:w="179"/>
        <w:gridCol w:w="13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5"/>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财政拨款收入支出决算总表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5000" w:type="pct"/>
            <w:gridSpan w:val="15"/>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5000" w:type="pct"/>
            <w:gridSpan w:val="15"/>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编制单位：兴国县妇幼保健计划生育服务中心         2021年度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 w:hRule="atLeast"/>
        </w:trPr>
        <w:tc>
          <w:tcPr>
            <w:tcW w:w="2002" w:type="pct"/>
            <w:gridSpan w:val="7"/>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2997" w:type="pct"/>
            <w:gridSpan w:val="8"/>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198"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529"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1562" w:type="pct"/>
            <w:gridSpan w:val="3"/>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项目（按功能分类）</w:t>
            </w:r>
          </w:p>
        </w:tc>
        <w:tc>
          <w:tcPr>
            <w:tcW w:w="236"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587" w:type="pct"/>
            <w:gridSpan w:val="3"/>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11"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1274" w:type="pct"/>
            <w:gridSpan w:val="5"/>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98"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29"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62" w:type="pct"/>
            <w:gridSpan w:val="3"/>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36"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87" w:type="pct"/>
            <w:gridSpan w:val="3"/>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611"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    次</w:t>
            </w:r>
          </w:p>
        </w:tc>
        <w:tc>
          <w:tcPr>
            <w:tcW w:w="198"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52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    次</w:t>
            </w:r>
          </w:p>
        </w:tc>
        <w:tc>
          <w:tcPr>
            <w:tcW w:w="236"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587"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1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2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2,110.25</w:t>
            </w: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2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2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100.16</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1,990.01</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1,990.01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529" w:type="pct"/>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52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2,110.25</w:t>
            </w: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2,110.25</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52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52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62" w:type="pct"/>
            <w:gridSpan w:val="3"/>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587" w:type="pct"/>
            <w:gridSpan w:val="3"/>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11"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52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62" w:type="pct"/>
            <w:gridSpan w:val="3"/>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2"/>
                <w:szCs w:val="22"/>
                <w:u w:val="none"/>
              </w:rPr>
            </w:pP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587" w:type="pct"/>
            <w:gridSpan w:val="3"/>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11"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52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62" w:type="pct"/>
            <w:gridSpan w:val="3"/>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2"/>
                <w:szCs w:val="22"/>
                <w:u w:val="none"/>
              </w:rPr>
            </w:pP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587" w:type="pct"/>
            <w:gridSpan w:val="3"/>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11"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1274" w:type="pct"/>
            <w:gridSpan w:val="5"/>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9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52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2,110.25</w:t>
            </w:r>
          </w:p>
        </w:tc>
        <w:tc>
          <w:tcPr>
            <w:tcW w:w="1562"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23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587"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2,110.25</w:t>
            </w:r>
          </w:p>
        </w:tc>
        <w:tc>
          <w:tcPr>
            <w:tcW w:w="61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5000" w:type="pct"/>
            <w:gridSpan w:val="15"/>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540" w:hRule="atLeast"/>
        </w:trPr>
        <w:tc>
          <w:tcPr>
            <w:tcW w:w="3968" w:type="pct"/>
            <w:gridSpan w:val="1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55" w:hRule="atLeast"/>
        </w:trPr>
        <w:tc>
          <w:tcPr>
            <w:tcW w:w="3968" w:type="pct"/>
            <w:gridSpan w:val="1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55" w:hRule="atLeast"/>
        </w:trPr>
        <w:tc>
          <w:tcPr>
            <w:tcW w:w="3968" w:type="pct"/>
            <w:gridSpan w:val="1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编制单位：兴国县妇幼保健计划生育服务中心          2021年度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59" w:hRule="atLeast"/>
        </w:trPr>
        <w:tc>
          <w:tcPr>
            <w:tcW w:w="2323" w:type="pct"/>
            <w:gridSpan w:val="7"/>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677" w:type="pct"/>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483" w:type="pct"/>
            <w:gridSpan w:val="3"/>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483" w:type="pct"/>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1745" w:type="pct"/>
            <w:gridSpan w:val="4"/>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677"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83" w:type="pct"/>
            <w:gridSpan w:val="3"/>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83"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12" w:hRule="atLeast"/>
        </w:trPr>
        <w:tc>
          <w:tcPr>
            <w:tcW w:w="577"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745" w:type="pct"/>
            <w:gridSpan w:val="4"/>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677"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83" w:type="pct"/>
            <w:gridSpan w:val="3"/>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83"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745" w:type="pct"/>
            <w:gridSpan w:val="4"/>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677"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83" w:type="pct"/>
            <w:gridSpan w:val="3"/>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83"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59" w:hRule="atLeast"/>
        </w:trPr>
        <w:tc>
          <w:tcPr>
            <w:tcW w:w="192" w:type="pct"/>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192"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192"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74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67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83" w:type="pct"/>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192" w:type="pct"/>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92"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92"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745" w:type="pct"/>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2,110.25</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776.87</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1,333.37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100.16</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100.16</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96.59</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96.59</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72.49</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72.49</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机关事业单位职业年金缴费支出</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24.10</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1,990.01</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656.64</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1,333.37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公立医院</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312.62</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121.70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2100206</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妇幼保健医院</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171.56</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2100299</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其他公立医院支出</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141.07</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121.70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1,357.53</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374.52</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983.01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2100403</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妇幼保健机构</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374.52</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374.52</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基本公共卫生服务</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238.82</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673.22</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2100410</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突发公共卫生事件应急处理</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70.96</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265.94</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108.78</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265.94</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108.78</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51.64</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51.64</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47.37</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47.37</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2101103</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35" w:hRule="atLeast"/>
        </w:trPr>
        <w:tc>
          <w:tcPr>
            <w:tcW w:w="57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745" w:type="pct"/>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67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483" w:type="pct"/>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341" w:type="pct"/>
          <w:wAfter w:w="690" w:type="pct"/>
          <w:trHeight w:val="259" w:hRule="atLeast"/>
        </w:trPr>
        <w:tc>
          <w:tcPr>
            <w:tcW w:w="3968" w:type="pct"/>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5460" w:type="pct"/>
        <w:tblInd w:w="-55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550"/>
        <w:gridCol w:w="1133"/>
        <w:gridCol w:w="953"/>
        <w:gridCol w:w="1565"/>
        <w:gridCol w:w="1133"/>
        <w:gridCol w:w="1079"/>
        <w:gridCol w:w="1812"/>
        <w:gridCol w:w="1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9"/>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一般公共预算财政拨款基本支出决算表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5000" w:type="pct"/>
            <w:gridSpan w:val="9"/>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5000" w:type="pct"/>
            <w:gridSpan w:val="9"/>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编制单位：兴国县妇幼保健计划生育服务中心          2021年度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551"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3448" w:type="pct"/>
            <w:gridSpan w:val="6"/>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trPr>
        <w:tc>
          <w:tcPr>
            <w:tcW w:w="349" w:type="pc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经济分类科目编码</w:t>
            </w:r>
          </w:p>
        </w:tc>
        <w:tc>
          <w:tcPr>
            <w:tcW w:w="69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0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42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经济分类科目编码</w:t>
            </w:r>
          </w:p>
        </w:tc>
        <w:tc>
          <w:tcPr>
            <w:tcW w:w="7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0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483"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经济分类科目编码</w:t>
            </w:r>
          </w:p>
        </w:tc>
        <w:tc>
          <w:tcPr>
            <w:tcW w:w="81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1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301</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工资福利支出</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660.51</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302</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商品和服务支出</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112.80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307</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债务利息及费用支出</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基本工资</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477.85</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津贴补贴</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0.64</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30703</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国内债务发行费用</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30704</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国外债务发行费用</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绩效工资</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310</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资本性支出</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72.49</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47.37</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公务员医疗补助缴款</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物业管理费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维修（护）费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303</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对个人和家庭的补助</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310111</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专用材料费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被装购置费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生活补贴</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专用燃料费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312</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对企业补助</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31201</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资本金注入</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31203</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政府投资基金股权投资</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代缴社会保险费</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31204</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费用补贴</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69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其他对个人和家庭的补助支出</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31205</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利息补贴</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694"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2"/>
                <w:szCs w:val="22"/>
                <w:u w:val="none"/>
              </w:rPr>
            </w:pPr>
          </w:p>
        </w:tc>
        <w:tc>
          <w:tcPr>
            <w:tcW w:w="50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70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31299</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其他对企业补助</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694"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2"/>
                <w:szCs w:val="22"/>
                <w:u w:val="none"/>
              </w:rPr>
            </w:pPr>
          </w:p>
        </w:tc>
        <w:tc>
          <w:tcPr>
            <w:tcW w:w="50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26" w:type="pct"/>
            <w:tcBorders>
              <w:top w:val="nil"/>
              <w:left w:val="nil"/>
              <w:bottom w:val="single" w:color="000000" w:sz="4" w:space="0"/>
              <w:right w:val="single" w:color="000000" w:sz="4" w:space="0"/>
            </w:tcBorders>
            <w:shd w:val="clear" w:color="FFFFFF" w:fill="C0C0C0"/>
            <w:noWrap/>
            <w:vAlign w:val="bottom"/>
          </w:tcPr>
          <w:p>
            <w:pPr>
              <w:jc w:val="left"/>
              <w:rPr>
                <w:rFonts w:hint="eastAsia" w:ascii="Arial" w:hAnsi="Arial" w:cs="Arial"/>
                <w:i w:val="0"/>
                <w:iCs w:val="0"/>
                <w:color w:val="000000"/>
                <w:sz w:val="20"/>
                <w:szCs w:val="20"/>
                <w:u w:val="none"/>
              </w:rPr>
            </w:pPr>
          </w:p>
        </w:tc>
        <w:tc>
          <w:tcPr>
            <w:tcW w:w="701" w:type="pct"/>
            <w:tcBorders>
              <w:top w:val="nil"/>
              <w:left w:val="nil"/>
              <w:bottom w:val="single" w:color="000000" w:sz="4" w:space="0"/>
              <w:right w:val="single" w:color="000000" w:sz="4" w:space="0"/>
            </w:tcBorders>
            <w:shd w:val="clear" w:color="FFFFFF" w:fill="C0C0C0"/>
            <w:noWrap/>
            <w:vAlign w:val="bottom"/>
          </w:tcPr>
          <w:p>
            <w:pPr>
              <w:jc w:val="left"/>
              <w:rPr>
                <w:rFonts w:hint="default" w:ascii="Arial" w:hAnsi="Arial" w:cs="Arial"/>
                <w:i w:val="0"/>
                <w:iCs w:val="0"/>
                <w:color w:val="000000"/>
                <w:sz w:val="20"/>
                <w:szCs w:val="20"/>
                <w:u w:val="none"/>
              </w:rPr>
            </w:pPr>
          </w:p>
        </w:tc>
        <w:tc>
          <w:tcPr>
            <w:tcW w:w="50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399</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其他支出</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694"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2"/>
                <w:szCs w:val="22"/>
                <w:u w:val="none"/>
              </w:rPr>
            </w:pPr>
          </w:p>
        </w:tc>
        <w:tc>
          <w:tcPr>
            <w:tcW w:w="50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26" w:type="pct"/>
            <w:tcBorders>
              <w:top w:val="nil"/>
              <w:left w:val="nil"/>
              <w:bottom w:val="single" w:color="000000" w:sz="4" w:space="0"/>
              <w:right w:val="single" w:color="000000" w:sz="4" w:space="0"/>
            </w:tcBorders>
            <w:shd w:val="clear" w:color="FFFFFF" w:fill="C0C0C0"/>
            <w:noWrap/>
            <w:vAlign w:val="bottom"/>
          </w:tcPr>
          <w:p>
            <w:pPr>
              <w:jc w:val="left"/>
              <w:rPr>
                <w:rFonts w:hint="default" w:ascii="Arial" w:hAnsi="Arial" w:cs="Arial"/>
                <w:i w:val="0"/>
                <w:iCs w:val="0"/>
                <w:color w:val="000000"/>
                <w:sz w:val="20"/>
                <w:szCs w:val="20"/>
                <w:u w:val="none"/>
              </w:rPr>
            </w:pPr>
          </w:p>
        </w:tc>
        <w:tc>
          <w:tcPr>
            <w:tcW w:w="701" w:type="pct"/>
            <w:tcBorders>
              <w:top w:val="nil"/>
              <w:left w:val="nil"/>
              <w:bottom w:val="single" w:color="000000" w:sz="4" w:space="0"/>
              <w:right w:val="single" w:color="000000" w:sz="4" w:space="0"/>
            </w:tcBorders>
            <w:shd w:val="clear" w:color="FFFFFF" w:fill="C0C0C0"/>
            <w:noWrap/>
            <w:vAlign w:val="bottom"/>
          </w:tcPr>
          <w:p>
            <w:pPr>
              <w:jc w:val="left"/>
              <w:rPr>
                <w:rFonts w:hint="default" w:ascii="Arial" w:hAnsi="Arial" w:cs="Arial"/>
                <w:i w:val="0"/>
                <w:iCs w:val="0"/>
                <w:color w:val="000000"/>
                <w:sz w:val="20"/>
                <w:szCs w:val="20"/>
                <w:u w:val="none"/>
              </w:rPr>
            </w:pPr>
          </w:p>
        </w:tc>
        <w:tc>
          <w:tcPr>
            <w:tcW w:w="50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39906</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赠与</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bottom"/>
          </w:tcPr>
          <w:p>
            <w:pPr>
              <w:jc w:val="left"/>
              <w:rPr>
                <w:rFonts w:hint="default" w:ascii="Arial" w:hAnsi="Arial" w:cs="Arial"/>
                <w:i w:val="0"/>
                <w:iCs w:val="0"/>
                <w:color w:val="000000"/>
                <w:sz w:val="20"/>
                <w:szCs w:val="20"/>
                <w:u w:val="none"/>
              </w:rPr>
            </w:pPr>
          </w:p>
        </w:tc>
        <w:tc>
          <w:tcPr>
            <w:tcW w:w="694" w:type="pct"/>
            <w:tcBorders>
              <w:top w:val="nil"/>
              <w:left w:val="nil"/>
              <w:bottom w:val="single" w:color="000000" w:sz="4" w:space="0"/>
              <w:right w:val="single" w:color="000000" w:sz="4" w:space="0"/>
            </w:tcBorders>
            <w:shd w:val="clear" w:color="FFFFFF" w:fill="C0C0C0"/>
            <w:noWrap/>
            <w:vAlign w:val="bottom"/>
          </w:tcPr>
          <w:p>
            <w:pPr>
              <w:jc w:val="left"/>
              <w:rPr>
                <w:rFonts w:hint="default" w:ascii="Arial" w:hAnsi="Arial" w:cs="Arial"/>
                <w:i w:val="0"/>
                <w:iCs w:val="0"/>
                <w:color w:val="000000"/>
                <w:sz w:val="20"/>
                <w:szCs w:val="20"/>
                <w:u w:val="none"/>
              </w:rPr>
            </w:pPr>
          </w:p>
        </w:tc>
        <w:tc>
          <w:tcPr>
            <w:tcW w:w="50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26" w:type="pct"/>
            <w:tcBorders>
              <w:top w:val="nil"/>
              <w:left w:val="nil"/>
              <w:bottom w:val="single" w:color="000000" w:sz="4" w:space="0"/>
              <w:right w:val="single" w:color="000000" w:sz="4" w:space="0"/>
            </w:tcBorders>
            <w:shd w:val="clear" w:color="FFFFFF" w:fill="C0C0C0"/>
            <w:noWrap/>
            <w:vAlign w:val="bottom"/>
          </w:tcPr>
          <w:p>
            <w:pPr>
              <w:jc w:val="left"/>
              <w:rPr>
                <w:rFonts w:hint="default" w:ascii="Arial" w:hAnsi="Arial" w:cs="Arial"/>
                <w:i w:val="0"/>
                <w:iCs w:val="0"/>
                <w:color w:val="000000"/>
                <w:sz w:val="20"/>
                <w:szCs w:val="20"/>
                <w:u w:val="none"/>
              </w:rPr>
            </w:pPr>
          </w:p>
        </w:tc>
        <w:tc>
          <w:tcPr>
            <w:tcW w:w="701" w:type="pct"/>
            <w:tcBorders>
              <w:top w:val="nil"/>
              <w:left w:val="nil"/>
              <w:bottom w:val="single" w:color="000000" w:sz="4" w:space="0"/>
              <w:right w:val="single" w:color="000000" w:sz="4" w:space="0"/>
            </w:tcBorders>
            <w:shd w:val="clear" w:color="FFFFFF" w:fill="C0C0C0"/>
            <w:noWrap/>
            <w:vAlign w:val="bottom"/>
          </w:tcPr>
          <w:p>
            <w:pPr>
              <w:jc w:val="left"/>
              <w:rPr>
                <w:rFonts w:hint="default" w:ascii="Arial" w:hAnsi="Arial" w:cs="Arial"/>
                <w:i w:val="0"/>
                <w:iCs w:val="0"/>
                <w:color w:val="000000"/>
                <w:sz w:val="20"/>
                <w:szCs w:val="20"/>
                <w:u w:val="none"/>
              </w:rPr>
            </w:pPr>
          </w:p>
        </w:tc>
        <w:tc>
          <w:tcPr>
            <w:tcW w:w="50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694"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2"/>
                <w:szCs w:val="22"/>
                <w:u w:val="none"/>
              </w:rPr>
            </w:pPr>
          </w:p>
        </w:tc>
        <w:tc>
          <w:tcPr>
            <w:tcW w:w="50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26" w:type="pct"/>
            <w:tcBorders>
              <w:top w:val="nil"/>
              <w:left w:val="nil"/>
              <w:bottom w:val="single" w:color="000000" w:sz="4" w:space="0"/>
              <w:right w:val="single" w:color="000000" w:sz="4" w:space="0"/>
            </w:tcBorders>
            <w:shd w:val="clear" w:color="FFFFFF" w:fill="C0C0C0"/>
            <w:noWrap/>
            <w:vAlign w:val="bottom"/>
          </w:tcPr>
          <w:p>
            <w:pPr>
              <w:jc w:val="left"/>
              <w:rPr>
                <w:rFonts w:hint="default" w:ascii="Arial" w:hAnsi="Arial" w:cs="Arial"/>
                <w:i w:val="0"/>
                <w:iCs w:val="0"/>
                <w:color w:val="000000"/>
                <w:sz w:val="20"/>
                <w:szCs w:val="20"/>
                <w:u w:val="none"/>
              </w:rPr>
            </w:pPr>
          </w:p>
        </w:tc>
        <w:tc>
          <w:tcPr>
            <w:tcW w:w="701" w:type="pct"/>
            <w:tcBorders>
              <w:top w:val="nil"/>
              <w:left w:val="nil"/>
              <w:bottom w:val="single" w:color="000000" w:sz="4" w:space="0"/>
              <w:right w:val="single" w:color="000000" w:sz="4" w:space="0"/>
            </w:tcBorders>
            <w:shd w:val="clear" w:color="FFFFFF" w:fill="C0C0C0"/>
            <w:noWrap/>
            <w:vAlign w:val="bottom"/>
          </w:tcPr>
          <w:p>
            <w:pPr>
              <w:jc w:val="left"/>
              <w:rPr>
                <w:rFonts w:hint="default" w:ascii="Arial" w:hAnsi="Arial" w:cs="Arial"/>
                <w:i w:val="0"/>
                <w:iCs w:val="0"/>
                <w:color w:val="000000"/>
                <w:sz w:val="20"/>
                <w:szCs w:val="20"/>
                <w:u w:val="none"/>
              </w:rPr>
            </w:pPr>
          </w:p>
        </w:tc>
        <w:tc>
          <w:tcPr>
            <w:tcW w:w="50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49"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694"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2"/>
                <w:szCs w:val="22"/>
                <w:u w:val="none"/>
              </w:rPr>
            </w:pPr>
          </w:p>
        </w:tc>
        <w:tc>
          <w:tcPr>
            <w:tcW w:w="50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26" w:type="pct"/>
            <w:tcBorders>
              <w:top w:val="nil"/>
              <w:left w:val="nil"/>
              <w:bottom w:val="single" w:color="000000" w:sz="4" w:space="0"/>
              <w:right w:val="single" w:color="000000" w:sz="4" w:space="0"/>
            </w:tcBorders>
            <w:shd w:val="clear" w:color="FFFFFF" w:fill="C0C0C0"/>
            <w:noWrap/>
            <w:vAlign w:val="bottom"/>
          </w:tcPr>
          <w:p>
            <w:pPr>
              <w:jc w:val="left"/>
              <w:rPr>
                <w:rFonts w:hint="default" w:ascii="Arial" w:hAnsi="Arial" w:cs="Arial"/>
                <w:i w:val="0"/>
                <w:iCs w:val="0"/>
                <w:color w:val="000000"/>
                <w:sz w:val="20"/>
                <w:szCs w:val="20"/>
                <w:u w:val="none"/>
              </w:rPr>
            </w:pPr>
          </w:p>
        </w:tc>
        <w:tc>
          <w:tcPr>
            <w:tcW w:w="701" w:type="pct"/>
            <w:tcBorders>
              <w:top w:val="nil"/>
              <w:left w:val="nil"/>
              <w:bottom w:val="single" w:color="000000" w:sz="4" w:space="0"/>
              <w:right w:val="single" w:color="000000" w:sz="4" w:space="0"/>
            </w:tcBorders>
            <w:shd w:val="clear" w:color="FFFFFF" w:fill="C0C0C0"/>
            <w:noWrap/>
            <w:vAlign w:val="bottom"/>
          </w:tcPr>
          <w:p>
            <w:pPr>
              <w:jc w:val="left"/>
              <w:rPr>
                <w:rFonts w:hint="default" w:ascii="Arial" w:hAnsi="Arial" w:cs="Arial"/>
                <w:i w:val="0"/>
                <w:iCs w:val="0"/>
                <w:color w:val="000000"/>
                <w:sz w:val="20"/>
                <w:szCs w:val="20"/>
                <w:u w:val="none"/>
              </w:rPr>
            </w:pPr>
          </w:p>
        </w:tc>
        <w:tc>
          <w:tcPr>
            <w:tcW w:w="50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81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1043" w:type="pct"/>
            <w:gridSpan w:val="2"/>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5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664.07</w:t>
            </w:r>
          </w:p>
        </w:tc>
        <w:tc>
          <w:tcPr>
            <w:tcW w:w="2931" w:type="pct"/>
            <w:gridSpan w:val="5"/>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公用支出合计</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5000" w:type="pct"/>
            <w:gridSpan w:val="9"/>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注：本表反映部门本年度一般公共预算财政拨款基本支出明细情况。</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pPr w:leftFromText="180" w:rightFromText="180" w:vertAnchor="page" w:horzAnchor="page" w:tblpX="1120" w:tblpY="1488"/>
        <w:tblOverlap w:val="never"/>
        <w:tblW w:w="964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77"/>
        <w:gridCol w:w="962"/>
        <w:gridCol w:w="1929"/>
        <w:gridCol w:w="12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652" w:type="dxa"/>
            <w:gridSpan w:val="4"/>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一般公共预算财政拨款“三公”经费支出决算表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0" w:type="auto"/>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0" w:type="auto"/>
            <w:gridSpan w:val="4"/>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编制单位：兴国县妇幼保健计划生育服务中心     2021年度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年初预算数</w:t>
            </w:r>
          </w:p>
        </w:tc>
        <w:tc>
          <w:tcPr>
            <w:tcW w:w="0" w:type="auto"/>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一、“三公”经费支出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1.因公出国（境）费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2.公务用车购置及运行维护费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（1）公务用车购置费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（2）公务用车运行维护费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3.公务接待费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（1）国内接待费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（2）国（境）外接待费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二、相关统计数</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1.因公出国（境）团组数（个）</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2.因公出国（境）人次数（人）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3.公务用车购置数（辆）</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4.公务用车保有量（辆）</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5.国内公务接待批次（个）</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其中：外事接待批次（个）</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6.国内公务接待人次（人）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其中：外事接待人次（人）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7.国（境）外公务接待批次（个）</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8.国（境）外公务接待人次（人）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4" w:hRule="atLeast"/>
        </w:trPr>
        <w:tc>
          <w:tcPr>
            <w:tcW w:w="9652" w:type="dxa"/>
            <w:gridSpan w:val="4"/>
            <w:vMerge w:val="restart"/>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注：本表反映部门本年度“三公”经费支出预决算情况。其中，预算数为“三公”经费年初预算数，决算数是包括当年一般公共预算财政拨款和以前年度结转资金安排的实际支出。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1" w:hRule="atLeast"/>
        </w:trPr>
        <w:tc>
          <w:tcPr>
            <w:tcW w:w="9652" w:type="dxa"/>
            <w:gridSpan w:val="4"/>
            <w:vMerge w:val="continue"/>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sz w:val="22"/>
                <w:szCs w:val="22"/>
                <w:u w:val="none"/>
              </w:rPr>
            </w:pPr>
          </w:p>
        </w:tc>
      </w:tr>
    </w:tbl>
    <w:tbl>
      <w:tblPr>
        <w:tblStyle w:val="6"/>
        <w:tblpPr w:leftFromText="180" w:rightFromText="180" w:vertAnchor="page" w:horzAnchor="page" w:tblpX="1345" w:tblpY="1458"/>
        <w:tblOverlap w:val="never"/>
        <w:tblW w:w="89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6"/>
        <w:gridCol w:w="436"/>
        <w:gridCol w:w="436"/>
        <w:gridCol w:w="1096"/>
        <w:gridCol w:w="1505"/>
        <w:gridCol w:w="1096"/>
        <w:gridCol w:w="656"/>
        <w:gridCol w:w="1096"/>
        <w:gridCol w:w="1096"/>
        <w:gridCol w:w="11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956" w:type="dxa"/>
            <w:gridSpan w:val="10"/>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gridSpan w:val="10"/>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编制单位：兴国县妇幼保健计划生育服务中心        2021年度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150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0" w:type="auto"/>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0" w:type="auto"/>
            <w:gridSpan w:val="3"/>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12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1376"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50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2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1376"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50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2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1376"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50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2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 w:hRule="atLeast"/>
        </w:trPr>
        <w:tc>
          <w:tcPr>
            <w:tcW w:w="0" w:type="auto"/>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7" w:hRule="atLeast"/>
        </w:trPr>
        <w:tc>
          <w:tcPr>
            <w:tcW w:w="0" w:type="auto"/>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0" w:type="auto"/>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说明：当此表数据为零时，即本部门无政府性基金预算财政拨款收入、支出。</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78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4"/>
        <w:gridCol w:w="674"/>
        <w:gridCol w:w="674"/>
        <w:gridCol w:w="1694"/>
        <w:gridCol w:w="1346"/>
        <w:gridCol w:w="1446"/>
        <w:gridCol w:w="13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7862" w:type="dxa"/>
            <w:gridSpan w:val="7"/>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0" w:type="auto"/>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编制单位：兴国县妇幼保健计划生育服务中心   2021年度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1306"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3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318"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1213"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30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3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1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1213"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30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3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1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1213"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30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3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1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0" w:type="auto"/>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0" w:type="auto"/>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jc w:val="center"/>
        </w:trPr>
        <w:tc>
          <w:tcPr>
            <w:tcW w:w="7862" w:type="dxa"/>
            <w:gridSpan w:val="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0" w:type="auto"/>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说明：当此表数据为空时，即本部门无国有资本经营预算财政拨款支出。</w:t>
            </w:r>
          </w:p>
        </w:tc>
      </w:tr>
    </w:tbl>
    <w:tbl>
      <w:tblPr>
        <w:tblStyle w:val="6"/>
        <w:tblpPr w:leftFromText="180" w:rightFromText="180" w:vertAnchor="text" w:horzAnchor="page" w:tblpXSpec="center" w:tblpY="605"/>
        <w:tblOverlap w:val="never"/>
        <w:tblW w:w="797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19"/>
        <w:gridCol w:w="794"/>
        <w:gridCol w:w="10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7973" w:type="dxa"/>
            <w:gridSpan w:val="3"/>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国有资产占用情况表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7973" w:type="dxa"/>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公开10表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7973" w:type="dxa"/>
            <w:gridSpan w:val="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编制单位：兴国县妇幼保健计划生育服务中心    2021年度      单位：台、辆、套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 w:hRule="atLeast"/>
          <w:jc w:val="center"/>
        </w:trPr>
        <w:tc>
          <w:tcPr>
            <w:tcW w:w="6119"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794"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06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61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一、车辆数合计(台、辆)</w:t>
            </w:r>
          </w:p>
        </w:tc>
        <w:tc>
          <w:tcPr>
            <w:tcW w:w="79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61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1.副部（省）级及以上领导用车</w:t>
            </w:r>
          </w:p>
        </w:tc>
        <w:tc>
          <w:tcPr>
            <w:tcW w:w="79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61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2.主要领导干部用车</w:t>
            </w:r>
          </w:p>
        </w:tc>
        <w:tc>
          <w:tcPr>
            <w:tcW w:w="79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61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3.机要通信用车</w:t>
            </w:r>
          </w:p>
        </w:tc>
        <w:tc>
          <w:tcPr>
            <w:tcW w:w="79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61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4.应急保障用车</w:t>
            </w:r>
          </w:p>
        </w:tc>
        <w:tc>
          <w:tcPr>
            <w:tcW w:w="79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61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5.执法执勤用车</w:t>
            </w:r>
          </w:p>
        </w:tc>
        <w:tc>
          <w:tcPr>
            <w:tcW w:w="79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61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6.特种专业技术用车</w:t>
            </w:r>
          </w:p>
        </w:tc>
        <w:tc>
          <w:tcPr>
            <w:tcW w:w="79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jc w:val="center"/>
        </w:trPr>
        <w:tc>
          <w:tcPr>
            <w:tcW w:w="61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7.离退休干部用车</w:t>
            </w:r>
          </w:p>
        </w:tc>
        <w:tc>
          <w:tcPr>
            <w:tcW w:w="79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61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8.其他用车</w:t>
            </w:r>
          </w:p>
        </w:tc>
        <w:tc>
          <w:tcPr>
            <w:tcW w:w="79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61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二、单价50万元（含）以上通用设备（台，套）</w:t>
            </w:r>
          </w:p>
        </w:tc>
        <w:tc>
          <w:tcPr>
            <w:tcW w:w="79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jc w:val="center"/>
        </w:trPr>
        <w:tc>
          <w:tcPr>
            <w:tcW w:w="61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三、单价100万元（含）以上专用设备（台，套）</w:t>
            </w:r>
          </w:p>
        </w:tc>
        <w:tc>
          <w:tcPr>
            <w:tcW w:w="79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4" w:hRule="atLeast"/>
          <w:jc w:val="center"/>
        </w:trPr>
        <w:tc>
          <w:tcPr>
            <w:tcW w:w="7973" w:type="dxa"/>
            <w:gridSpan w:val="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注：本表反映截止2021年12月31日，部门占用的国有资产情况。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4" w:hRule="atLeast"/>
          <w:jc w:val="center"/>
        </w:trPr>
        <w:tc>
          <w:tcPr>
            <w:tcW w:w="7973" w:type="dxa"/>
            <w:gridSpan w:val="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说明：当此表数据为空时，即本部门（单位）无相关资产。</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center"/>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1"/>
        </w:numPr>
        <w:ind w:left="0" w:leftChars="0" w:firstLine="0" w:firstLineChars="0"/>
        <w:jc w:val="center"/>
        <w:rPr>
          <w:rFonts w:hint="eastAsia" w:ascii="宋体" w:hAnsi="宋体" w:eastAsia="宋体" w:cs="宋体"/>
          <w:b/>
          <w:bCs/>
          <w:lang w:val="en-US" w:eastAsia="zh-CN"/>
        </w:rPr>
      </w:pPr>
      <w:r>
        <w:rPr>
          <w:rFonts w:hint="eastAsia" w:ascii="宋体" w:hAnsi="宋体" w:eastAsia="宋体" w:cs="宋体"/>
          <w:b/>
          <w:bCs/>
          <w:lang w:val="en-US" w:eastAsia="zh-CN"/>
        </w:rPr>
        <w:t>2021年度单位决算情况说明</w:t>
      </w:r>
    </w:p>
    <w:p>
      <w:pPr>
        <w:pStyle w:val="2"/>
        <w:numPr>
          <w:ilvl w:val="0"/>
          <w:numId w:val="0"/>
        </w:numPr>
        <w:jc w:val="both"/>
        <w:rPr>
          <w:rFonts w:hint="eastAsia" w:ascii="宋体" w:hAnsi="宋体" w:eastAsia="宋体" w:cs="宋体"/>
          <w:b/>
          <w:bCs/>
          <w:lang w:val="en-US" w:eastAsia="zh-CN"/>
        </w:rPr>
      </w:pPr>
    </w:p>
    <w:p>
      <w:pPr>
        <w:pStyle w:val="2"/>
        <w:numPr>
          <w:ilvl w:val="0"/>
          <w:numId w:val="0"/>
        </w:numPr>
        <w:jc w:val="both"/>
        <w:rPr>
          <w:rFonts w:hint="eastAsia" w:ascii="宋体" w:hAnsi="宋体" w:eastAsia="宋体" w:cs="宋体"/>
          <w:b/>
          <w:bCs/>
          <w:lang w:val="en-US" w:eastAsia="zh-CN"/>
        </w:rPr>
      </w:pPr>
      <w:r>
        <w:rPr>
          <w:rFonts w:hint="eastAsia" w:ascii="宋体" w:hAnsi="宋体" w:eastAsia="宋体" w:cs="宋体"/>
          <w:b/>
          <w:bCs/>
          <w:lang w:val="en-US" w:eastAsia="zh-CN"/>
        </w:rPr>
        <w:t>一、收入决算情况说明</w:t>
      </w:r>
    </w:p>
    <w:p>
      <w:pPr>
        <w:spacing w:line="360" w:lineRule="auto"/>
        <w:ind w:left="638" w:leftChars="304" w:firstLine="640" w:firstLineChars="200"/>
        <w:rPr>
          <w:rFonts w:hint="default" w:ascii="仿宋" w:hAnsi="仿宋" w:eastAsia="仿宋" w:cs="仿宋"/>
          <w:sz w:val="32"/>
          <w:szCs w:val="32"/>
          <w:lang w:val="en-US"/>
        </w:rPr>
      </w:pPr>
      <w:r>
        <w:rPr>
          <w:rFonts w:hint="eastAsia" w:ascii="仿宋" w:hAnsi="仿宋" w:eastAsia="仿宋" w:cs="仿宋"/>
          <w:sz w:val="32"/>
          <w:szCs w:val="32"/>
        </w:rPr>
        <w:t>1、本单位</w:t>
      </w:r>
      <w:r>
        <w:rPr>
          <w:rFonts w:hint="eastAsia" w:ascii="仿宋" w:hAnsi="仿宋" w:eastAsia="仿宋" w:cs="仿宋"/>
          <w:sz w:val="32"/>
          <w:szCs w:val="32"/>
          <w:lang w:val="en-US" w:eastAsia="zh-CN"/>
        </w:rPr>
        <w:t>2021</w:t>
      </w:r>
      <w:r>
        <w:rPr>
          <w:rFonts w:hint="eastAsia" w:ascii="仿宋" w:hAnsi="仿宋" w:eastAsia="仿宋" w:cs="仿宋"/>
          <w:sz w:val="32"/>
          <w:szCs w:val="32"/>
        </w:rPr>
        <w:t>年总收入</w:t>
      </w:r>
      <w:r>
        <w:rPr>
          <w:rFonts w:hint="eastAsia" w:ascii="仿宋" w:hAnsi="仿宋" w:eastAsia="仿宋" w:cs="仿宋"/>
          <w:sz w:val="32"/>
          <w:szCs w:val="32"/>
          <w:lang w:val="en-US" w:eastAsia="zh-CN"/>
        </w:rPr>
        <w:t>7871.13万</w:t>
      </w:r>
      <w:r>
        <w:rPr>
          <w:rFonts w:hint="eastAsia" w:ascii="仿宋" w:hAnsi="仿宋" w:eastAsia="仿宋" w:cs="仿宋"/>
          <w:sz w:val="32"/>
          <w:szCs w:val="32"/>
        </w:rPr>
        <w:t>元，</w:t>
      </w:r>
      <w:r>
        <w:rPr>
          <w:rFonts w:hint="eastAsia" w:ascii="仿宋_GB2312" w:hAnsi="仿宋_GB2312" w:eastAsia="仿宋_GB2312"/>
          <w:color w:val="auto"/>
          <w:sz w:val="32"/>
          <w:szCs w:val="32"/>
        </w:rPr>
        <w:t>其中年初结转和结余</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万元，</w:t>
      </w:r>
      <w:r>
        <w:rPr>
          <w:rFonts w:hint="eastAsia" w:ascii="仿宋" w:hAnsi="仿宋" w:eastAsia="仿宋" w:cs="仿宋"/>
          <w:sz w:val="32"/>
          <w:szCs w:val="32"/>
          <w:lang w:val="en-US" w:eastAsia="zh-CN"/>
        </w:rPr>
        <w:t>较2020年减少1685.44万元，主要原因：上年度财政基建项目资金已使用完毕。</w:t>
      </w:r>
      <w:bookmarkStart w:id="0" w:name="_GoBack"/>
      <w:bookmarkEnd w:id="0"/>
    </w:p>
    <w:p>
      <w:pPr>
        <w:numPr>
          <w:ilvl w:val="0"/>
          <w:numId w:val="0"/>
        </w:numPr>
        <w:spacing w:line="360" w:lineRule="auto"/>
        <w:ind w:left="63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2、本年收入的具体构成为：</w:t>
      </w:r>
      <w:r>
        <w:rPr>
          <w:rFonts w:hint="eastAsia" w:ascii="仿宋" w:hAnsi="仿宋" w:eastAsia="仿宋" w:cs="仿宋"/>
          <w:color w:val="auto"/>
          <w:sz w:val="32"/>
          <w:szCs w:val="32"/>
          <w:lang w:val="en-US" w:eastAsia="zh-CN"/>
        </w:rPr>
        <w:t>财政拨款收入2110.25万元，</w:t>
      </w:r>
      <w:r>
        <w:rPr>
          <w:rFonts w:hint="eastAsia" w:ascii="仿宋" w:hAnsi="仿宋" w:eastAsia="仿宋" w:cs="仿宋"/>
          <w:sz w:val="32"/>
          <w:szCs w:val="32"/>
          <w:lang w:val="en-US" w:eastAsia="zh-CN"/>
        </w:rPr>
        <w:t>占26.90%；事业收入5723.35万元，占72.95%；经营收入0万元，占0%；其他收入37.53万元，占0.48%。</w:t>
      </w:r>
    </w:p>
    <w:p>
      <w:pPr>
        <w:pStyle w:val="2"/>
        <w:ind w:firstLine="1280" w:firstLineChars="400"/>
        <w:rPr>
          <w:rFonts w:hint="default"/>
          <w:lang w:val="en-US"/>
        </w:rPr>
      </w:pPr>
      <w:r>
        <w:rPr>
          <w:rFonts w:hint="eastAsia" w:ascii="仿宋" w:hAnsi="仿宋" w:eastAsia="仿宋" w:cs="仿宋"/>
          <w:sz w:val="32"/>
          <w:szCs w:val="32"/>
          <w:lang w:val="en-US" w:eastAsia="zh-CN"/>
        </w:rPr>
        <w:t>3、收入费用率：93.58%。</w:t>
      </w:r>
    </w:p>
    <w:p>
      <w:pPr>
        <w:pStyle w:val="2"/>
        <w:numPr>
          <w:ilvl w:val="0"/>
          <w:numId w:val="0"/>
        </w:numPr>
        <w:jc w:val="both"/>
        <w:rPr>
          <w:rFonts w:hint="eastAsia" w:ascii="仿宋" w:hAnsi="仿宋" w:eastAsia="仿宋" w:cs="仿宋"/>
          <w:b w:val="0"/>
          <w:bCs w:val="0"/>
          <w:lang w:val="en-US" w:eastAsia="zh-CN"/>
        </w:rPr>
      </w:pPr>
      <w:r>
        <w:rPr>
          <w:rFonts w:hint="eastAsia" w:ascii="宋体" w:hAnsi="宋体" w:eastAsia="宋体" w:cs="宋体"/>
          <w:b/>
          <w:bCs/>
          <w:lang w:val="en-US" w:eastAsia="zh-CN"/>
        </w:rPr>
        <w:t>二、支出决算情况说明</w:t>
      </w:r>
    </w:p>
    <w:p>
      <w:pPr>
        <w:spacing w:line="360" w:lineRule="auto"/>
        <w:ind w:left="638" w:leftChars="304"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、本单位</w:t>
      </w:r>
      <w:r>
        <w:rPr>
          <w:rFonts w:hint="eastAsia" w:ascii="仿宋" w:hAnsi="仿宋" w:eastAsia="仿宋" w:cs="仿宋"/>
          <w:sz w:val="32"/>
          <w:szCs w:val="32"/>
          <w:lang w:val="en-US" w:eastAsia="zh-CN"/>
        </w:rPr>
        <w:t>2021</w:t>
      </w:r>
      <w:r>
        <w:rPr>
          <w:rFonts w:hint="eastAsia" w:ascii="仿宋" w:hAnsi="仿宋" w:eastAsia="仿宋" w:cs="仿宋"/>
          <w:sz w:val="32"/>
          <w:szCs w:val="32"/>
        </w:rPr>
        <w:t>年</w:t>
      </w:r>
      <w:r>
        <w:rPr>
          <w:rFonts w:hint="eastAsia" w:ascii="仿宋" w:hAnsi="仿宋" w:eastAsia="仿宋" w:cs="仿宋"/>
          <w:sz w:val="32"/>
          <w:szCs w:val="32"/>
          <w:lang w:val="en-US" w:eastAsia="zh-CN"/>
        </w:rPr>
        <w:t>度支出总计7871.13万元，其中本年支出合计7341.51万</w:t>
      </w:r>
      <w:r>
        <w:rPr>
          <w:rFonts w:hint="eastAsia" w:ascii="仿宋" w:hAnsi="仿宋" w:eastAsia="仿宋" w:cs="仿宋"/>
          <w:sz w:val="32"/>
          <w:szCs w:val="32"/>
        </w:rPr>
        <w:t>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较2020年减少177.62万元，下降2.36%；年末结转和结余0万元，较2020年减少1967.19万元。</w:t>
      </w:r>
    </w:p>
    <w:p>
      <w:pPr>
        <w:pStyle w:val="2"/>
        <w:ind w:left="640" w:hanging="640" w:hanging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2、本年度支出的具体构成为：基本支出6008.14万元，占81.84%； 项目支出1333.37万元，占18.16%；经营支出0万元，占0%；其他支出（对附属单位补助支出、上缴上级支出）0万元，占0%。</w:t>
      </w:r>
    </w:p>
    <w:p>
      <w:pPr>
        <w:pStyle w:val="2"/>
        <w:ind w:firstLine="1280" w:firstLineChars="4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3、从单位活动类型来看，主要是业务活动费用5132.49万元。</w:t>
      </w:r>
    </w:p>
    <w:p>
      <w:pPr>
        <w:pStyle w:val="2"/>
        <w:ind w:firstLine="1280" w:firstLineChars="4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4、从单位经济性质来看，主要是工资和福利费用2751.75万元。</w:t>
      </w:r>
    </w:p>
    <w:p>
      <w:pPr>
        <w:pStyle w:val="2"/>
        <w:numPr>
          <w:ilvl w:val="0"/>
          <w:numId w:val="0"/>
        </w:numPr>
        <w:ind w:leftChars="0"/>
        <w:jc w:val="both"/>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三、财政拨款支出决算情况说明</w:t>
      </w:r>
    </w:p>
    <w:p>
      <w:pPr>
        <w:spacing w:before="271" w:line="383" w:lineRule="auto"/>
        <w:ind w:left="37" w:right="205" w:firstLine="628"/>
        <w:rPr>
          <w:rFonts w:ascii="仿宋" w:hAnsi="仿宋" w:eastAsia="仿宋" w:cs="仿宋"/>
          <w:sz w:val="32"/>
          <w:szCs w:val="32"/>
        </w:rPr>
      </w:pPr>
      <w:r>
        <w:rPr>
          <w:rFonts w:ascii="仿宋" w:hAnsi="仿宋" w:eastAsia="仿宋" w:cs="仿宋"/>
          <w:spacing w:val="-14"/>
          <w:sz w:val="32"/>
          <w:szCs w:val="32"/>
        </w:rPr>
        <w:t>本</w:t>
      </w:r>
      <w:r>
        <w:rPr>
          <w:rFonts w:ascii="仿宋" w:hAnsi="仿宋" w:eastAsia="仿宋" w:cs="仿宋"/>
          <w:spacing w:val="-12"/>
          <w:sz w:val="32"/>
          <w:szCs w:val="32"/>
        </w:rPr>
        <w:t>单</w:t>
      </w:r>
      <w:r>
        <w:rPr>
          <w:rFonts w:ascii="仿宋" w:hAnsi="仿宋" w:eastAsia="仿宋" w:cs="仿宋"/>
          <w:spacing w:val="-7"/>
          <w:sz w:val="32"/>
          <w:szCs w:val="32"/>
        </w:rPr>
        <w:t>位 2021 年度财政拨款本年支出年初预算数为</w:t>
      </w:r>
      <w:r>
        <w:rPr>
          <w:rFonts w:hint="eastAsia" w:ascii="仿宋" w:hAnsi="仿宋" w:eastAsia="仿宋" w:cs="仿宋"/>
          <w:spacing w:val="-7"/>
          <w:sz w:val="32"/>
          <w:szCs w:val="32"/>
          <w:lang w:val="en-US" w:eastAsia="zh-CN"/>
        </w:rPr>
        <w:t>2110.25</w:t>
      </w:r>
      <w:r>
        <w:rPr>
          <w:rFonts w:ascii="仿宋" w:hAnsi="仿宋" w:eastAsia="仿宋" w:cs="仿宋"/>
          <w:spacing w:val="-13"/>
          <w:sz w:val="32"/>
          <w:szCs w:val="32"/>
        </w:rPr>
        <w:t>万</w:t>
      </w:r>
      <w:r>
        <w:rPr>
          <w:rFonts w:ascii="仿宋" w:hAnsi="仿宋" w:eastAsia="仿宋" w:cs="仿宋"/>
          <w:spacing w:val="-8"/>
          <w:sz w:val="32"/>
          <w:szCs w:val="32"/>
        </w:rPr>
        <w:t xml:space="preserve">元，决算数为 </w:t>
      </w:r>
      <w:r>
        <w:rPr>
          <w:rFonts w:hint="eastAsia" w:ascii="仿宋" w:hAnsi="仿宋" w:eastAsia="仿宋" w:cs="仿宋"/>
          <w:spacing w:val="-8"/>
          <w:sz w:val="32"/>
          <w:szCs w:val="32"/>
          <w:lang w:val="en-US" w:eastAsia="zh-CN"/>
        </w:rPr>
        <w:t>2110.25</w:t>
      </w:r>
      <w:r>
        <w:rPr>
          <w:rFonts w:ascii="仿宋" w:hAnsi="仿宋" w:eastAsia="仿宋" w:cs="仿宋"/>
          <w:spacing w:val="-8"/>
          <w:sz w:val="32"/>
          <w:szCs w:val="32"/>
        </w:rPr>
        <w:t>万元，完成年初预算的 100%。其中：</w:t>
      </w:r>
    </w:p>
    <w:p>
      <w:pPr>
        <w:spacing w:before="1" w:line="384" w:lineRule="auto"/>
        <w:ind w:left="45" w:right="100" w:firstLine="692" w:firstLineChars="237"/>
        <w:rPr>
          <w:rFonts w:ascii="仿宋" w:hAnsi="仿宋" w:eastAsia="仿宋" w:cs="仿宋"/>
          <w:sz w:val="32"/>
          <w:szCs w:val="32"/>
        </w:rPr>
      </w:pPr>
      <w:r>
        <w:rPr>
          <w:rFonts w:hint="eastAsia" w:ascii="仿宋" w:hAnsi="仿宋" w:eastAsia="仿宋" w:cs="仿宋"/>
          <w:spacing w:val="-14"/>
          <w:sz w:val="32"/>
          <w:szCs w:val="32"/>
          <w:lang w:val="en-US" w:eastAsia="zh-CN"/>
        </w:rPr>
        <w:t>1、</w:t>
      </w:r>
      <w:r>
        <w:rPr>
          <w:rFonts w:ascii="仿宋" w:hAnsi="仿宋" w:eastAsia="仿宋" w:cs="仿宋"/>
          <w:spacing w:val="-13"/>
          <w:sz w:val="32"/>
          <w:szCs w:val="32"/>
        </w:rPr>
        <w:t xml:space="preserve"> </w:t>
      </w:r>
      <w:r>
        <w:rPr>
          <w:rFonts w:ascii="仿宋" w:hAnsi="仿宋" w:eastAsia="仿宋" w:cs="仿宋"/>
          <w:spacing w:val="-7"/>
          <w:sz w:val="32"/>
          <w:szCs w:val="32"/>
        </w:rPr>
        <w:t xml:space="preserve">社会保障和就业支出年初预算数为 </w:t>
      </w:r>
      <w:r>
        <w:rPr>
          <w:rFonts w:hint="eastAsia" w:ascii="仿宋" w:hAnsi="仿宋" w:eastAsia="仿宋" w:cs="仿宋"/>
          <w:spacing w:val="-7"/>
          <w:sz w:val="32"/>
          <w:szCs w:val="32"/>
          <w:lang w:val="en-US" w:eastAsia="zh-CN"/>
        </w:rPr>
        <w:t>100.16</w:t>
      </w:r>
      <w:r>
        <w:rPr>
          <w:rFonts w:ascii="仿宋" w:hAnsi="仿宋" w:eastAsia="仿宋" w:cs="仿宋"/>
          <w:spacing w:val="-7"/>
          <w:sz w:val="32"/>
          <w:szCs w:val="32"/>
        </w:rPr>
        <w:t>万元， 决算数</w:t>
      </w:r>
      <w:r>
        <w:rPr>
          <w:rFonts w:ascii="仿宋" w:hAnsi="仿宋" w:eastAsia="仿宋" w:cs="仿宋"/>
          <w:spacing w:val="-20"/>
          <w:sz w:val="32"/>
          <w:szCs w:val="32"/>
        </w:rPr>
        <w:t>为</w:t>
      </w:r>
      <w:r>
        <w:rPr>
          <w:rFonts w:ascii="仿宋" w:hAnsi="仿宋" w:eastAsia="仿宋" w:cs="仿宋"/>
          <w:spacing w:val="-15"/>
          <w:sz w:val="32"/>
          <w:szCs w:val="32"/>
        </w:rPr>
        <w:t xml:space="preserve"> </w:t>
      </w:r>
      <w:r>
        <w:rPr>
          <w:rFonts w:hint="eastAsia" w:ascii="仿宋" w:hAnsi="仿宋" w:eastAsia="仿宋" w:cs="仿宋"/>
          <w:spacing w:val="-10"/>
          <w:sz w:val="32"/>
          <w:szCs w:val="32"/>
          <w:lang w:val="en-US" w:eastAsia="zh-CN"/>
        </w:rPr>
        <w:t>100.16</w:t>
      </w:r>
      <w:r>
        <w:rPr>
          <w:rFonts w:ascii="仿宋" w:hAnsi="仿宋" w:eastAsia="仿宋" w:cs="仿宋"/>
          <w:spacing w:val="-10"/>
          <w:sz w:val="32"/>
          <w:szCs w:val="32"/>
        </w:rPr>
        <w:t xml:space="preserve"> 万元，完成年初预算的 100%。</w:t>
      </w:r>
    </w:p>
    <w:p>
      <w:pPr>
        <w:spacing w:before="1" w:line="383" w:lineRule="auto"/>
        <w:ind w:left="47" w:right="310" w:firstLine="792" w:firstLineChars="236"/>
        <w:rPr>
          <w:rFonts w:ascii="仿宋" w:hAnsi="仿宋" w:eastAsia="仿宋" w:cs="仿宋"/>
          <w:spacing w:val="-6"/>
          <w:sz w:val="32"/>
          <w:szCs w:val="32"/>
        </w:rPr>
      </w:pPr>
      <w:r>
        <w:rPr>
          <w:rFonts w:hint="eastAsia" w:ascii="仿宋" w:hAnsi="仿宋" w:eastAsia="仿宋" w:cs="仿宋"/>
          <w:spacing w:val="8"/>
          <w:sz w:val="32"/>
          <w:szCs w:val="32"/>
          <w:lang w:val="en-US" w:eastAsia="zh-CN"/>
        </w:rPr>
        <w:t>2、</w:t>
      </w:r>
      <w:r>
        <w:rPr>
          <w:rFonts w:ascii="仿宋" w:hAnsi="仿宋" w:eastAsia="仿宋" w:cs="仿宋"/>
          <w:spacing w:val="4"/>
          <w:sz w:val="32"/>
          <w:szCs w:val="32"/>
        </w:rPr>
        <w:t xml:space="preserve">卫生健康支出年初预算数为 </w:t>
      </w:r>
      <w:r>
        <w:rPr>
          <w:rFonts w:hint="eastAsia" w:ascii="仿宋" w:hAnsi="仿宋" w:eastAsia="仿宋" w:cs="仿宋"/>
          <w:spacing w:val="4"/>
          <w:sz w:val="32"/>
          <w:szCs w:val="32"/>
          <w:lang w:val="en-US" w:eastAsia="zh-CN"/>
        </w:rPr>
        <w:t>1990.01</w:t>
      </w:r>
      <w:r>
        <w:rPr>
          <w:rFonts w:ascii="仿宋" w:hAnsi="仿宋" w:eastAsia="仿宋" w:cs="仿宋"/>
          <w:spacing w:val="4"/>
          <w:sz w:val="32"/>
          <w:szCs w:val="32"/>
        </w:rPr>
        <w:t>万元，决算</w:t>
      </w:r>
      <w:r>
        <w:rPr>
          <w:rFonts w:hint="eastAsia" w:ascii="仿宋" w:hAnsi="仿宋" w:eastAsia="仿宋" w:cs="仿宋"/>
          <w:spacing w:val="4"/>
          <w:sz w:val="32"/>
          <w:szCs w:val="32"/>
          <w:lang w:val="en-US" w:eastAsia="zh-CN"/>
        </w:rPr>
        <w:t>数</w:t>
      </w:r>
      <w:r>
        <w:rPr>
          <w:rFonts w:ascii="仿宋" w:hAnsi="仿宋" w:eastAsia="仿宋" w:cs="仿宋"/>
          <w:spacing w:val="4"/>
          <w:sz w:val="32"/>
          <w:szCs w:val="32"/>
        </w:rPr>
        <w:t>为</w:t>
      </w:r>
      <w:r>
        <w:rPr>
          <w:rFonts w:ascii="仿宋" w:hAnsi="仿宋" w:eastAsia="仿宋" w:cs="仿宋"/>
          <w:sz w:val="32"/>
          <w:szCs w:val="32"/>
        </w:rPr>
        <w:t xml:space="preserve"> </w:t>
      </w:r>
      <w:r>
        <w:rPr>
          <w:rFonts w:hint="eastAsia" w:ascii="仿宋" w:hAnsi="仿宋" w:eastAsia="仿宋" w:cs="仿宋"/>
          <w:spacing w:val="-8"/>
          <w:sz w:val="32"/>
          <w:szCs w:val="32"/>
          <w:lang w:val="en-US" w:eastAsia="zh-CN"/>
        </w:rPr>
        <w:t>1990.01</w:t>
      </w:r>
      <w:r>
        <w:rPr>
          <w:rFonts w:ascii="仿宋" w:hAnsi="仿宋" w:eastAsia="仿宋" w:cs="仿宋"/>
          <w:spacing w:val="-8"/>
          <w:sz w:val="32"/>
          <w:szCs w:val="32"/>
        </w:rPr>
        <w:t>万元，完成年</w:t>
      </w:r>
      <w:r>
        <w:rPr>
          <w:rFonts w:hint="eastAsia" w:ascii="仿宋" w:hAnsi="仿宋" w:eastAsia="仿宋" w:cs="仿宋"/>
          <w:spacing w:val="-8"/>
          <w:sz w:val="32"/>
          <w:szCs w:val="32"/>
          <w:lang w:val="en-US" w:eastAsia="zh-CN"/>
        </w:rPr>
        <w:t>初</w:t>
      </w:r>
      <w:r>
        <w:rPr>
          <w:rFonts w:ascii="仿宋" w:hAnsi="仿宋" w:eastAsia="仿宋" w:cs="仿宋"/>
          <w:spacing w:val="-8"/>
          <w:sz w:val="32"/>
          <w:szCs w:val="32"/>
        </w:rPr>
        <w:t>预算数的 100%</w:t>
      </w:r>
      <w:r>
        <w:rPr>
          <w:rFonts w:ascii="仿宋" w:hAnsi="仿宋" w:eastAsia="仿宋" w:cs="仿宋"/>
          <w:spacing w:val="-6"/>
          <w:sz w:val="32"/>
          <w:szCs w:val="32"/>
        </w:rPr>
        <w:t>。</w:t>
      </w:r>
    </w:p>
    <w:p>
      <w:pPr>
        <w:pStyle w:val="2"/>
        <w:rPr>
          <w:rFonts w:hint="eastAsia" w:ascii="宋体" w:hAnsi="宋体" w:eastAsia="宋体" w:cs="宋体"/>
          <w:b/>
          <w:bCs/>
          <w:sz w:val="32"/>
          <w:szCs w:val="32"/>
          <w:lang w:val="en-US" w:eastAsia="zh-CN"/>
        </w:rPr>
      </w:pPr>
      <w:r>
        <w:rPr>
          <w:rFonts w:hint="eastAsia" w:ascii="仿宋" w:hAnsi="仿宋" w:eastAsia="仿宋" w:cs="仿宋"/>
          <w:spacing w:val="-6"/>
          <w:sz w:val="32"/>
          <w:szCs w:val="32"/>
          <w:lang w:val="en-US" w:eastAsia="zh-CN"/>
        </w:rPr>
        <w:t xml:space="preserve">     3、住房保障支出年初预算数为20.08万元，决算数为20.08万元，完成年初预算数的100%。</w:t>
      </w:r>
    </w:p>
    <w:p>
      <w:pPr>
        <w:pStyle w:val="2"/>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四、一般公共预算财政拨款基本支出决算情况说明</w:t>
      </w:r>
    </w:p>
    <w:p>
      <w:pPr>
        <w:ind w:firstLine="585"/>
        <w:jc w:val="left"/>
        <w:rPr>
          <w:rFonts w:hint="eastAsia" w:ascii="仿宋" w:hAnsi="仿宋" w:eastAsia="仿宋"/>
          <w:sz w:val="32"/>
          <w:szCs w:val="32"/>
        </w:rPr>
      </w:pPr>
      <w:r>
        <w:rPr>
          <w:rFonts w:hint="eastAsia" w:ascii="仿宋" w:hAnsi="仿宋" w:eastAsia="仿宋"/>
          <w:sz w:val="32"/>
          <w:szCs w:val="32"/>
        </w:rPr>
        <w:t>本</w:t>
      </w:r>
      <w:r>
        <w:rPr>
          <w:rFonts w:hint="eastAsia" w:ascii="仿宋" w:hAnsi="仿宋" w:eastAsia="仿宋"/>
          <w:sz w:val="32"/>
          <w:szCs w:val="32"/>
          <w:lang w:val="en-US" w:eastAsia="zh-CN"/>
        </w:rPr>
        <w:t>单位2021</w:t>
      </w:r>
      <w:r>
        <w:rPr>
          <w:rFonts w:hint="eastAsia" w:ascii="仿宋" w:hAnsi="仿宋" w:eastAsia="仿宋"/>
          <w:sz w:val="32"/>
          <w:szCs w:val="32"/>
        </w:rPr>
        <w:t>年度一般公共预算财政拨款基本支出</w:t>
      </w:r>
      <w:r>
        <w:rPr>
          <w:rFonts w:hint="eastAsia" w:ascii="仿宋" w:hAnsi="仿宋" w:eastAsia="仿宋"/>
          <w:sz w:val="32"/>
          <w:szCs w:val="32"/>
          <w:lang w:val="en-US" w:eastAsia="zh-CN"/>
        </w:rPr>
        <w:t>776.87</w:t>
      </w:r>
      <w:r>
        <w:rPr>
          <w:rFonts w:hint="eastAsia" w:ascii="仿宋" w:hAnsi="仿宋" w:eastAsia="仿宋"/>
          <w:sz w:val="32"/>
          <w:szCs w:val="32"/>
        </w:rPr>
        <w:t>万元，其中：</w:t>
      </w:r>
    </w:p>
    <w:p>
      <w:pPr>
        <w:ind w:firstLine="585"/>
        <w:jc w:val="left"/>
        <w:rPr>
          <w:rFonts w:hint="eastAsia" w:ascii="仿宋" w:hAnsi="仿宋" w:eastAsia="仿宋"/>
          <w:sz w:val="32"/>
          <w:szCs w:val="32"/>
          <w:lang w:eastAsia="zh-CN"/>
        </w:rPr>
      </w:pPr>
      <w:r>
        <w:rPr>
          <w:rFonts w:hint="eastAsia" w:ascii="仿宋" w:hAnsi="仿宋" w:eastAsia="仿宋"/>
          <w:sz w:val="32"/>
          <w:szCs w:val="32"/>
          <w:lang w:val="en-US" w:eastAsia="zh-CN"/>
        </w:rPr>
        <w:t>1、</w:t>
      </w:r>
      <w:r>
        <w:rPr>
          <w:rFonts w:hint="eastAsia" w:ascii="仿宋" w:hAnsi="仿宋" w:eastAsia="仿宋"/>
          <w:sz w:val="32"/>
          <w:szCs w:val="32"/>
        </w:rPr>
        <w:t>工资福利支出</w:t>
      </w:r>
      <w:r>
        <w:rPr>
          <w:rFonts w:hint="eastAsia" w:ascii="仿宋" w:hAnsi="仿宋" w:eastAsia="仿宋"/>
          <w:sz w:val="32"/>
          <w:szCs w:val="32"/>
          <w:lang w:val="en-US" w:eastAsia="zh-CN"/>
        </w:rPr>
        <w:t>660.51</w:t>
      </w:r>
      <w:r>
        <w:rPr>
          <w:rFonts w:hint="eastAsia" w:ascii="仿宋" w:hAnsi="仿宋" w:eastAsia="仿宋"/>
          <w:sz w:val="32"/>
          <w:szCs w:val="32"/>
        </w:rPr>
        <w:t>万元，较20</w:t>
      </w:r>
      <w:r>
        <w:rPr>
          <w:rFonts w:hint="eastAsia" w:ascii="仿宋" w:hAnsi="仿宋" w:eastAsia="仿宋"/>
          <w:sz w:val="32"/>
          <w:szCs w:val="32"/>
          <w:lang w:val="en-US" w:eastAsia="zh-CN"/>
        </w:rPr>
        <w:t>20</w:t>
      </w:r>
      <w:r>
        <w:rPr>
          <w:rFonts w:hint="eastAsia" w:ascii="仿宋" w:hAnsi="仿宋" w:eastAsia="仿宋"/>
          <w:sz w:val="32"/>
          <w:szCs w:val="32"/>
        </w:rPr>
        <w:t>年</w:t>
      </w:r>
      <w:r>
        <w:rPr>
          <w:rFonts w:hint="eastAsia" w:ascii="仿宋" w:hAnsi="仿宋" w:eastAsia="仿宋"/>
          <w:sz w:val="32"/>
          <w:szCs w:val="32"/>
          <w:lang w:val="en-US" w:eastAsia="zh-CN"/>
        </w:rPr>
        <w:t>减少22.11</w:t>
      </w:r>
      <w:r>
        <w:rPr>
          <w:rFonts w:hint="eastAsia" w:ascii="仿宋" w:hAnsi="仿宋" w:eastAsia="仿宋"/>
          <w:sz w:val="32"/>
          <w:szCs w:val="32"/>
        </w:rPr>
        <w:t>万元，增长</w:t>
      </w:r>
      <w:r>
        <w:rPr>
          <w:rFonts w:hint="eastAsia" w:ascii="仿宋" w:hAnsi="仿宋" w:eastAsia="仿宋"/>
          <w:sz w:val="32"/>
          <w:szCs w:val="32"/>
          <w:lang w:val="en-US" w:eastAsia="zh-CN"/>
        </w:rPr>
        <w:t>-3.24</w:t>
      </w:r>
      <w:r>
        <w:rPr>
          <w:rFonts w:hint="eastAsia" w:ascii="仿宋" w:hAnsi="仿宋" w:eastAsia="仿宋"/>
          <w:sz w:val="32"/>
          <w:szCs w:val="32"/>
        </w:rPr>
        <w:t>%</w:t>
      </w:r>
      <w:r>
        <w:rPr>
          <w:rFonts w:hint="eastAsia" w:ascii="仿宋" w:hAnsi="仿宋" w:eastAsia="仿宋"/>
          <w:sz w:val="32"/>
          <w:szCs w:val="32"/>
          <w:lang w:eastAsia="zh-CN"/>
        </w:rPr>
        <w:t>。</w:t>
      </w:r>
    </w:p>
    <w:p>
      <w:pPr>
        <w:ind w:firstLine="585"/>
        <w:jc w:val="left"/>
        <w:rPr>
          <w:rFonts w:hint="eastAsia"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商品和服务支出</w:t>
      </w:r>
      <w:r>
        <w:rPr>
          <w:rFonts w:hint="eastAsia" w:ascii="仿宋" w:hAnsi="仿宋" w:eastAsia="仿宋"/>
          <w:sz w:val="32"/>
          <w:szCs w:val="32"/>
          <w:lang w:val="en-US" w:eastAsia="zh-CN"/>
        </w:rPr>
        <w:t>112.80</w:t>
      </w:r>
      <w:r>
        <w:rPr>
          <w:rFonts w:hint="eastAsia" w:ascii="仿宋" w:hAnsi="仿宋" w:eastAsia="仿宋"/>
          <w:sz w:val="32"/>
          <w:szCs w:val="32"/>
        </w:rPr>
        <w:t>万元，较20</w:t>
      </w:r>
      <w:r>
        <w:rPr>
          <w:rFonts w:hint="eastAsia" w:ascii="仿宋" w:hAnsi="仿宋" w:eastAsia="仿宋"/>
          <w:sz w:val="32"/>
          <w:szCs w:val="32"/>
          <w:lang w:val="en-US" w:eastAsia="zh-CN"/>
        </w:rPr>
        <w:t>20</w:t>
      </w:r>
      <w:r>
        <w:rPr>
          <w:rFonts w:hint="eastAsia" w:ascii="仿宋" w:hAnsi="仿宋" w:eastAsia="仿宋"/>
          <w:sz w:val="32"/>
          <w:szCs w:val="32"/>
        </w:rPr>
        <w:t>年</w:t>
      </w:r>
      <w:r>
        <w:rPr>
          <w:rFonts w:hint="eastAsia" w:ascii="仿宋" w:hAnsi="仿宋" w:eastAsia="仿宋"/>
          <w:sz w:val="32"/>
          <w:szCs w:val="32"/>
          <w:lang w:val="en-US" w:eastAsia="zh-CN"/>
        </w:rPr>
        <w:t>减少457.48</w:t>
      </w:r>
      <w:r>
        <w:rPr>
          <w:rFonts w:hint="eastAsia" w:ascii="仿宋" w:hAnsi="仿宋" w:eastAsia="仿宋"/>
          <w:sz w:val="32"/>
          <w:szCs w:val="32"/>
        </w:rPr>
        <w:t>万元，增长</w:t>
      </w:r>
      <w:r>
        <w:rPr>
          <w:rFonts w:hint="eastAsia" w:ascii="仿宋" w:hAnsi="仿宋" w:eastAsia="仿宋"/>
          <w:sz w:val="32"/>
          <w:szCs w:val="32"/>
          <w:lang w:val="en-US" w:eastAsia="zh-CN"/>
        </w:rPr>
        <w:t>-80.22</w:t>
      </w:r>
      <w:r>
        <w:rPr>
          <w:rFonts w:hint="eastAsia" w:ascii="仿宋" w:hAnsi="仿宋" w:eastAsia="仿宋"/>
          <w:sz w:val="32"/>
          <w:szCs w:val="32"/>
        </w:rPr>
        <w:t>%。</w:t>
      </w:r>
    </w:p>
    <w:p>
      <w:pPr>
        <w:ind w:firstLine="585"/>
        <w:jc w:val="left"/>
        <w:rPr>
          <w:rFonts w:hint="default" w:ascii="仿宋" w:hAnsi="仿宋" w:eastAsia="仿宋"/>
          <w:sz w:val="32"/>
          <w:szCs w:val="32"/>
          <w:lang w:val="en-US" w:eastAsia="zh-CN"/>
        </w:rPr>
      </w:pPr>
      <w:r>
        <w:rPr>
          <w:rFonts w:hint="eastAsia" w:ascii="仿宋" w:hAnsi="仿宋" w:eastAsia="仿宋"/>
          <w:sz w:val="32"/>
          <w:szCs w:val="32"/>
          <w:lang w:val="en-US" w:eastAsia="zh-CN"/>
        </w:rPr>
        <w:t>3、</w:t>
      </w:r>
      <w:r>
        <w:rPr>
          <w:rFonts w:hint="eastAsia" w:ascii="仿宋" w:hAnsi="仿宋" w:eastAsia="仿宋"/>
          <w:sz w:val="32"/>
          <w:szCs w:val="32"/>
        </w:rPr>
        <w:t>对个人和家庭补助支出</w:t>
      </w:r>
      <w:r>
        <w:rPr>
          <w:rFonts w:hint="eastAsia" w:ascii="仿宋" w:hAnsi="仿宋" w:eastAsia="仿宋"/>
          <w:sz w:val="32"/>
          <w:szCs w:val="32"/>
          <w:lang w:val="en-US" w:eastAsia="zh-CN"/>
        </w:rPr>
        <w:t>3.57</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sz w:val="32"/>
          <w:szCs w:val="32"/>
          <w:lang w:val="en-US" w:eastAsia="zh-CN"/>
        </w:rPr>
        <w:t>主要原因是：本单位职工抚恤金费用支出。</w:t>
      </w:r>
    </w:p>
    <w:p>
      <w:pPr>
        <w:ind w:firstLine="585"/>
        <w:jc w:val="left"/>
        <w:rPr>
          <w:rFonts w:hint="eastAsia" w:ascii="仿宋" w:hAnsi="仿宋" w:eastAsia="仿宋"/>
          <w:sz w:val="32"/>
          <w:szCs w:val="32"/>
          <w:lang w:eastAsia="zh-CN"/>
        </w:rPr>
      </w:pPr>
      <w:r>
        <w:rPr>
          <w:rFonts w:hint="eastAsia" w:ascii="仿宋" w:hAnsi="仿宋" w:eastAsia="仿宋"/>
          <w:sz w:val="32"/>
          <w:szCs w:val="32"/>
          <w:lang w:val="en-US" w:eastAsia="zh-CN"/>
        </w:rPr>
        <w:t>4、</w:t>
      </w:r>
      <w:r>
        <w:rPr>
          <w:rFonts w:hint="eastAsia" w:ascii="仿宋" w:hAnsi="仿宋" w:eastAsia="仿宋"/>
          <w:sz w:val="32"/>
          <w:szCs w:val="32"/>
        </w:rPr>
        <w:t>资本性支出</w:t>
      </w:r>
      <w:r>
        <w:rPr>
          <w:rFonts w:hint="eastAsia" w:ascii="仿宋" w:hAnsi="仿宋" w:eastAsia="仿宋"/>
          <w:sz w:val="32"/>
          <w:szCs w:val="32"/>
          <w:lang w:val="en-US" w:eastAsia="zh-CN"/>
        </w:rPr>
        <w:t>0</w:t>
      </w:r>
      <w:r>
        <w:rPr>
          <w:rFonts w:hint="eastAsia" w:ascii="仿宋" w:hAnsi="仿宋" w:eastAsia="仿宋"/>
          <w:sz w:val="32"/>
          <w:szCs w:val="32"/>
        </w:rPr>
        <w:t>万元，较20</w:t>
      </w:r>
      <w:r>
        <w:rPr>
          <w:rFonts w:hint="eastAsia" w:ascii="仿宋" w:hAnsi="仿宋" w:eastAsia="仿宋"/>
          <w:sz w:val="32"/>
          <w:szCs w:val="32"/>
          <w:lang w:val="en-US" w:eastAsia="zh-CN"/>
        </w:rPr>
        <w:t>20</w:t>
      </w:r>
      <w:r>
        <w:rPr>
          <w:rFonts w:hint="eastAsia" w:ascii="仿宋" w:hAnsi="仿宋" w:eastAsia="仿宋"/>
          <w:sz w:val="32"/>
          <w:szCs w:val="32"/>
        </w:rPr>
        <w:t>年减少</w:t>
      </w:r>
      <w:r>
        <w:rPr>
          <w:rFonts w:hint="eastAsia" w:ascii="仿宋" w:hAnsi="仿宋" w:eastAsia="仿宋"/>
          <w:sz w:val="32"/>
          <w:szCs w:val="32"/>
          <w:lang w:val="en-US" w:eastAsia="zh-CN"/>
        </w:rPr>
        <w:t>0</w:t>
      </w:r>
      <w:r>
        <w:rPr>
          <w:rFonts w:hint="eastAsia" w:ascii="仿宋" w:hAnsi="仿宋" w:eastAsia="仿宋"/>
          <w:sz w:val="32"/>
          <w:szCs w:val="32"/>
        </w:rPr>
        <w:t>万元</w:t>
      </w:r>
      <w:r>
        <w:rPr>
          <w:rFonts w:hint="eastAsia" w:ascii="仿宋" w:hAnsi="仿宋" w:eastAsia="仿宋"/>
          <w:sz w:val="32"/>
          <w:szCs w:val="32"/>
          <w:lang w:eastAsia="zh-CN"/>
        </w:rPr>
        <w:t>。</w:t>
      </w:r>
    </w:p>
    <w:p>
      <w:pPr>
        <w:jc w:val="left"/>
        <w:rPr>
          <w:rFonts w:hint="eastAsia" w:ascii="宋体" w:hAnsi="宋体" w:eastAsia="宋体" w:cs="宋体"/>
          <w:b/>
          <w:bCs/>
          <w:sz w:val="32"/>
          <w:szCs w:val="32"/>
        </w:rPr>
      </w:pPr>
      <w:r>
        <w:rPr>
          <w:rFonts w:hint="eastAsia" w:ascii="宋体" w:hAnsi="宋体" w:eastAsia="宋体" w:cs="宋体"/>
          <w:b/>
          <w:bCs/>
          <w:sz w:val="32"/>
          <w:szCs w:val="32"/>
          <w:lang w:val="en-US" w:eastAsia="zh-CN"/>
        </w:rPr>
        <w:t>五、</w:t>
      </w:r>
      <w:r>
        <w:rPr>
          <w:rFonts w:hint="eastAsia" w:ascii="宋体" w:hAnsi="宋体" w:eastAsia="宋体" w:cs="宋体"/>
          <w:b/>
          <w:bCs/>
          <w:sz w:val="32"/>
          <w:szCs w:val="32"/>
        </w:rPr>
        <w:t>一般公共预算财政拨款“三公”经费支出决算情况说明</w:t>
      </w:r>
    </w:p>
    <w:p>
      <w:pPr>
        <w:ind w:firstLine="630"/>
        <w:jc w:val="left"/>
        <w:rPr>
          <w:rFonts w:hint="eastAsia" w:ascii="仿宋" w:hAnsi="仿宋" w:eastAsia="仿宋" w:cs="仿宋"/>
          <w:sz w:val="32"/>
          <w:szCs w:val="32"/>
        </w:rPr>
      </w:pPr>
      <w:r>
        <w:rPr>
          <w:rFonts w:hint="eastAsia" w:ascii="仿宋" w:hAnsi="仿宋" w:eastAsia="仿宋" w:cs="仿宋"/>
          <w:sz w:val="32"/>
          <w:szCs w:val="32"/>
        </w:rPr>
        <w:t>本</w:t>
      </w:r>
      <w:r>
        <w:rPr>
          <w:rFonts w:hint="eastAsia" w:ascii="仿宋" w:hAnsi="仿宋" w:eastAsia="仿宋" w:cs="仿宋"/>
          <w:sz w:val="32"/>
          <w:szCs w:val="32"/>
          <w:lang w:val="en-US" w:eastAsia="zh-CN"/>
        </w:rPr>
        <w:t>单位2021</w:t>
      </w:r>
      <w:r>
        <w:rPr>
          <w:rFonts w:hint="eastAsia" w:ascii="仿宋" w:hAnsi="仿宋" w:eastAsia="仿宋" w:cs="仿宋"/>
          <w:sz w:val="32"/>
          <w:szCs w:val="32"/>
        </w:rPr>
        <w:t>年度一般公共预算财政拨款“三公”经费支出年初预算数为</w:t>
      </w:r>
      <w:r>
        <w:rPr>
          <w:rFonts w:hint="eastAsia" w:ascii="仿宋" w:hAnsi="仿宋" w:eastAsia="仿宋" w:cs="仿宋"/>
          <w:sz w:val="32"/>
          <w:szCs w:val="32"/>
          <w:lang w:val="en-US" w:eastAsia="zh-CN"/>
        </w:rPr>
        <w:t>0</w:t>
      </w:r>
      <w:r>
        <w:rPr>
          <w:rFonts w:hint="eastAsia" w:ascii="仿宋" w:hAnsi="仿宋" w:eastAsia="仿宋" w:cs="仿宋"/>
          <w:sz w:val="32"/>
          <w:szCs w:val="32"/>
        </w:rPr>
        <w:t>万元，决算数为</w:t>
      </w:r>
      <w:r>
        <w:rPr>
          <w:rFonts w:hint="eastAsia" w:ascii="仿宋" w:hAnsi="仿宋" w:eastAsia="仿宋" w:cs="仿宋"/>
          <w:sz w:val="32"/>
          <w:szCs w:val="32"/>
          <w:lang w:val="en-US" w:eastAsia="zh-CN"/>
        </w:rPr>
        <w:t>0</w:t>
      </w:r>
      <w:r>
        <w:rPr>
          <w:rFonts w:hint="eastAsia" w:ascii="仿宋" w:hAnsi="仿宋" w:eastAsia="仿宋" w:cs="仿宋"/>
          <w:sz w:val="32"/>
          <w:szCs w:val="32"/>
        </w:rPr>
        <w:t>万元，完成预算的</w:t>
      </w:r>
      <w:r>
        <w:rPr>
          <w:rFonts w:hint="eastAsia" w:ascii="仿宋" w:hAnsi="仿宋" w:eastAsia="仿宋" w:cs="仿宋"/>
          <w:sz w:val="32"/>
          <w:szCs w:val="32"/>
          <w:lang w:val="en-US" w:eastAsia="zh-CN"/>
        </w:rPr>
        <w:t xml:space="preserve">0 </w:t>
      </w:r>
      <w:r>
        <w:rPr>
          <w:rFonts w:hint="eastAsia" w:ascii="仿宋" w:hAnsi="仿宋" w:eastAsia="仿宋" w:cs="仿宋"/>
          <w:sz w:val="32"/>
          <w:szCs w:val="32"/>
        </w:rPr>
        <w:t>%，其中：</w:t>
      </w:r>
    </w:p>
    <w:p>
      <w:pPr>
        <w:ind w:firstLine="630"/>
        <w:jc w:val="left"/>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因公出国（境）支出年初预算数为0万元，决算数为0万元，完成预算的</w:t>
      </w:r>
      <w:r>
        <w:rPr>
          <w:rFonts w:hint="eastAsia" w:ascii="仿宋" w:hAnsi="仿宋" w:eastAsia="仿宋" w:cs="仿宋"/>
          <w:sz w:val="32"/>
          <w:szCs w:val="32"/>
          <w:lang w:val="en-US" w:eastAsia="zh-CN"/>
        </w:rPr>
        <w:t>0</w:t>
      </w:r>
      <w:r>
        <w:rPr>
          <w:rFonts w:hint="eastAsia" w:ascii="仿宋" w:hAnsi="仿宋" w:eastAsia="仿宋" w:cs="仿宋"/>
          <w:sz w:val="32"/>
          <w:szCs w:val="32"/>
        </w:rPr>
        <w:t xml:space="preserve"> %，决算数较20</w:t>
      </w:r>
      <w:r>
        <w:rPr>
          <w:rFonts w:hint="eastAsia" w:ascii="仿宋" w:hAnsi="仿宋" w:eastAsia="仿宋" w:cs="仿宋"/>
          <w:sz w:val="32"/>
          <w:szCs w:val="32"/>
          <w:lang w:val="en-US" w:eastAsia="zh-CN"/>
        </w:rPr>
        <w:t>20</w:t>
      </w:r>
      <w:r>
        <w:rPr>
          <w:rFonts w:hint="eastAsia" w:ascii="仿宋" w:hAnsi="仿宋" w:eastAsia="仿宋" w:cs="仿宋"/>
          <w:sz w:val="32"/>
          <w:szCs w:val="32"/>
        </w:rPr>
        <w:t>年增加（减少）0万元，增长（下降）0%。</w:t>
      </w:r>
    </w:p>
    <w:p>
      <w:pPr>
        <w:ind w:firstLine="630"/>
        <w:jc w:val="left"/>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公务接待费支出年初预算数为</w:t>
      </w:r>
      <w:r>
        <w:rPr>
          <w:rFonts w:hint="eastAsia" w:ascii="仿宋" w:hAnsi="仿宋" w:eastAsia="仿宋" w:cs="仿宋"/>
          <w:sz w:val="32"/>
          <w:szCs w:val="32"/>
          <w:lang w:val="en-US" w:eastAsia="zh-CN"/>
        </w:rPr>
        <w:t>0</w:t>
      </w:r>
      <w:r>
        <w:rPr>
          <w:rFonts w:hint="eastAsia" w:ascii="仿宋" w:hAnsi="仿宋" w:eastAsia="仿宋" w:cs="仿宋"/>
          <w:sz w:val="32"/>
          <w:szCs w:val="32"/>
        </w:rPr>
        <w:t>万元，决算数为</w:t>
      </w:r>
      <w:r>
        <w:rPr>
          <w:rFonts w:hint="eastAsia" w:ascii="仿宋" w:hAnsi="仿宋" w:eastAsia="仿宋" w:cs="仿宋"/>
          <w:sz w:val="32"/>
          <w:szCs w:val="32"/>
          <w:lang w:val="en-US" w:eastAsia="zh-CN"/>
        </w:rPr>
        <w:t>0</w:t>
      </w:r>
      <w:r>
        <w:rPr>
          <w:rFonts w:hint="eastAsia" w:ascii="仿宋" w:hAnsi="仿宋" w:eastAsia="仿宋" w:cs="仿宋"/>
          <w:sz w:val="32"/>
          <w:szCs w:val="32"/>
        </w:rPr>
        <w:t>万元，完成预算的</w:t>
      </w:r>
      <w:r>
        <w:rPr>
          <w:rFonts w:hint="eastAsia" w:ascii="仿宋" w:hAnsi="仿宋" w:eastAsia="仿宋" w:cs="仿宋"/>
          <w:sz w:val="32"/>
          <w:szCs w:val="32"/>
          <w:lang w:val="en-US" w:eastAsia="zh-CN"/>
        </w:rPr>
        <w:t>0</w:t>
      </w:r>
      <w:r>
        <w:rPr>
          <w:rFonts w:hint="eastAsia" w:ascii="仿宋" w:hAnsi="仿宋" w:eastAsia="仿宋" w:cs="仿宋"/>
          <w:sz w:val="32"/>
          <w:szCs w:val="32"/>
        </w:rPr>
        <w:t>%，决算数较20</w:t>
      </w:r>
      <w:r>
        <w:rPr>
          <w:rFonts w:hint="eastAsia" w:ascii="仿宋" w:hAnsi="仿宋" w:eastAsia="仿宋" w:cs="仿宋"/>
          <w:sz w:val="32"/>
          <w:szCs w:val="32"/>
          <w:lang w:val="en-US" w:eastAsia="zh-CN"/>
        </w:rPr>
        <w:t>20</w:t>
      </w:r>
      <w:r>
        <w:rPr>
          <w:rFonts w:hint="eastAsia" w:ascii="仿宋" w:hAnsi="仿宋" w:eastAsia="仿宋" w:cs="仿宋"/>
          <w:sz w:val="32"/>
          <w:szCs w:val="32"/>
        </w:rPr>
        <w:t>年</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增加</w:t>
      </w:r>
      <w:r>
        <w:rPr>
          <w:rFonts w:hint="eastAsia" w:ascii="仿宋" w:hAnsi="仿宋" w:eastAsia="仿宋" w:cs="仿宋"/>
          <w:sz w:val="32"/>
          <w:szCs w:val="32"/>
          <w:lang w:eastAsia="zh-CN"/>
        </w:rPr>
        <w:t>）</w:t>
      </w:r>
      <w:r>
        <w:rPr>
          <w:rFonts w:hint="eastAsia" w:ascii="仿宋" w:hAnsi="仿宋" w:eastAsia="仿宋" w:cs="仿宋"/>
          <w:sz w:val="32"/>
          <w:szCs w:val="32"/>
        </w:rPr>
        <w:t>减少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val="en-US" w:eastAsia="zh-CN"/>
        </w:rPr>
        <w:t>增长（下降）0</w:t>
      </w:r>
      <w:r>
        <w:rPr>
          <w:rFonts w:hint="eastAsia" w:ascii="仿宋" w:hAnsi="仿宋" w:eastAsia="仿宋" w:cs="仿宋"/>
          <w:sz w:val="32"/>
          <w:szCs w:val="32"/>
        </w:rPr>
        <w:t>%。</w:t>
      </w:r>
    </w:p>
    <w:p>
      <w:pPr>
        <w:pStyle w:val="2"/>
        <w:ind w:firstLine="640" w:firstLineChars="200"/>
        <w:rPr>
          <w:rFonts w:hint="eastAsia"/>
          <w:lang w:val="en-US"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公务用车购置及运行维护费支出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万元，其中公务用车购置年初预算数为0万元，决算数为0万元，完成预算的0%，决算数较20</w:t>
      </w:r>
      <w:r>
        <w:rPr>
          <w:rFonts w:hint="eastAsia" w:ascii="仿宋" w:hAnsi="仿宋" w:eastAsia="仿宋" w:cs="仿宋"/>
          <w:sz w:val="32"/>
          <w:szCs w:val="32"/>
          <w:lang w:val="en-US" w:eastAsia="zh-CN"/>
        </w:rPr>
        <w:t>20</w:t>
      </w:r>
      <w:r>
        <w:rPr>
          <w:rFonts w:hint="eastAsia" w:ascii="仿宋" w:hAnsi="仿宋" w:eastAsia="仿宋" w:cs="仿宋"/>
          <w:sz w:val="32"/>
          <w:szCs w:val="32"/>
        </w:rPr>
        <w:t>年增加（减少）0万元，增长（下降）0%。公务用车运行维护费支出年初预算数为</w:t>
      </w:r>
      <w:r>
        <w:rPr>
          <w:rFonts w:hint="eastAsia" w:ascii="仿宋" w:hAnsi="仿宋" w:eastAsia="仿宋" w:cs="仿宋"/>
          <w:sz w:val="32"/>
          <w:szCs w:val="32"/>
          <w:lang w:val="en-US" w:eastAsia="zh-CN"/>
        </w:rPr>
        <w:t xml:space="preserve"> 0</w:t>
      </w:r>
      <w:r>
        <w:rPr>
          <w:rFonts w:hint="eastAsia" w:ascii="仿宋" w:hAnsi="仿宋" w:eastAsia="仿宋" w:cs="仿宋"/>
          <w:sz w:val="32"/>
          <w:szCs w:val="32"/>
        </w:rPr>
        <w:t>万元，决算数为</w:t>
      </w:r>
      <w:r>
        <w:rPr>
          <w:rFonts w:hint="eastAsia" w:ascii="仿宋" w:hAnsi="仿宋" w:eastAsia="仿宋" w:cs="仿宋"/>
          <w:sz w:val="32"/>
          <w:szCs w:val="32"/>
          <w:lang w:val="en-US" w:eastAsia="zh-CN"/>
        </w:rPr>
        <w:t>0</w:t>
      </w:r>
      <w:r>
        <w:rPr>
          <w:rFonts w:hint="eastAsia" w:ascii="仿宋" w:hAnsi="仿宋" w:eastAsia="仿宋" w:cs="仿宋"/>
          <w:sz w:val="32"/>
          <w:szCs w:val="32"/>
        </w:rPr>
        <w:t>万元，完成预算的</w:t>
      </w:r>
      <w:r>
        <w:rPr>
          <w:rFonts w:hint="eastAsia" w:ascii="仿宋" w:hAnsi="仿宋" w:eastAsia="仿宋" w:cs="仿宋"/>
          <w:sz w:val="32"/>
          <w:szCs w:val="32"/>
          <w:lang w:val="en-US" w:eastAsia="zh-CN"/>
        </w:rPr>
        <w:t>0</w:t>
      </w:r>
      <w:r>
        <w:rPr>
          <w:rFonts w:hint="eastAsia" w:ascii="仿宋" w:hAnsi="仿宋" w:eastAsia="仿宋" w:cs="仿宋"/>
          <w:sz w:val="32"/>
          <w:szCs w:val="32"/>
        </w:rPr>
        <w:t>%</w:t>
      </w:r>
      <w:r>
        <w:rPr>
          <w:rFonts w:hint="eastAsia" w:ascii="仿宋" w:hAnsi="仿宋" w:eastAsia="仿宋" w:cs="仿宋"/>
          <w:sz w:val="32"/>
          <w:szCs w:val="32"/>
          <w:lang w:eastAsia="zh-CN"/>
        </w:rPr>
        <w:t>。</w:t>
      </w:r>
    </w:p>
    <w:p>
      <w:pPr>
        <w:ind w:firstLine="630"/>
        <w:jc w:val="left"/>
        <w:rPr>
          <w:rFonts w:hint="eastAsia" w:ascii="宋体" w:hAnsi="宋体" w:eastAsia="宋体" w:cs="宋体"/>
          <w:b/>
          <w:bCs/>
          <w:sz w:val="32"/>
          <w:szCs w:val="32"/>
        </w:rPr>
      </w:pPr>
      <w:r>
        <w:rPr>
          <w:rFonts w:hint="eastAsia" w:ascii="宋体" w:hAnsi="宋体" w:eastAsia="宋体" w:cs="宋体"/>
          <w:b/>
          <w:bCs/>
          <w:sz w:val="32"/>
          <w:szCs w:val="32"/>
          <w:lang w:val="en-US" w:eastAsia="zh-CN"/>
        </w:rPr>
        <w:t>六、</w:t>
      </w:r>
      <w:r>
        <w:rPr>
          <w:rFonts w:hint="eastAsia" w:ascii="宋体" w:hAnsi="宋体" w:eastAsia="宋体" w:cs="宋体"/>
          <w:b/>
          <w:bCs/>
          <w:sz w:val="32"/>
          <w:szCs w:val="32"/>
        </w:rPr>
        <w:t>机关运行经费支出情况说明</w:t>
      </w:r>
    </w:p>
    <w:p>
      <w:pPr>
        <w:keepNext w:val="0"/>
        <w:keepLines w:val="0"/>
        <w:pageBreakBefore w:val="0"/>
        <w:kinsoku/>
        <w:wordWrap/>
        <w:overflowPunct/>
        <w:topLinePunct w:val="0"/>
        <w:bidi w:val="0"/>
        <w:snapToGrid/>
        <w:spacing w:line="550" w:lineRule="exact"/>
        <w:ind w:firstLine="643" w:firstLineChars="200"/>
        <w:jc w:val="both"/>
        <w:textAlignment w:val="auto"/>
        <w:rPr>
          <w:rFonts w:hint="eastAsia" w:ascii="仿宋_GB2312" w:hAnsi="仿宋_GB2312" w:eastAsia="仿宋_GB2312"/>
          <w:b/>
          <w:bCs/>
          <w:color w:val="auto"/>
          <w:sz w:val="32"/>
          <w:szCs w:val="32"/>
          <w:lang w:eastAsia="zh-CN"/>
        </w:rPr>
      </w:pPr>
      <w:r>
        <w:rPr>
          <w:rFonts w:hint="eastAsia" w:ascii="仿宋_GB2312" w:hAnsi="仿宋_GB2312" w:eastAsia="仿宋_GB2312"/>
          <w:b/>
          <w:bCs/>
          <w:color w:val="auto"/>
          <w:sz w:val="32"/>
          <w:szCs w:val="32"/>
          <w:lang w:val="en-US" w:eastAsia="zh-CN"/>
        </w:rPr>
        <w:t>本单位不是</w:t>
      </w:r>
      <w:r>
        <w:rPr>
          <w:rFonts w:hint="eastAsia" w:ascii="仿宋_GB2312" w:hAnsi="仿宋_GB2312" w:eastAsia="仿宋_GB2312"/>
          <w:b/>
          <w:bCs/>
          <w:color w:val="auto"/>
          <w:sz w:val="32"/>
          <w:szCs w:val="32"/>
        </w:rPr>
        <w:t>行政单位</w:t>
      </w:r>
      <w:r>
        <w:rPr>
          <w:rFonts w:hint="eastAsia" w:ascii="仿宋_GB2312" w:hAnsi="仿宋_GB2312" w:eastAsia="仿宋_GB2312"/>
          <w:b/>
          <w:bCs/>
          <w:color w:val="auto"/>
          <w:sz w:val="32"/>
          <w:szCs w:val="32"/>
          <w:lang w:val="en-US" w:eastAsia="zh-CN"/>
        </w:rPr>
        <w:t>或</w:t>
      </w:r>
      <w:r>
        <w:rPr>
          <w:rFonts w:hint="eastAsia" w:ascii="仿宋_GB2312" w:hAnsi="仿宋_GB2312" w:eastAsia="仿宋_GB2312"/>
          <w:b/>
          <w:bCs/>
          <w:color w:val="auto"/>
          <w:sz w:val="32"/>
          <w:szCs w:val="32"/>
        </w:rPr>
        <w:t>参照公务员法管理事业单位</w:t>
      </w:r>
      <w:r>
        <w:rPr>
          <w:rFonts w:hint="eastAsia" w:ascii="仿宋_GB2312" w:hAnsi="仿宋_GB2312" w:eastAsia="仿宋_GB2312"/>
          <w:b/>
          <w:bCs/>
          <w:color w:val="auto"/>
          <w:sz w:val="32"/>
          <w:szCs w:val="32"/>
          <w:lang w:eastAsia="zh-CN"/>
        </w:rPr>
        <w:t>，</w:t>
      </w:r>
      <w:r>
        <w:rPr>
          <w:rFonts w:hint="eastAsia" w:ascii="仿宋_GB2312" w:hAnsi="仿宋_GB2312" w:eastAsia="仿宋_GB2312"/>
          <w:b/>
          <w:bCs/>
          <w:color w:val="auto"/>
          <w:sz w:val="32"/>
          <w:szCs w:val="32"/>
          <w:lang w:val="en-US" w:eastAsia="zh-CN"/>
        </w:rPr>
        <w:t>故无机关运行经费支出。</w:t>
      </w:r>
    </w:p>
    <w:p>
      <w:pPr>
        <w:ind w:firstLine="630"/>
        <w:jc w:val="left"/>
        <w:rPr>
          <w:rFonts w:hint="eastAsia" w:ascii="宋体" w:hAnsi="宋体" w:eastAsia="宋体" w:cs="宋体"/>
          <w:b/>
          <w:bCs/>
          <w:sz w:val="32"/>
          <w:szCs w:val="32"/>
        </w:rPr>
      </w:pPr>
      <w:r>
        <w:rPr>
          <w:rFonts w:hint="eastAsia" w:ascii="宋体" w:hAnsi="宋体" w:eastAsia="宋体" w:cs="宋体"/>
          <w:b/>
          <w:bCs/>
          <w:sz w:val="32"/>
          <w:szCs w:val="32"/>
          <w:lang w:val="en-US" w:eastAsia="zh-CN"/>
        </w:rPr>
        <w:t>七、</w:t>
      </w:r>
      <w:r>
        <w:rPr>
          <w:rFonts w:hint="eastAsia" w:ascii="宋体" w:hAnsi="宋体" w:eastAsia="宋体" w:cs="宋体"/>
          <w:b/>
          <w:bCs/>
          <w:sz w:val="32"/>
          <w:szCs w:val="32"/>
        </w:rPr>
        <w:t>政府采购支出情况说明</w:t>
      </w:r>
    </w:p>
    <w:p>
      <w:pPr>
        <w:pStyle w:val="8"/>
        <w:spacing w:line="60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本</w:t>
      </w:r>
      <w:r>
        <w:rPr>
          <w:rFonts w:hint="eastAsia" w:ascii="仿宋" w:hAnsi="仿宋" w:eastAsia="仿宋" w:cs="仿宋"/>
          <w:sz w:val="32"/>
          <w:szCs w:val="32"/>
          <w:lang w:val="en-US" w:eastAsia="zh-CN"/>
        </w:rPr>
        <w:t>单位</w:t>
      </w:r>
      <w:r>
        <w:rPr>
          <w:rFonts w:hint="eastAsia" w:ascii="仿宋" w:hAnsi="仿宋" w:eastAsia="仿宋" w:cs="仿宋"/>
          <w:sz w:val="32"/>
          <w:szCs w:val="32"/>
        </w:rPr>
        <w:t>20</w:t>
      </w:r>
      <w:r>
        <w:rPr>
          <w:rFonts w:hint="eastAsia" w:ascii="仿宋" w:hAnsi="仿宋" w:eastAsia="仿宋" w:cs="仿宋"/>
          <w:sz w:val="32"/>
          <w:szCs w:val="32"/>
          <w:lang w:val="en-US" w:eastAsia="zh-CN"/>
        </w:rPr>
        <w:t>21</w:t>
      </w:r>
      <w:r>
        <w:rPr>
          <w:rFonts w:hint="eastAsia" w:ascii="仿宋" w:hAnsi="仿宋" w:eastAsia="仿宋" w:cs="仿宋"/>
          <w:sz w:val="32"/>
          <w:szCs w:val="32"/>
        </w:rPr>
        <w:t>年度政府采购支出总额</w:t>
      </w:r>
      <w:r>
        <w:rPr>
          <w:rFonts w:hint="eastAsia" w:ascii="仿宋" w:hAnsi="仿宋" w:eastAsia="仿宋" w:cs="仿宋"/>
          <w:sz w:val="32"/>
          <w:szCs w:val="32"/>
          <w:lang w:val="en-US" w:eastAsia="zh-CN"/>
        </w:rPr>
        <w:t>2746.80</w:t>
      </w:r>
      <w:r>
        <w:rPr>
          <w:rFonts w:hint="eastAsia" w:ascii="仿宋" w:hAnsi="仿宋" w:eastAsia="仿宋" w:cs="仿宋"/>
          <w:sz w:val="32"/>
          <w:szCs w:val="32"/>
        </w:rPr>
        <w:t>万元，其中：政府采购货物支出</w:t>
      </w:r>
      <w:r>
        <w:rPr>
          <w:rFonts w:hint="eastAsia" w:ascii="仿宋" w:hAnsi="仿宋" w:eastAsia="仿宋" w:cs="仿宋"/>
          <w:sz w:val="32"/>
          <w:szCs w:val="32"/>
          <w:lang w:val="en-US" w:eastAsia="zh-CN"/>
        </w:rPr>
        <w:t>1760.64</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_GB2312" w:hAnsi="仿宋_GB2312" w:eastAsia="仿宋_GB2312"/>
          <w:sz w:val="32"/>
          <w:szCs w:val="32"/>
        </w:rPr>
        <w:t>政府采购工程支出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万元、政府采购服务支出</w:t>
      </w:r>
      <w:r>
        <w:rPr>
          <w:rFonts w:hint="eastAsia" w:ascii="仿宋_GB2312" w:hAnsi="仿宋_GB2312" w:eastAsia="仿宋_GB2312"/>
          <w:sz w:val="32"/>
          <w:szCs w:val="32"/>
          <w:lang w:val="en-US" w:eastAsia="zh-CN"/>
        </w:rPr>
        <w:t>986.16</w:t>
      </w:r>
      <w:r>
        <w:rPr>
          <w:rFonts w:hint="eastAsia" w:ascii="仿宋_GB2312" w:hAnsi="仿宋_GB2312" w:eastAsia="仿宋_GB2312"/>
          <w:sz w:val="32"/>
          <w:szCs w:val="32"/>
        </w:rPr>
        <w:t xml:space="preserve">万元。授予中小企业合同金额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万元，占政府采购支出总额的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%，其中：授予小微企业合同金额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万元，占政府采购支出总额的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w:t>
      </w:r>
      <w:r>
        <w:rPr>
          <w:rFonts w:hint="eastAsia" w:ascii="仿宋_GB2312" w:hAnsi="仿宋_GB2312" w:eastAsia="仿宋_GB2312"/>
          <w:sz w:val="32"/>
          <w:szCs w:val="32"/>
          <w:lang w:eastAsia="zh-CN"/>
        </w:rPr>
        <w:t>；</w:t>
      </w:r>
      <w:r>
        <w:rPr>
          <w:rFonts w:hint="eastAsia" w:ascii="仿宋_GB2312" w:hAnsi="仿宋_GB2312" w:eastAsia="仿宋_GB2312"/>
          <w:color w:val="auto"/>
          <w:sz w:val="32"/>
          <w:szCs w:val="32"/>
          <w:lang w:val="en-US" w:eastAsia="zh-CN"/>
        </w:rPr>
        <w:t>货物采购授予中小企业合同金额占货物支出金额的 0 %，工程采购授予中小企业合同金额占工程支出金额的 0 %，服务采购授予中小企业合同金额占服务支出金额的0 %。</w:t>
      </w:r>
      <w:r>
        <w:rPr>
          <w:rFonts w:hint="eastAsia" w:ascii="仿宋" w:hAnsi="仿宋" w:eastAsia="仿宋" w:cs="仿宋"/>
          <w:sz w:val="32"/>
          <w:szCs w:val="32"/>
        </w:rPr>
        <w:t>。</w:t>
      </w:r>
    </w:p>
    <w:p>
      <w:pPr>
        <w:ind w:firstLine="630"/>
        <w:jc w:val="left"/>
        <w:rPr>
          <w:rFonts w:hint="eastAsia" w:ascii="宋体" w:hAnsi="宋体" w:eastAsia="宋体" w:cs="宋体"/>
          <w:b/>
          <w:bCs/>
          <w:sz w:val="32"/>
          <w:szCs w:val="32"/>
        </w:rPr>
      </w:pPr>
      <w:r>
        <w:rPr>
          <w:rFonts w:hint="eastAsia" w:ascii="宋体" w:hAnsi="宋体" w:eastAsia="宋体" w:cs="宋体"/>
          <w:b/>
          <w:bCs/>
          <w:sz w:val="32"/>
          <w:szCs w:val="32"/>
          <w:lang w:val="en-US" w:eastAsia="zh-CN"/>
        </w:rPr>
        <w:t>八、</w:t>
      </w:r>
      <w:r>
        <w:rPr>
          <w:rFonts w:hint="eastAsia" w:ascii="宋体" w:hAnsi="宋体" w:eastAsia="宋体" w:cs="宋体"/>
          <w:b/>
          <w:bCs/>
          <w:sz w:val="32"/>
          <w:szCs w:val="32"/>
        </w:rPr>
        <w:t>国有资产占用情况说明。</w:t>
      </w:r>
    </w:p>
    <w:p>
      <w:pPr>
        <w:ind w:firstLine="630"/>
        <w:jc w:val="left"/>
        <w:rPr>
          <w:rFonts w:hint="eastAsia" w:ascii="仿宋" w:hAnsi="仿宋" w:eastAsia="仿宋" w:cs="仿宋"/>
          <w:kern w:val="0"/>
          <w:sz w:val="32"/>
          <w:szCs w:val="32"/>
        </w:rPr>
      </w:pPr>
      <w:r>
        <w:rPr>
          <w:rFonts w:hint="eastAsia" w:ascii="仿宋" w:hAnsi="仿宋" w:eastAsia="仿宋" w:cs="仿宋"/>
          <w:kern w:val="0"/>
          <w:sz w:val="32"/>
          <w:szCs w:val="32"/>
        </w:rPr>
        <w:t>截止20</w:t>
      </w:r>
      <w:r>
        <w:rPr>
          <w:rFonts w:hint="eastAsia" w:ascii="仿宋" w:hAnsi="仿宋" w:eastAsia="仿宋" w:cs="仿宋"/>
          <w:kern w:val="0"/>
          <w:sz w:val="32"/>
          <w:szCs w:val="32"/>
          <w:lang w:val="en-US" w:eastAsia="zh-CN"/>
        </w:rPr>
        <w:t>21</w:t>
      </w:r>
      <w:r>
        <w:rPr>
          <w:rFonts w:hint="eastAsia" w:ascii="仿宋" w:hAnsi="仿宋" w:eastAsia="仿宋" w:cs="仿宋"/>
          <w:kern w:val="0"/>
          <w:sz w:val="32"/>
          <w:szCs w:val="32"/>
        </w:rPr>
        <w:t>年12月31日，本</w:t>
      </w:r>
      <w:r>
        <w:rPr>
          <w:rFonts w:hint="eastAsia" w:ascii="仿宋" w:hAnsi="仿宋" w:eastAsia="仿宋" w:cs="仿宋"/>
          <w:kern w:val="0"/>
          <w:sz w:val="32"/>
          <w:szCs w:val="32"/>
          <w:lang w:val="en-US" w:eastAsia="zh-CN"/>
        </w:rPr>
        <w:t>单位</w:t>
      </w:r>
      <w:r>
        <w:rPr>
          <w:rFonts w:hint="eastAsia" w:ascii="仿宋" w:hAnsi="仿宋" w:eastAsia="仿宋" w:cs="仿宋"/>
          <w:kern w:val="0"/>
          <w:sz w:val="32"/>
          <w:szCs w:val="32"/>
        </w:rPr>
        <w:t>共有车辆</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辆，其中，副部（省）级及以上领导用车0辆、主要领导干部用车</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辆、机要通信用车0辆、应急保障用车0辆、执法执勤用车</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辆、特种专业技术用车</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辆、其他用车 0辆，其他用车主要是小型轿车；单位价值50万元以上通用设备</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台（套）；单位价值100万元以上专用设备</w:t>
      </w:r>
      <w:r>
        <w:rPr>
          <w:rFonts w:hint="eastAsia" w:ascii="仿宋" w:hAnsi="仿宋" w:eastAsia="仿宋" w:cs="仿宋"/>
          <w:kern w:val="0"/>
          <w:sz w:val="32"/>
          <w:szCs w:val="32"/>
          <w:lang w:val="en-US" w:eastAsia="zh-CN"/>
        </w:rPr>
        <w:t>8</w:t>
      </w:r>
      <w:r>
        <w:rPr>
          <w:rFonts w:hint="eastAsia" w:ascii="仿宋" w:hAnsi="仿宋" w:eastAsia="仿宋" w:cs="仿宋"/>
          <w:kern w:val="0"/>
          <w:sz w:val="32"/>
          <w:szCs w:val="32"/>
        </w:rPr>
        <w:t>台（套）。</w:t>
      </w:r>
    </w:p>
    <w:p>
      <w:pPr>
        <w:ind w:firstLine="630"/>
        <w:jc w:val="left"/>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九、预算绩效情况说明</w:t>
      </w:r>
    </w:p>
    <w:p>
      <w:pPr>
        <w:pStyle w:val="2"/>
        <w:widowControl w:val="0"/>
        <w:numPr>
          <w:ilvl w:val="0"/>
          <w:numId w:val="0"/>
        </w:numPr>
        <w:jc w:val="both"/>
        <w:rPr>
          <w:rFonts w:hint="default" w:ascii="仿宋" w:hAnsi="仿宋" w:eastAsia="仿宋" w:cs="仿宋"/>
          <w:b/>
          <w:bCs/>
          <w:lang w:val="en-US" w:eastAsia="zh-CN"/>
        </w:rPr>
      </w:pPr>
      <w:r>
        <w:rPr>
          <w:rFonts w:hint="eastAsia"/>
          <w:lang w:val="en-US" w:eastAsia="zh-CN"/>
        </w:rPr>
        <w:t xml:space="preserve">          无</w:t>
      </w:r>
    </w:p>
    <w:p>
      <w:pPr>
        <w:pStyle w:val="2"/>
        <w:numPr>
          <w:ilvl w:val="0"/>
          <w:numId w:val="0"/>
        </w:numPr>
        <w:jc w:val="both"/>
        <w:rPr>
          <w:rFonts w:hint="default" w:ascii="仿宋" w:hAnsi="仿宋" w:eastAsia="仿宋" w:cs="仿宋"/>
          <w:b/>
          <w:bCs/>
          <w:lang w:val="en-US" w:eastAsia="zh-CN"/>
        </w:rPr>
      </w:pPr>
    </w:p>
    <w:p>
      <w:pPr>
        <w:widowControl/>
        <w:numPr>
          <w:ilvl w:val="0"/>
          <w:numId w:val="0"/>
        </w:numPr>
        <w:spacing w:line="600" w:lineRule="exact"/>
        <w:ind w:leftChars="0"/>
        <w:jc w:val="center"/>
        <w:rPr>
          <w:rFonts w:hint="eastAsia" w:ascii="宋体" w:hAnsi="宋体"/>
          <w:b/>
          <w:sz w:val="32"/>
          <w:szCs w:val="32"/>
          <w:lang w:val="en-US" w:eastAsia="zh-CN"/>
        </w:rPr>
      </w:pPr>
    </w:p>
    <w:p>
      <w:pPr>
        <w:widowControl/>
        <w:numPr>
          <w:ilvl w:val="0"/>
          <w:numId w:val="0"/>
        </w:numPr>
        <w:spacing w:line="600" w:lineRule="exact"/>
        <w:ind w:leftChars="0"/>
        <w:jc w:val="center"/>
        <w:rPr>
          <w:rFonts w:hint="eastAsia"/>
          <w:sz w:val="32"/>
          <w:szCs w:val="32"/>
        </w:rPr>
      </w:pPr>
      <w:r>
        <w:rPr>
          <w:rFonts w:hint="eastAsia" w:ascii="宋体" w:hAnsi="宋体"/>
          <w:b/>
          <w:sz w:val="32"/>
          <w:szCs w:val="32"/>
          <w:lang w:val="en-US" w:eastAsia="zh-CN"/>
        </w:rPr>
        <w:t xml:space="preserve">第四部分   </w:t>
      </w:r>
      <w:r>
        <w:rPr>
          <w:rFonts w:hint="eastAsia" w:ascii="宋体" w:hAnsi="宋体"/>
          <w:b/>
          <w:sz w:val="32"/>
          <w:szCs w:val="32"/>
        </w:rPr>
        <w:t>名词解释</w:t>
      </w:r>
    </w:p>
    <w:p>
      <w:pPr>
        <w:keepNext w:val="0"/>
        <w:keepLines w:val="0"/>
        <w:pageBreakBefore w:val="0"/>
        <w:shd w:val="clear" w:color="auto" w:fill="FFFFFF"/>
        <w:kinsoku/>
        <w:wordWrap/>
        <w:overflowPunct/>
        <w:topLinePunct w:val="0"/>
        <w:autoSpaceDE/>
        <w:autoSpaceDN/>
        <w:bidi w:val="0"/>
        <w:adjustRightInd/>
        <w:snapToGrid/>
        <w:spacing w:before="225" w:after="225" w:line="560" w:lineRule="exact"/>
        <w:ind w:firstLine="585"/>
        <w:textAlignment w:val="auto"/>
        <w:rPr>
          <w:rFonts w:hint="eastAsia" w:ascii="仿宋" w:hAnsi="仿宋" w:eastAsia="仿宋" w:cs="仿宋_GB2312"/>
          <w:kern w:val="0"/>
          <w:sz w:val="32"/>
          <w:szCs w:val="32"/>
        </w:rPr>
      </w:pPr>
      <w:r>
        <w:rPr>
          <w:rFonts w:hint="eastAsia" w:ascii="仿宋" w:hAnsi="仿宋" w:eastAsia="仿宋"/>
          <w:kern w:val="0"/>
          <w:sz w:val="30"/>
          <w:szCs w:val="30"/>
        </w:rPr>
        <w:t xml:space="preserve"> </w:t>
      </w:r>
      <w:r>
        <w:rPr>
          <w:rFonts w:hint="eastAsia" w:ascii="仿宋" w:hAnsi="仿宋" w:eastAsia="仿宋" w:cs="仿宋_GB2312"/>
          <w:kern w:val="0"/>
          <w:sz w:val="32"/>
          <w:szCs w:val="32"/>
        </w:rPr>
        <w:t>（一）财政拨款收入：指本年度从本级财政部门取得的财政拨款，包括一般公共预算财政拨款和政府性基金预算财政拨款。</w:t>
      </w:r>
    </w:p>
    <w:p>
      <w:pPr>
        <w:keepNext w:val="0"/>
        <w:keepLines w:val="0"/>
        <w:pageBreakBefore w:val="0"/>
        <w:shd w:val="clear" w:color="auto" w:fill="FFFFFF"/>
        <w:kinsoku/>
        <w:wordWrap/>
        <w:overflowPunct/>
        <w:topLinePunct w:val="0"/>
        <w:autoSpaceDE/>
        <w:autoSpaceDN/>
        <w:bidi w:val="0"/>
        <w:adjustRightInd/>
        <w:snapToGrid/>
        <w:spacing w:before="225" w:after="225" w:line="560" w:lineRule="exact"/>
        <w:ind w:firstLine="585"/>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（二）年初结转和结余：指单位上年结转本年使用的项目支出结转和结余。</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（三）年末结转和结余：指单位结转下年的项目支出结转和结余。</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四）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（五）项目支出：指在基本支出之外为完成特定行政任务和事业发展目标所发生的支出。</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六）“三公”经费：指用一般公共预算财政拨款安排的因公出国（境）费、公务用车购置及运行维护费、公务接待费。其中，公务用车运行维护费反映单位按规定保留的公务用车燃料费、维修费、过路过桥费、保险费、安全奖励费用等支出；公务接待费反映单位按规定开支的各类公务接待（含外宾接待）支出。</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七）机关运行经费：为保障行政单位运行用于购买货物和服务等的各项公用经费，包括办公及印刷费、邮电费、差旅费、会议费、福利费、日常维护费、专用材料及一般设备购置费、水电费、物业管理费、公务用车运行维护费以及其他费用。</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（八）工资福利支出：反映单位开支的在职职工和编制外长期聘用人员的各类劳动报酬，以及为上述人员缴纳的各项社会保险费等。</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（九）商品和服务支出：反映单位购买商品和服务的支出（不包括用于购置固定资产的支出）。</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（十）对个人和家庭的补助：反映用于对个人和家庭的补助支出。</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（十一）其他资本性支出：反映的用于购置固定资产以及构建基础设施所发生的支出。</w:t>
      </w: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tabs>
          <w:tab w:val="left" w:pos="7079"/>
        </w:tabs>
        <w:bidi w:val="0"/>
        <w:jc w:val="left"/>
        <w:rPr>
          <w:rFonts w:hint="default"/>
          <w:lang w:val="en-US" w:eastAsia="zh-CN"/>
        </w:rPr>
      </w:pPr>
      <w:r>
        <w:rPr>
          <w:rFonts w:hint="eastAsia"/>
          <w:lang w:val="en-US" w:eastAsia="zh-CN"/>
        </w:rPr>
        <w:tab/>
      </w:r>
    </w:p>
    <w:sectPr>
      <w:pgSz w:w="11906" w:h="16838"/>
      <w:pgMar w:top="930" w:right="952" w:bottom="930" w:left="9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72EB79"/>
    <w:multiLevelType w:val="singleLevel"/>
    <w:tmpl w:val="1472EB79"/>
    <w:lvl w:ilvl="0" w:tentative="0">
      <w:start w:val="1"/>
      <w:numFmt w:val="chineseCounting"/>
      <w:suff w:val="space"/>
      <w:lvlText w:val="第%1部分"/>
      <w:lvlJc w:val="left"/>
      <w:rPr>
        <w:rFonts w:hint="eastAsia"/>
      </w:rPr>
    </w:lvl>
  </w:abstractNum>
  <w:abstractNum w:abstractNumId="1">
    <w:nsid w:val="1FBCC69D"/>
    <w:multiLevelType w:val="singleLevel"/>
    <w:tmpl w:val="1FBCC69D"/>
    <w:lvl w:ilvl="0" w:tentative="0">
      <w:start w:val="1"/>
      <w:numFmt w:val="chineseCounting"/>
      <w:suff w:val="nothing"/>
      <w:lvlText w:val="%1、"/>
      <w:lvlJc w:val="left"/>
      <w:rPr>
        <w:rFonts w:hint="eastAsia"/>
      </w:rPr>
    </w:lvl>
  </w:abstractNum>
  <w:abstractNum w:abstractNumId="2">
    <w:nsid w:val="5B53900F"/>
    <w:multiLevelType w:val="singleLevel"/>
    <w:tmpl w:val="5B53900F"/>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2NGU2N2NiZWQxYjZmMjMyZmQzNDhiZGE2ZTU3NWEifQ=="/>
  </w:docVars>
  <w:rsids>
    <w:rsidRoot w:val="735F49A8"/>
    <w:rsid w:val="007651DC"/>
    <w:rsid w:val="00FD1E7F"/>
    <w:rsid w:val="01A721DE"/>
    <w:rsid w:val="02013CF8"/>
    <w:rsid w:val="02AD22FC"/>
    <w:rsid w:val="02D75113"/>
    <w:rsid w:val="046B7772"/>
    <w:rsid w:val="048F2274"/>
    <w:rsid w:val="04BD0CBC"/>
    <w:rsid w:val="04FA68C4"/>
    <w:rsid w:val="05542478"/>
    <w:rsid w:val="078E40BE"/>
    <w:rsid w:val="0822557A"/>
    <w:rsid w:val="08410778"/>
    <w:rsid w:val="086D0535"/>
    <w:rsid w:val="09864BCA"/>
    <w:rsid w:val="098A52EA"/>
    <w:rsid w:val="09F71624"/>
    <w:rsid w:val="0A8A1165"/>
    <w:rsid w:val="0B553326"/>
    <w:rsid w:val="0B8532AA"/>
    <w:rsid w:val="0BCD6AE0"/>
    <w:rsid w:val="0BE04A65"/>
    <w:rsid w:val="0C3A2F00"/>
    <w:rsid w:val="0C6311F3"/>
    <w:rsid w:val="0CEB5CFA"/>
    <w:rsid w:val="0D061C13"/>
    <w:rsid w:val="0D0C2ECF"/>
    <w:rsid w:val="0D0E067C"/>
    <w:rsid w:val="0D153E20"/>
    <w:rsid w:val="0DE14AC5"/>
    <w:rsid w:val="0F5C7256"/>
    <w:rsid w:val="0F8676D2"/>
    <w:rsid w:val="104B26C9"/>
    <w:rsid w:val="108219EF"/>
    <w:rsid w:val="119E7742"/>
    <w:rsid w:val="11C42733"/>
    <w:rsid w:val="1351449B"/>
    <w:rsid w:val="137105AF"/>
    <w:rsid w:val="13B038A0"/>
    <w:rsid w:val="14573051"/>
    <w:rsid w:val="149450AF"/>
    <w:rsid w:val="14CF6BBF"/>
    <w:rsid w:val="157E3A44"/>
    <w:rsid w:val="168846DB"/>
    <w:rsid w:val="17357C67"/>
    <w:rsid w:val="17B130E6"/>
    <w:rsid w:val="184D16D2"/>
    <w:rsid w:val="18690593"/>
    <w:rsid w:val="187E7FE4"/>
    <w:rsid w:val="188B2CF9"/>
    <w:rsid w:val="189A574F"/>
    <w:rsid w:val="18A35425"/>
    <w:rsid w:val="19744878"/>
    <w:rsid w:val="1A69180B"/>
    <w:rsid w:val="1A78230D"/>
    <w:rsid w:val="1AEE32EF"/>
    <w:rsid w:val="1B6C2290"/>
    <w:rsid w:val="1BE267D0"/>
    <w:rsid w:val="1BE71854"/>
    <w:rsid w:val="1BFD3E49"/>
    <w:rsid w:val="1CBA0B83"/>
    <w:rsid w:val="1EE90FB5"/>
    <w:rsid w:val="1F241754"/>
    <w:rsid w:val="1F5E03BA"/>
    <w:rsid w:val="201103BB"/>
    <w:rsid w:val="201320E9"/>
    <w:rsid w:val="207B7731"/>
    <w:rsid w:val="20F16975"/>
    <w:rsid w:val="212E5E1B"/>
    <w:rsid w:val="2135330E"/>
    <w:rsid w:val="213B214E"/>
    <w:rsid w:val="219B279C"/>
    <w:rsid w:val="22C422A6"/>
    <w:rsid w:val="22D60519"/>
    <w:rsid w:val="231C4E67"/>
    <w:rsid w:val="244D2189"/>
    <w:rsid w:val="24F36BB7"/>
    <w:rsid w:val="24F425A2"/>
    <w:rsid w:val="25AC630E"/>
    <w:rsid w:val="25B83F05"/>
    <w:rsid w:val="25D34FA5"/>
    <w:rsid w:val="26411C66"/>
    <w:rsid w:val="26676D9D"/>
    <w:rsid w:val="27177294"/>
    <w:rsid w:val="2742617D"/>
    <w:rsid w:val="279C0E97"/>
    <w:rsid w:val="27C859B8"/>
    <w:rsid w:val="281E7025"/>
    <w:rsid w:val="285A12A4"/>
    <w:rsid w:val="28B60A8F"/>
    <w:rsid w:val="2917638F"/>
    <w:rsid w:val="2936406B"/>
    <w:rsid w:val="29E21459"/>
    <w:rsid w:val="2A260B59"/>
    <w:rsid w:val="2AC625D8"/>
    <w:rsid w:val="2B935991"/>
    <w:rsid w:val="2C00655C"/>
    <w:rsid w:val="2C307DE6"/>
    <w:rsid w:val="2C575892"/>
    <w:rsid w:val="2C745D7F"/>
    <w:rsid w:val="2CD64578"/>
    <w:rsid w:val="2D943A59"/>
    <w:rsid w:val="2ECB6A58"/>
    <w:rsid w:val="2EE473ED"/>
    <w:rsid w:val="2FAE12EC"/>
    <w:rsid w:val="2FBC45F2"/>
    <w:rsid w:val="300D273B"/>
    <w:rsid w:val="30BA794F"/>
    <w:rsid w:val="30BC6E09"/>
    <w:rsid w:val="30C73C13"/>
    <w:rsid w:val="30CC5A15"/>
    <w:rsid w:val="31152A0C"/>
    <w:rsid w:val="315B3083"/>
    <w:rsid w:val="318C4409"/>
    <w:rsid w:val="331E0924"/>
    <w:rsid w:val="33A12D31"/>
    <w:rsid w:val="33D70E90"/>
    <w:rsid w:val="33FC1B27"/>
    <w:rsid w:val="34C11E92"/>
    <w:rsid w:val="351E0E08"/>
    <w:rsid w:val="365B25FA"/>
    <w:rsid w:val="369D4FDB"/>
    <w:rsid w:val="3729538F"/>
    <w:rsid w:val="37A43B49"/>
    <w:rsid w:val="385D5A7C"/>
    <w:rsid w:val="38651CCB"/>
    <w:rsid w:val="3A414A86"/>
    <w:rsid w:val="3BA57358"/>
    <w:rsid w:val="3C710825"/>
    <w:rsid w:val="3CF11D7F"/>
    <w:rsid w:val="3D117EAA"/>
    <w:rsid w:val="3DD41790"/>
    <w:rsid w:val="3E135438"/>
    <w:rsid w:val="401A263F"/>
    <w:rsid w:val="407B1229"/>
    <w:rsid w:val="40EB6EE9"/>
    <w:rsid w:val="413D67AB"/>
    <w:rsid w:val="414508EB"/>
    <w:rsid w:val="42B938F7"/>
    <w:rsid w:val="42C404D2"/>
    <w:rsid w:val="42C972FA"/>
    <w:rsid w:val="43EA5F7A"/>
    <w:rsid w:val="44974D76"/>
    <w:rsid w:val="45263FF5"/>
    <w:rsid w:val="453670C2"/>
    <w:rsid w:val="460421F7"/>
    <w:rsid w:val="469561A1"/>
    <w:rsid w:val="4734760F"/>
    <w:rsid w:val="49032ACF"/>
    <w:rsid w:val="49304712"/>
    <w:rsid w:val="4AAF051C"/>
    <w:rsid w:val="4B673834"/>
    <w:rsid w:val="4C3934C9"/>
    <w:rsid w:val="4C401CA9"/>
    <w:rsid w:val="4C46513D"/>
    <w:rsid w:val="4C52557C"/>
    <w:rsid w:val="4C85548A"/>
    <w:rsid w:val="4CF520D9"/>
    <w:rsid w:val="4D3F08E5"/>
    <w:rsid w:val="4D691D91"/>
    <w:rsid w:val="4E7A0A44"/>
    <w:rsid w:val="4F8F7EA4"/>
    <w:rsid w:val="4FC0383E"/>
    <w:rsid w:val="4FF2162E"/>
    <w:rsid w:val="50215B30"/>
    <w:rsid w:val="50703AE6"/>
    <w:rsid w:val="50F91E13"/>
    <w:rsid w:val="52366D2A"/>
    <w:rsid w:val="52B01BB0"/>
    <w:rsid w:val="53EF5BE5"/>
    <w:rsid w:val="542C1BD0"/>
    <w:rsid w:val="54A823CE"/>
    <w:rsid w:val="54B15A3C"/>
    <w:rsid w:val="54D2203E"/>
    <w:rsid w:val="55176EE0"/>
    <w:rsid w:val="5562466E"/>
    <w:rsid w:val="561F5757"/>
    <w:rsid w:val="57017C74"/>
    <w:rsid w:val="579B2BBB"/>
    <w:rsid w:val="5823621C"/>
    <w:rsid w:val="58245916"/>
    <w:rsid w:val="58D77C23"/>
    <w:rsid w:val="58EC1631"/>
    <w:rsid w:val="59992DA3"/>
    <w:rsid w:val="5BC95B7B"/>
    <w:rsid w:val="5BEE486C"/>
    <w:rsid w:val="5D170C3C"/>
    <w:rsid w:val="5DA179F2"/>
    <w:rsid w:val="5EAC56AE"/>
    <w:rsid w:val="5FDC6F9A"/>
    <w:rsid w:val="60F670B5"/>
    <w:rsid w:val="61936583"/>
    <w:rsid w:val="61E11A30"/>
    <w:rsid w:val="61EB0BE3"/>
    <w:rsid w:val="63041F5D"/>
    <w:rsid w:val="633A597E"/>
    <w:rsid w:val="636C18B0"/>
    <w:rsid w:val="63D27965"/>
    <w:rsid w:val="658D4F55"/>
    <w:rsid w:val="65DD4DDA"/>
    <w:rsid w:val="661B3E16"/>
    <w:rsid w:val="665C667B"/>
    <w:rsid w:val="67CF3D11"/>
    <w:rsid w:val="69703C1C"/>
    <w:rsid w:val="69B61AD7"/>
    <w:rsid w:val="69F63126"/>
    <w:rsid w:val="6AC90DA7"/>
    <w:rsid w:val="6AF723A7"/>
    <w:rsid w:val="6C643096"/>
    <w:rsid w:val="6C794961"/>
    <w:rsid w:val="6D6F1D34"/>
    <w:rsid w:val="6D9B4673"/>
    <w:rsid w:val="6E5630BE"/>
    <w:rsid w:val="6EC95A07"/>
    <w:rsid w:val="6F176B74"/>
    <w:rsid w:val="6F72024E"/>
    <w:rsid w:val="6FF66E62"/>
    <w:rsid w:val="70370C3E"/>
    <w:rsid w:val="70E84470"/>
    <w:rsid w:val="710A0E8C"/>
    <w:rsid w:val="711C226E"/>
    <w:rsid w:val="71244F3B"/>
    <w:rsid w:val="71306613"/>
    <w:rsid w:val="715C245D"/>
    <w:rsid w:val="716902DA"/>
    <w:rsid w:val="71834994"/>
    <w:rsid w:val="71AB08E3"/>
    <w:rsid w:val="722325B8"/>
    <w:rsid w:val="735F49A8"/>
    <w:rsid w:val="73891C1B"/>
    <w:rsid w:val="73B82E9C"/>
    <w:rsid w:val="746F2FAE"/>
    <w:rsid w:val="74C4154C"/>
    <w:rsid w:val="7584740B"/>
    <w:rsid w:val="75A75FA1"/>
    <w:rsid w:val="764C12B9"/>
    <w:rsid w:val="76562DF0"/>
    <w:rsid w:val="769413F2"/>
    <w:rsid w:val="77B03472"/>
    <w:rsid w:val="77F43EF6"/>
    <w:rsid w:val="78132FFA"/>
    <w:rsid w:val="79F108D8"/>
    <w:rsid w:val="7A1D1427"/>
    <w:rsid w:val="7ABC10AC"/>
    <w:rsid w:val="7AEC35AA"/>
    <w:rsid w:val="7D5E6963"/>
    <w:rsid w:val="7D73302A"/>
    <w:rsid w:val="7D91026F"/>
    <w:rsid w:val="7DB83E7E"/>
    <w:rsid w:val="7E7A73C7"/>
    <w:rsid w:val="7F3464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8">
    <w:name w:val="p0"/>
    <w:basedOn w:val="1"/>
    <w:qFormat/>
    <w:uiPriority w:val="0"/>
    <w:pPr>
      <w:widowControl/>
    </w:pPr>
    <w:rPr>
      <w:kern w:val="0"/>
      <w:szCs w:val="21"/>
    </w:rPr>
  </w:style>
  <w:style w:type="character" w:customStyle="1" w:styleId="9">
    <w:name w:val="font81"/>
    <w:basedOn w:val="7"/>
    <w:qFormat/>
    <w:uiPriority w:val="0"/>
    <w:rPr>
      <w:rFonts w:ascii="Arial" w:hAnsi="Arial" w:cs="Arial"/>
      <w:color w:val="000000"/>
      <w:sz w:val="22"/>
      <w:szCs w:val="22"/>
      <w:u w:val="none"/>
    </w:rPr>
  </w:style>
  <w:style w:type="character" w:customStyle="1" w:styleId="10">
    <w:name w:val="font51"/>
    <w:basedOn w:val="7"/>
    <w:qFormat/>
    <w:uiPriority w:val="0"/>
    <w:rPr>
      <w:rFonts w:hint="eastAsia" w:ascii="宋体" w:hAnsi="宋体" w:eastAsia="宋体" w:cs="宋体"/>
      <w:color w:val="000000"/>
      <w:sz w:val="22"/>
      <w:szCs w:val="22"/>
      <w:u w:val="none"/>
    </w:rPr>
  </w:style>
  <w:style w:type="character" w:customStyle="1" w:styleId="11">
    <w:name w:val="font41"/>
    <w:basedOn w:val="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7724</Words>
  <Characters>10683</Characters>
  <Lines>0</Lines>
  <Paragraphs>0</Paragraphs>
  <TotalTime>4</TotalTime>
  <ScaleCrop>false</ScaleCrop>
  <LinksUpToDate>false</LinksUpToDate>
  <CharactersWithSpaces>11336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2021-04-27T06:10:00Z</dcterms:created>
  <dc:creator>lqh</dc:creator>
  <cp:lastModifiedBy>hp</cp:lastModifiedBy>
  <cp:lastPrinted>2023-06-19T03:25:26Z</cp:lastPrinted>
  <dcterms:modified xsi:type="dcterms:W3CDTF">2023-06-19T03:25:30Z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EE43584C9B984E91BE1B6BAE1E660323</vt:lpwstr>
  </property>
</Properties>
</file>