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兴国县枫边乡卫生院2022年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枫边乡卫生院</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0"/>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枫边乡卫生院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b w:val="0"/>
          <w:bCs w:val="0"/>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枫边乡卫生院</w:t>
      </w:r>
      <w:r>
        <w:rPr>
          <w:rFonts w:hint="eastAsia" w:ascii="仿宋" w:hAnsi="仿宋" w:eastAsia="仿宋" w:cs="仿宋"/>
          <w:b/>
          <w:bCs/>
          <w:color w:val="auto"/>
          <w:sz w:val="32"/>
          <w:szCs w:val="32"/>
        </w:rPr>
        <w:t>单位预算表</w:t>
      </w:r>
    </w:p>
    <w:p>
      <w:pPr>
        <w:numPr>
          <w:ilvl w:val="0"/>
          <w:numId w:val="0"/>
        </w:numPr>
        <w:spacing w:line="560" w:lineRule="exact"/>
        <w:ind w:leftChars="272"/>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numPr>
          <w:ilvl w:val="0"/>
          <w:numId w:val="0"/>
        </w:numPr>
        <w:spacing w:line="560" w:lineRule="exact"/>
        <w:ind w:leftChars="272"/>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numPr>
          <w:ilvl w:val="0"/>
          <w:numId w:val="0"/>
        </w:numPr>
        <w:spacing w:line="560" w:lineRule="exact"/>
        <w:ind w:firstLine="64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2"/>
        <w:rPr>
          <w:rFonts w:hint="default" w:eastAsia="仿宋"/>
          <w:lang w:val="en-US" w:eastAsia="zh-CN"/>
        </w:rPr>
      </w:pPr>
      <w:r>
        <w:rPr>
          <w:rFonts w:hint="eastAsia" w:ascii="仿宋" w:hAnsi="仿宋" w:eastAsia="仿宋" w:cs="仿宋"/>
          <w:color w:val="auto"/>
          <w:sz w:val="32"/>
          <w:szCs w:val="32"/>
          <w:lang w:val="en-US" w:eastAsia="zh-CN"/>
        </w:rPr>
        <w:t xml:space="preserve">    十一、</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枫边乡卫生院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主要职责</w:t>
      </w:r>
    </w:p>
    <w:p>
      <w:pPr>
        <w:spacing w:line="560" w:lineRule="exact"/>
        <w:ind w:firstLine="640" w:firstLineChars="200"/>
        <w:rPr>
          <w:rFonts w:ascii="仿宋" w:hAnsi="仿宋" w:eastAsia="仿宋" w:cs="仿宋"/>
          <w:color w:val="auto"/>
          <w:sz w:val="24"/>
          <w:szCs w:val="24"/>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枫边</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b w:val="0"/>
          <w:bCs w:val="0"/>
          <w:color w:val="auto"/>
          <w:sz w:val="32"/>
          <w:szCs w:val="32"/>
          <w:lang w:val="en-US" w:eastAsia="zh-CN"/>
        </w:rPr>
        <w:t>枫边乡卫生院</w:t>
      </w:r>
      <w:r>
        <w:rPr>
          <w:rFonts w:hint="eastAsia" w:ascii="仿宋" w:hAnsi="仿宋" w:eastAsia="仿宋"/>
          <w:color w:val="auto"/>
          <w:sz w:val="32"/>
          <w:szCs w:val="32"/>
          <w:lang w:eastAsia="zh-CN"/>
        </w:rPr>
        <w:t>单位内设</w:t>
      </w:r>
      <w:r>
        <w:rPr>
          <w:rFonts w:hint="eastAsia" w:ascii="仿宋" w:hAnsi="仿宋" w:eastAsia="仿宋"/>
          <w:color w:val="auto"/>
          <w:sz w:val="32"/>
          <w:szCs w:val="32"/>
          <w:lang w:val="en-US" w:eastAsia="zh-CN"/>
        </w:rPr>
        <w:t>科室</w:t>
      </w:r>
      <w:r>
        <w:rPr>
          <w:rFonts w:hint="eastAsia" w:ascii="仿宋" w:hAnsi="仿宋" w:eastAsia="仿宋"/>
          <w:color w:val="auto"/>
          <w:sz w:val="32"/>
          <w:szCs w:val="32"/>
          <w:u w:val="none"/>
          <w:lang w:val="en-US" w:eastAsia="zh-CN"/>
        </w:rPr>
        <w:t>10</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内外科、儿科、妇产科、B超室、收费室、护理组、中医馆、财务室、公卫科、办公室。</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sz w:val="32"/>
          <w:szCs w:val="32"/>
          <w:lang w:val="en-US" w:eastAsia="zh-CN"/>
        </w:rPr>
        <w:t>17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rPr>
        <w:t>人,参照公务员管理的事业编制人数</w:t>
      </w:r>
      <w:r>
        <w:rPr>
          <w:rFonts w:hint="eastAsia" w:ascii="仿宋" w:hAnsi="仿宋" w:eastAsia="仿宋"/>
          <w:color w:val="auto"/>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事业编制人数</w:t>
      </w:r>
      <w:r>
        <w:rPr>
          <w:rFonts w:hint="eastAsia" w:ascii="仿宋" w:hAnsi="仿宋" w:eastAsia="仿宋"/>
          <w:color w:val="auto"/>
          <w:sz w:val="32"/>
          <w:szCs w:val="32"/>
          <w:lang w:val="en-US" w:eastAsia="zh-CN"/>
        </w:rPr>
        <w:t>17</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15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15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事业在职人数</w:t>
      </w:r>
      <w:r>
        <w:rPr>
          <w:rFonts w:hint="eastAsia" w:ascii="仿宋" w:hAnsi="仿宋" w:eastAsia="仿宋" w:cs="Times New Roman"/>
          <w:color w:val="auto"/>
          <w:kern w:val="0"/>
          <w:sz w:val="32"/>
          <w:szCs w:val="32"/>
          <w:lang w:val="en-US" w:eastAsia="zh-CN"/>
        </w:rPr>
        <w:t>15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4</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枫边乡卫生院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w:t>
      </w:r>
      <w:r>
        <w:rPr>
          <w:rFonts w:hint="eastAsia" w:ascii="仿宋" w:hAnsi="仿宋" w:eastAsia="仿宋" w:cs="仿宋"/>
          <w:color w:val="auto"/>
          <w:sz w:val="32"/>
          <w:szCs w:val="32"/>
          <w:lang w:eastAsia="zh-CN"/>
        </w:rPr>
        <w:t>额</w:t>
      </w:r>
      <w:r>
        <w:rPr>
          <w:rFonts w:hint="eastAsia" w:ascii="仿宋" w:hAnsi="仿宋" w:eastAsia="仿宋" w:cs="仿宋"/>
          <w:color w:val="auto"/>
          <w:sz w:val="32"/>
          <w:szCs w:val="32"/>
          <w:lang w:val="en-US" w:eastAsia="zh-CN"/>
        </w:rPr>
        <w:t>668.64</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增加21.84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增加</w:t>
      </w:r>
      <w:r>
        <w:rPr>
          <w:rFonts w:hint="eastAsia" w:ascii="仿宋" w:hAnsi="仿宋" w:eastAsia="仿宋" w:cs="仿宋"/>
          <w:color w:val="auto"/>
          <w:sz w:val="32"/>
          <w:szCs w:val="32"/>
          <w:highlight w:val="none"/>
          <w:lang w:val="en-US" w:eastAsia="zh-CN"/>
        </w:rPr>
        <w:t>3.38%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医疗业务收入增加</w:t>
      </w:r>
      <w:r>
        <w:rPr>
          <w:rFonts w:hint="eastAsia" w:ascii="仿宋" w:hAnsi="仿宋" w:eastAsia="仿宋" w:cs="仿宋"/>
          <w:color w:val="auto"/>
          <w:sz w:val="32"/>
          <w:szCs w:val="32"/>
          <w:lang w:eastAsia="zh-CN"/>
        </w:rPr>
        <w:t>。</w:t>
      </w:r>
    </w:p>
    <w:p>
      <w:pPr>
        <w:spacing w:line="560" w:lineRule="exact"/>
        <w:ind w:firstLine="600" w:firstLineChars="200"/>
        <w:rPr>
          <w:rFonts w:hint="default"/>
          <w:lang w:val="en-US" w:eastAsia="zh-CN"/>
        </w:rPr>
      </w:pPr>
      <w:r>
        <w:rPr>
          <w:rFonts w:hint="eastAsia" w:ascii="仿宋" w:hAnsi="仿宋" w:eastAsia="仿宋" w:cs="仿宋"/>
          <w:color w:val="auto"/>
          <w:sz w:val="30"/>
          <w:szCs w:val="30"/>
        </w:rPr>
        <w:t>具体为：</w:t>
      </w:r>
      <w:r>
        <w:rPr>
          <w:rFonts w:hint="eastAsia" w:ascii="仿宋" w:hAnsi="仿宋" w:eastAsia="仿宋" w:cs="仿宋"/>
          <w:color w:val="auto"/>
          <w:sz w:val="30"/>
          <w:szCs w:val="30"/>
          <w:lang w:val="en-US" w:eastAsia="zh-CN"/>
        </w:rPr>
        <w:t>财政拨款收入</w:t>
      </w:r>
      <w:r>
        <w:rPr>
          <w:rFonts w:hint="eastAsia" w:ascii="仿宋" w:hAnsi="仿宋" w:eastAsia="仿宋" w:cs="仿宋"/>
          <w:sz w:val="32"/>
          <w:szCs w:val="32"/>
          <w:lang w:val="en-US" w:eastAsia="zh-CN"/>
        </w:rPr>
        <w:t>104.67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highlight w:val="none"/>
          <w:lang w:val="en-US" w:eastAsia="zh-CN"/>
        </w:rPr>
        <w:t>15.65</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highlight w:val="none"/>
          <w:lang w:val="en-US" w:eastAsia="zh-CN"/>
        </w:rPr>
        <w:t>增加5.5</w:t>
      </w:r>
      <w:r>
        <w:rPr>
          <w:rFonts w:hint="eastAsia" w:ascii="仿宋" w:hAnsi="仿宋" w:eastAsia="仿宋" w:cs="仿宋"/>
          <w:color w:val="auto"/>
          <w:sz w:val="32"/>
          <w:szCs w:val="32"/>
          <w:lang w:val="en-US" w:eastAsia="zh-CN"/>
        </w:rPr>
        <w:t>万元；事业收入</w:t>
      </w:r>
      <w:r>
        <w:rPr>
          <w:rFonts w:hint="eastAsia" w:ascii="仿宋" w:hAnsi="仿宋" w:eastAsia="仿宋" w:cs="仿宋"/>
          <w:color w:val="000000"/>
          <w:sz w:val="32"/>
          <w:szCs w:val="32"/>
          <w:lang w:val="en-US" w:eastAsia="zh-CN"/>
        </w:rPr>
        <w:t>563.96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highlight w:val="none"/>
          <w:lang w:val="en-US" w:eastAsia="zh-CN"/>
        </w:rPr>
        <w:t>84.35</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增加16.34万元。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0"/>
          <w:szCs w:val="30"/>
          <w:lang w:val="en-US" w:eastAsia="zh-CN"/>
        </w:rPr>
        <w:t>668.64</w:t>
      </w:r>
      <w:r>
        <w:rPr>
          <w:rFonts w:hint="eastAsia" w:ascii="仿宋" w:hAnsi="仿宋" w:eastAsia="仿宋" w:cs="仿宋"/>
          <w:color w:val="auto"/>
          <w:sz w:val="30"/>
          <w:szCs w:val="30"/>
          <w:lang w:eastAsia="zh-CN"/>
        </w:rPr>
        <w:t>万</w:t>
      </w:r>
      <w:r>
        <w:rPr>
          <w:rFonts w:hint="eastAsia" w:ascii="仿宋" w:hAnsi="仿宋" w:eastAsia="仿宋" w:cs="仿宋"/>
          <w:color w:val="auto"/>
          <w:sz w:val="30"/>
          <w:szCs w:val="30"/>
        </w:rPr>
        <w:t>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highlight w:val="none"/>
          <w:lang w:val="en-US" w:eastAsia="zh-CN"/>
        </w:rPr>
        <w:t>增加21.84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增加3.38%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医疗业务收入增加</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按支出项目类别及经济分类科目划分：</w:t>
      </w:r>
      <w:r>
        <w:rPr>
          <w:rFonts w:hint="eastAsia" w:ascii="仿宋" w:hAnsi="仿宋" w:eastAsia="仿宋" w:cs="仿宋"/>
          <w:color w:val="auto"/>
          <w:sz w:val="30"/>
          <w:szCs w:val="30"/>
          <w:lang w:val="en-US" w:eastAsia="zh-CN"/>
        </w:rPr>
        <w:t>基本支出668.64万</w:t>
      </w:r>
      <w:r>
        <w:rPr>
          <w:rFonts w:hint="eastAsia" w:ascii="仿宋" w:hAnsi="仿宋" w:eastAsia="仿宋" w:cs="仿宋"/>
          <w:color w:val="auto"/>
          <w:sz w:val="30"/>
          <w:szCs w:val="30"/>
        </w:rPr>
        <w:t>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增加21.84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highlight w:val="none"/>
          <w:lang w:val="en-US" w:eastAsia="zh-CN"/>
        </w:rPr>
        <w:t>增加3.38%</w:t>
      </w:r>
      <w:r>
        <w:rPr>
          <w:rFonts w:hint="eastAsia" w:ascii="仿宋" w:hAnsi="仿宋" w:eastAsia="仿宋" w:cs="仿宋"/>
          <w:color w:val="auto"/>
          <w:sz w:val="32"/>
          <w:szCs w:val="32"/>
        </w:rPr>
        <w:t>。</w:t>
      </w:r>
      <w:r>
        <w:rPr>
          <w:rFonts w:hint="eastAsia" w:ascii="仿宋" w:hAnsi="仿宋" w:eastAsia="仿宋" w:cs="仿宋"/>
          <w:color w:val="auto"/>
          <w:sz w:val="30"/>
          <w:szCs w:val="30"/>
          <w:lang w:eastAsia="zh-CN"/>
        </w:rPr>
        <w:t>其中：工资福利支出</w:t>
      </w:r>
      <w:r>
        <w:rPr>
          <w:rFonts w:hint="eastAsia" w:ascii="仿宋" w:hAnsi="仿宋" w:eastAsia="仿宋" w:cs="仿宋"/>
          <w:sz w:val="32"/>
          <w:szCs w:val="32"/>
          <w:lang w:val="en-US" w:eastAsia="zh-CN"/>
        </w:rPr>
        <w:t>104.67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占预算总额的15.65%，</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加18.04万元；</w:t>
      </w:r>
      <w:r>
        <w:rPr>
          <w:rFonts w:hint="eastAsia" w:ascii="仿宋" w:hAnsi="仿宋" w:eastAsia="仿宋" w:cs="仿宋"/>
          <w:color w:val="auto"/>
          <w:sz w:val="30"/>
          <w:szCs w:val="30"/>
          <w:lang w:val="en-US" w:eastAsia="zh-CN"/>
        </w:rPr>
        <w:t>商品和服务支出</w:t>
      </w:r>
      <w:r>
        <w:rPr>
          <w:rFonts w:hint="eastAsia" w:ascii="仿宋" w:hAnsi="仿宋" w:eastAsia="仿宋" w:cs="仿宋"/>
          <w:sz w:val="32"/>
          <w:szCs w:val="32"/>
          <w:lang w:val="en-US" w:eastAsia="zh-CN"/>
        </w:rPr>
        <w:t>484.8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占预算总额的72.51%，</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增加3.79万元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highlight w:val="none"/>
          <w:lang w:val="en-US" w:eastAsia="zh-CN"/>
        </w:rPr>
        <w:t xml:space="preserve"> 对个人和家庭的补助 0</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val="en-US" w:eastAsia="zh-CN"/>
        </w:rPr>
        <w:t>,占支出预算总额的0%;资本性支出</w:t>
      </w:r>
      <w:r>
        <w:rPr>
          <w:rFonts w:hint="eastAsia" w:ascii="仿宋" w:hAnsi="仿宋" w:eastAsia="仿宋" w:cs="仿宋"/>
          <w:color w:val="auto"/>
          <w:sz w:val="32"/>
          <w:szCs w:val="32"/>
          <w:highlight w:val="none"/>
          <w:lang w:val="en-US" w:eastAsia="zh-CN"/>
        </w:rPr>
        <w:t>79.16</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lang w:val="en-US" w:eastAsia="zh-CN"/>
        </w:rPr>
        <w:t>占预算总额的11.84%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lang w:val="en-US" w:eastAsia="zh-CN"/>
        </w:rPr>
        <w:t>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highlight w:val="none"/>
          <w:lang w:val="en-US" w:eastAsia="zh-CN"/>
        </w:rPr>
        <w:t>22.05</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w:t>
      </w:r>
      <w:r>
        <w:rPr>
          <w:rFonts w:hint="eastAsia" w:ascii="仿宋" w:hAnsi="仿宋" w:eastAsia="仿宋" w:cs="仿宋"/>
          <w:color w:val="auto"/>
          <w:sz w:val="30"/>
          <w:szCs w:val="30"/>
          <w:highlight w:val="none"/>
          <w:lang w:val="en-US" w:eastAsia="zh-CN"/>
        </w:rPr>
        <w:t>3.30%</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加9.51</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w:t>
      </w:r>
      <w:r>
        <w:rPr>
          <w:rFonts w:hint="eastAsia" w:ascii="仿宋" w:hAnsi="仿宋" w:eastAsia="仿宋" w:cs="仿宋"/>
          <w:color w:val="auto"/>
          <w:sz w:val="30"/>
          <w:szCs w:val="30"/>
          <w:highlight w:val="none"/>
          <w:lang w:val="en-US" w:eastAsia="zh-CN"/>
        </w:rPr>
        <w:t>646.59</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highlight w:val="none"/>
          <w:lang w:val="en-US" w:eastAsia="zh-CN"/>
        </w:rPr>
        <w:t>占预算总额的96.70%</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highlight w:val="none"/>
          <w:lang w:val="en-US" w:eastAsia="zh-CN"/>
        </w:rPr>
        <w:t>增加12.33</w:t>
      </w:r>
      <w:r>
        <w:rPr>
          <w:rFonts w:hint="eastAsia" w:ascii="仿宋" w:hAnsi="仿宋" w:eastAsia="仿宋" w:cs="仿宋"/>
          <w:color w:val="auto"/>
          <w:sz w:val="32"/>
          <w:szCs w:val="32"/>
          <w:highlight w:val="none"/>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2022年本单位财政拨款（补助）支出预算104.67万元，占本年支出预算总额的15.65%，较上年预算安排增加5.5万元，增加5.55%。增减变化主要原因是：职工人员工资增加。</w:t>
      </w:r>
    </w:p>
    <w:p>
      <w:pPr>
        <w:spacing w:line="560" w:lineRule="exac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具体为：</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按支出经济分类科目划分：基本支出104.67万元，较上年预算安排增加5.5万元，其中：工资福利支出104.67万元，</w:t>
      </w:r>
      <w:r>
        <w:rPr>
          <w:rFonts w:hint="eastAsia" w:ascii="仿宋" w:hAnsi="仿宋" w:eastAsia="仿宋" w:cs="仿宋"/>
          <w:color w:val="auto"/>
          <w:sz w:val="30"/>
          <w:szCs w:val="30"/>
          <w:highlight w:val="none"/>
          <w:lang w:val="en-US" w:eastAsia="zh-CN"/>
        </w:rPr>
        <w:t>占财政拨款总额的100%，</w:t>
      </w:r>
      <w:r>
        <w:rPr>
          <w:rFonts w:hint="eastAsia" w:ascii="仿宋" w:hAnsi="仿宋" w:eastAsia="仿宋" w:cs="仿宋"/>
          <w:color w:val="auto"/>
          <w:sz w:val="32"/>
          <w:szCs w:val="32"/>
          <w:highlight w:val="none"/>
          <w:lang w:val="en-US" w:eastAsia="zh-CN"/>
        </w:rPr>
        <w:t>较上年预算安排增加5.5万元；项目支出0万元，较上年预算安排增加0万元。</w:t>
      </w:r>
    </w:p>
    <w:p>
      <w:pPr>
        <w:spacing w:line="560" w:lineRule="exact"/>
        <w:ind w:firstLine="64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32"/>
          <w:szCs w:val="32"/>
          <w:highlight w:val="none"/>
          <w:lang w:val="en-US" w:eastAsia="zh-CN"/>
        </w:rPr>
        <w:t>按支出功能分类科目划分：</w:t>
      </w:r>
      <w:r>
        <w:rPr>
          <w:rFonts w:hint="eastAsia" w:ascii="仿宋" w:hAnsi="仿宋" w:eastAsia="仿宋" w:cs="仿宋"/>
          <w:sz w:val="32"/>
          <w:szCs w:val="32"/>
          <w:highlight w:val="none"/>
        </w:rPr>
        <w:t>社会保障和就业</w:t>
      </w:r>
      <w:r>
        <w:rPr>
          <w:rFonts w:hint="eastAsia" w:ascii="仿宋" w:hAnsi="仿宋" w:eastAsia="仿宋" w:cs="仿宋"/>
          <w:sz w:val="32"/>
          <w:szCs w:val="32"/>
          <w:highlight w:val="none"/>
          <w:lang w:val="en-US" w:eastAsia="zh-CN"/>
        </w:rPr>
        <w:t>13.23</w:t>
      </w:r>
      <w:r>
        <w:rPr>
          <w:rFonts w:hint="eastAsia" w:ascii="仿宋" w:hAnsi="仿宋" w:eastAsia="仿宋" w:cs="仿宋"/>
          <w:sz w:val="32"/>
          <w:szCs w:val="32"/>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占预算总额的12.64%</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val="en-US" w:eastAsia="zh-CN"/>
        </w:rPr>
        <w:t>减少4.49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乡镇卫生院91.44</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0"/>
          <w:szCs w:val="30"/>
          <w:highlight w:val="none"/>
          <w:lang w:val="en-US" w:eastAsia="zh-CN"/>
        </w:rPr>
        <w:t>占预算总额的87.36%</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9.99</w:t>
      </w:r>
      <w:r>
        <w:rPr>
          <w:rFonts w:hint="eastAsia" w:ascii="仿宋" w:hAnsi="仿宋" w:eastAsia="仿宋" w:cs="仿宋"/>
          <w:color w:val="auto"/>
          <w:sz w:val="32"/>
          <w:szCs w:val="32"/>
          <w:highlight w:val="none"/>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无政府性基金预算拨款安排的支出</w:t>
      </w:r>
      <w:r>
        <w:rPr>
          <w:rFonts w:hint="eastAsia" w:ascii="仿宋" w:hAnsi="仿宋" w:eastAsia="仿宋" w:cs="仿宋"/>
          <w:color w:val="auto"/>
          <w:sz w:val="32"/>
          <w:szCs w:val="32"/>
          <w:lang w:eastAsia="zh-CN"/>
        </w:rPr>
        <w:t>。</w:t>
      </w:r>
    </w:p>
    <w:p>
      <w:pPr>
        <w:keepNext w:val="0"/>
        <w:keepLines w:val="0"/>
        <w:widowControl/>
        <w:suppressLineNumbers w:val="0"/>
        <w:ind w:firstLine="622" w:firstLineChars="200"/>
        <w:jc w:val="left"/>
      </w:pPr>
      <w:r>
        <w:rPr>
          <w:rFonts w:ascii="仿宋" w:hAnsi="仿宋" w:eastAsia="仿宋" w:cs="仿宋"/>
          <w:b/>
          <w:bCs/>
          <w:color w:val="000000"/>
          <w:kern w:val="0"/>
          <w:sz w:val="31"/>
          <w:szCs w:val="31"/>
          <w:lang w:val="en-US" w:eastAsia="zh-CN" w:bidi="ar"/>
        </w:rPr>
        <w:t xml:space="preserve">（五）国有资本经营情况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2022 年本单位国有资本经营支出预算为 0 万元，本单位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无国有资本经营预算收入。</w:t>
      </w:r>
    </w:p>
    <w:p>
      <w:pPr>
        <w:keepNext w:val="0"/>
        <w:keepLines w:val="0"/>
        <w:widowControl/>
        <w:suppressLineNumbers w:val="0"/>
        <w:ind w:firstLine="643" w:firstLineChars="200"/>
        <w:jc w:val="left"/>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lang w:val="en-US" w:eastAsia="zh-CN"/>
        </w:rPr>
        <w:t>2022</w:t>
      </w:r>
      <w:r>
        <w:rPr>
          <w:rFonts w:hint="eastAsia" w:ascii="仿宋" w:hAnsi="仿宋" w:eastAsia="仿宋" w:cs="仿宋"/>
          <w:color w:val="auto"/>
          <w:sz w:val="32"/>
          <w:szCs w:val="32"/>
          <w:highlight w:val="none"/>
          <w:u w:val="none"/>
        </w:rPr>
        <w:t>年单位政府采购总额</w:t>
      </w:r>
      <w:r>
        <w:rPr>
          <w:rFonts w:hint="eastAsia" w:ascii="仿宋" w:hAnsi="仿宋" w:eastAsia="仿宋" w:cs="仿宋"/>
          <w:sz w:val="32"/>
          <w:szCs w:val="32"/>
          <w:highlight w:val="none"/>
          <w:u w:val="none"/>
          <w:lang w:val="en-US" w:eastAsia="zh-CN"/>
        </w:rPr>
        <w:t>79.16</w:t>
      </w:r>
      <w:r>
        <w:rPr>
          <w:rFonts w:hint="eastAsia" w:ascii="仿宋" w:hAnsi="仿宋" w:eastAsia="仿宋" w:cs="仿宋"/>
          <w:color w:val="auto"/>
          <w:sz w:val="32"/>
          <w:szCs w:val="32"/>
          <w:highlight w:val="none"/>
          <w:u w:val="none"/>
        </w:rPr>
        <w:t>万元，其中：政府采购货物预算</w:t>
      </w:r>
      <w:r>
        <w:rPr>
          <w:rFonts w:hint="eastAsia" w:ascii="仿宋" w:hAnsi="仿宋" w:eastAsia="仿宋" w:cs="仿宋"/>
          <w:sz w:val="32"/>
          <w:szCs w:val="32"/>
          <w:highlight w:val="none"/>
          <w:u w:val="none"/>
          <w:lang w:val="en-US" w:eastAsia="zh-CN"/>
        </w:rPr>
        <w:t>79.16</w:t>
      </w:r>
      <w:r>
        <w:rPr>
          <w:rFonts w:hint="eastAsia" w:ascii="仿宋" w:hAnsi="仿宋" w:eastAsia="仿宋" w:cs="仿宋"/>
          <w:color w:val="auto"/>
          <w:sz w:val="32"/>
          <w:szCs w:val="32"/>
          <w:highlight w:val="none"/>
          <w:u w:val="none"/>
        </w:rPr>
        <w:t>万元、政府采购工程预算</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u w:val="none"/>
        </w:rPr>
        <w:t>万元、政府采购服务预算</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u w:val="none"/>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2021年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特殊用途车1辆</w:t>
      </w:r>
      <w:r>
        <w:rPr>
          <w:rFonts w:hint="eastAsia" w:ascii="仿宋" w:hAnsi="仿宋" w:eastAsia="仿宋" w:cs="仿宋"/>
          <w:color w:val="auto"/>
          <w:sz w:val="32"/>
          <w:szCs w:val="32"/>
          <w:u w:val="none"/>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u w:val="none"/>
          <w:lang w:val="en-US" w:eastAsia="zh-CN"/>
        </w:rPr>
        <w:t>2022年本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rPr>
        <w:t>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color w:val="auto"/>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bookmarkStart w:id="0" w:name="_GoBack"/>
      <w:bookmarkEnd w:id="0"/>
      <w:r>
        <w:rPr>
          <w:rFonts w:hint="eastAsia" w:ascii="仿宋" w:hAnsi="仿宋" w:eastAsia="仿宋" w:cs="仿宋"/>
          <w:color w:val="auto"/>
          <w:sz w:val="32"/>
          <w:szCs w:val="32"/>
        </w:rPr>
        <w:t>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bidi w:val="0"/>
        <w:jc w:val="left"/>
        <w:rPr>
          <w:rFonts w:hint="eastAsia"/>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枫边乡卫生院2022年</w:t>
      </w:r>
      <w:r>
        <w:rPr>
          <w:rFonts w:hint="eastAsia" w:ascii="黑体" w:hAnsi="黑体" w:eastAsia="黑体" w:cs="黑体"/>
          <w:b w:val="0"/>
          <w:bCs w:val="0"/>
          <w:color w:val="auto"/>
          <w:sz w:val="32"/>
          <w:szCs w:val="32"/>
        </w:rPr>
        <w:t>预算表</w:t>
      </w:r>
    </w:p>
    <w:p>
      <w:pPr>
        <w:spacing w:line="560" w:lineRule="exact"/>
        <w:ind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rPr>
      </w:pPr>
      <w:r>
        <w:drawing>
          <wp:inline distT="0" distB="0" distL="114300" distR="114300">
            <wp:extent cx="9777730" cy="4197985"/>
            <wp:effectExtent l="0" t="0" r="13970" b="1206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4"/>
                    <a:stretch>
                      <a:fillRect/>
                    </a:stretch>
                  </pic:blipFill>
                  <pic:spPr>
                    <a:xfrm>
                      <a:off x="0" y="0"/>
                      <a:ext cx="9777730" cy="4197985"/>
                    </a:xfrm>
                    <a:prstGeom prst="rect">
                      <a:avLst/>
                    </a:prstGeom>
                    <a:noFill/>
                    <a:ln>
                      <a:noFill/>
                    </a:ln>
                  </pic:spPr>
                </pic:pic>
              </a:graphicData>
            </a:graphic>
          </wp:inline>
        </w:drawing>
      </w:r>
    </w:p>
    <w:p>
      <w:pPr>
        <w:pStyle w:val="2"/>
        <w:numPr>
          <w:ilvl w:val="0"/>
          <w:numId w:val="0"/>
        </w:numPr>
        <w:ind w:firstLine="320" w:firstLineChars="100"/>
        <w:rPr>
          <w:rFonts w:hint="eastAsia" w:ascii="仿宋" w:hAnsi="仿宋" w:eastAsia="仿宋" w:cs="仿宋"/>
          <w:color w:val="auto"/>
          <w:kern w:val="2"/>
          <w:sz w:val="32"/>
          <w:szCs w:val="32"/>
          <w:lang w:val="zh-CN" w:eastAsia="zh-CN" w:bidi="zh-CN"/>
        </w:rPr>
      </w:pPr>
    </w:p>
    <w:p>
      <w:pPr>
        <w:pStyle w:val="2"/>
        <w:numPr>
          <w:ilvl w:val="0"/>
          <w:numId w:val="0"/>
        </w:numPr>
        <w:ind w:firstLine="320" w:firstLineChars="100"/>
        <w:rPr>
          <w:rFonts w:hint="eastAsia" w:ascii="仿宋" w:hAnsi="仿宋" w:eastAsia="仿宋" w:cs="仿宋"/>
          <w:color w:val="auto"/>
          <w:kern w:val="2"/>
          <w:sz w:val="32"/>
          <w:szCs w:val="32"/>
          <w:lang w:val="zh-CN" w:eastAsia="zh-CN" w:bidi="zh-CN"/>
        </w:rPr>
      </w:pPr>
    </w:p>
    <w:p>
      <w:pPr>
        <w:pStyle w:val="2"/>
        <w:numPr>
          <w:ilvl w:val="0"/>
          <w:numId w:val="0"/>
        </w:numPr>
        <w:ind w:firstLine="320" w:firstLineChars="100"/>
        <w:rPr>
          <w:rFonts w:hint="eastAsia" w:ascii="仿宋" w:hAnsi="仿宋" w:eastAsia="仿宋" w:cs="仿宋"/>
          <w:color w:val="auto"/>
          <w:kern w:val="2"/>
          <w:sz w:val="32"/>
          <w:szCs w:val="32"/>
          <w:lang w:val="zh-CN" w:eastAsia="zh-CN" w:bidi="zh-CN"/>
        </w:rPr>
      </w:pPr>
    </w:p>
    <w:p>
      <w:pPr>
        <w:pStyle w:val="2"/>
        <w:numPr>
          <w:ilvl w:val="0"/>
          <w:numId w:val="0"/>
        </w:numPr>
        <w:ind w:firstLine="320" w:firstLineChars="100"/>
        <w:rPr>
          <w:rFonts w:hint="eastAsia" w:ascii="仿宋" w:hAnsi="仿宋" w:eastAsia="仿宋" w:cs="仿宋"/>
          <w:color w:val="auto"/>
          <w:kern w:val="2"/>
          <w:sz w:val="32"/>
          <w:szCs w:val="32"/>
          <w:lang w:val="zh-CN" w:eastAsia="zh-CN" w:bidi="zh-CN"/>
        </w:rPr>
      </w:pPr>
    </w:p>
    <w:p>
      <w:pPr>
        <w:pStyle w:val="2"/>
        <w:numPr>
          <w:ilvl w:val="0"/>
          <w:numId w:val="0"/>
        </w:numPr>
        <w:ind w:firstLine="320" w:firstLineChars="100"/>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t>二、</w:t>
      </w:r>
      <w:r>
        <w:rPr>
          <w:rFonts w:hint="eastAsia" w:ascii="仿宋" w:hAnsi="仿宋" w:eastAsia="仿宋" w:cs="仿宋"/>
          <w:color w:val="auto"/>
          <w:sz w:val="32"/>
          <w:szCs w:val="32"/>
        </w:rPr>
        <w:t>《部门收入总表》</w:t>
      </w:r>
    </w:p>
    <w:p>
      <w:pPr>
        <w:pStyle w:val="2"/>
        <w:numPr>
          <w:ilvl w:val="0"/>
          <w:numId w:val="0"/>
        </w:numPr>
        <w:rPr>
          <w:rFonts w:hint="eastAsia" w:ascii="仿宋" w:hAnsi="仿宋" w:eastAsia="仿宋" w:cs="仿宋"/>
          <w:color w:val="auto"/>
          <w:sz w:val="32"/>
          <w:szCs w:val="32"/>
        </w:rPr>
      </w:pPr>
      <w:r>
        <w:drawing>
          <wp:inline distT="0" distB="0" distL="114300" distR="114300">
            <wp:extent cx="9766935" cy="3897630"/>
            <wp:effectExtent l="0" t="0" r="5715"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5"/>
                    <a:stretch>
                      <a:fillRect/>
                    </a:stretch>
                  </pic:blipFill>
                  <pic:spPr>
                    <a:xfrm>
                      <a:off x="0" y="0"/>
                      <a:ext cx="9766935" cy="3897630"/>
                    </a:xfrm>
                    <a:prstGeom prst="rect">
                      <a:avLst/>
                    </a:prstGeom>
                    <a:noFill/>
                    <a:ln>
                      <a:noFill/>
                    </a:ln>
                  </pic:spPr>
                </pic:pic>
              </a:graphicData>
            </a:graphic>
          </wp:inline>
        </w:drawing>
      </w:r>
    </w:p>
    <w:p>
      <w:pPr>
        <w:pStyle w:val="2"/>
        <w:numPr>
          <w:ilvl w:val="0"/>
          <w:numId w:val="0"/>
        </w:numPr>
        <w:rPr>
          <w:rFonts w:hint="eastAsia" w:ascii="仿宋" w:hAnsi="仿宋" w:eastAsia="仿宋" w:cs="仿宋"/>
          <w:color w:val="auto"/>
          <w:sz w:val="32"/>
          <w:szCs w:val="32"/>
        </w:rPr>
      </w:pPr>
    </w:p>
    <w:p>
      <w:pPr>
        <w:pStyle w:val="2"/>
        <w:numPr>
          <w:ilvl w:val="0"/>
          <w:numId w:val="0"/>
        </w:numPr>
        <w:ind w:leftChars="272"/>
        <w:rPr>
          <w:rFonts w:hint="eastAsia" w:ascii="仿宋" w:hAnsi="仿宋" w:eastAsia="仿宋" w:cs="仿宋"/>
          <w:color w:val="auto"/>
          <w:sz w:val="32"/>
          <w:szCs w:val="32"/>
        </w:rPr>
      </w:pPr>
    </w:p>
    <w:p>
      <w:pPr>
        <w:pStyle w:val="2"/>
        <w:numPr>
          <w:ilvl w:val="0"/>
          <w:numId w:val="0"/>
        </w:numPr>
        <w:ind w:leftChars="272"/>
        <w:rPr>
          <w:rFonts w:hint="eastAsia" w:ascii="仿宋" w:hAnsi="仿宋" w:eastAsia="仿宋" w:cs="仿宋"/>
          <w:color w:val="auto"/>
          <w:sz w:val="32"/>
          <w:szCs w:val="32"/>
        </w:rPr>
      </w:pPr>
    </w:p>
    <w:p>
      <w:pPr>
        <w:pStyle w:val="2"/>
        <w:numPr>
          <w:ilvl w:val="0"/>
          <w:numId w:val="0"/>
        </w:numPr>
        <w:ind w:leftChars="272"/>
        <w:rPr>
          <w:rFonts w:hint="eastAsia" w:ascii="仿宋" w:hAnsi="仿宋" w:eastAsia="仿宋" w:cs="仿宋"/>
          <w:color w:val="auto"/>
          <w:sz w:val="32"/>
          <w:szCs w:val="32"/>
        </w:rPr>
      </w:pPr>
    </w:p>
    <w:p>
      <w:pPr>
        <w:pStyle w:val="2"/>
        <w:numPr>
          <w:ilvl w:val="0"/>
          <w:numId w:val="0"/>
        </w:numPr>
        <w:ind w:leftChars="272"/>
        <w:rPr>
          <w:rFonts w:hint="eastAsia" w:ascii="仿宋" w:hAnsi="仿宋" w:eastAsia="仿宋" w:cs="仿宋"/>
          <w:color w:val="auto"/>
          <w:sz w:val="32"/>
          <w:szCs w:val="32"/>
        </w:rPr>
      </w:pPr>
    </w:p>
    <w:p>
      <w:pPr>
        <w:numPr>
          <w:ilvl w:val="0"/>
          <w:numId w:val="0"/>
        </w:numPr>
        <w:spacing w:line="240" w:lineRule="auto"/>
        <w:ind w:firstLine="320" w:firstLineChars="10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三、</w:t>
      </w:r>
      <w:r>
        <w:rPr>
          <w:rFonts w:hint="eastAsia" w:ascii="仿宋" w:hAnsi="仿宋" w:eastAsia="仿宋" w:cs="仿宋"/>
          <w:color w:val="auto"/>
          <w:sz w:val="32"/>
          <w:szCs w:val="32"/>
        </w:rPr>
        <w:t>《部门支出总表》</w:t>
      </w:r>
    </w:p>
    <w:p>
      <w:pPr>
        <w:pStyle w:val="2"/>
        <w:numPr>
          <w:ilvl w:val="0"/>
          <w:numId w:val="0"/>
        </w:numPr>
        <w:rPr>
          <w:rFonts w:hint="eastAsia"/>
        </w:rPr>
      </w:pPr>
      <w:r>
        <w:drawing>
          <wp:inline distT="0" distB="0" distL="114300" distR="114300">
            <wp:extent cx="7801610" cy="5376545"/>
            <wp:effectExtent l="0" t="0" r="8890" b="1460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6"/>
                    <a:stretch>
                      <a:fillRect/>
                    </a:stretch>
                  </pic:blipFill>
                  <pic:spPr>
                    <a:xfrm>
                      <a:off x="0" y="0"/>
                      <a:ext cx="7801610" cy="5376545"/>
                    </a:xfrm>
                    <a:prstGeom prst="rect">
                      <a:avLst/>
                    </a:prstGeom>
                    <a:noFill/>
                    <a:ln>
                      <a:noFill/>
                    </a:ln>
                  </pic:spPr>
                </pic:pic>
              </a:graphicData>
            </a:graphic>
          </wp:inline>
        </w:drawing>
      </w:r>
    </w:p>
    <w:p>
      <w:pPr>
        <w:numPr>
          <w:ilvl w:val="0"/>
          <w:numId w:val="0"/>
        </w:numPr>
        <w:spacing w:line="560" w:lineRule="exact"/>
        <w:ind w:firstLine="320" w:firstLineChars="100"/>
        <w:rPr>
          <w:rFonts w:hint="eastAsia" w:ascii="仿宋" w:hAnsi="仿宋" w:eastAsia="仿宋" w:cs="仿宋"/>
          <w:color w:val="auto"/>
          <w:sz w:val="32"/>
          <w:szCs w:val="32"/>
          <w:lang w:val="en-US" w:eastAsia="zh-CN"/>
        </w:rPr>
      </w:pPr>
    </w:p>
    <w:p>
      <w:pPr>
        <w:numPr>
          <w:ilvl w:val="0"/>
          <w:numId w:val="0"/>
        </w:numPr>
        <w:spacing w:line="560" w:lineRule="exact"/>
        <w:ind w:firstLine="320" w:firstLineChars="10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四、</w:t>
      </w:r>
      <w:r>
        <w:rPr>
          <w:rFonts w:hint="eastAsia" w:ascii="仿宋" w:hAnsi="仿宋" w:eastAsia="仿宋" w:cs="仿宋"/>
          <w:color w:val="auto"/>
          <w:sz w:val="32"/>
          <w:szCs w:val="32"/>
        </w:rPr>
        <w:t>《财政拨款收支总表》</w:t>
      </w:r>
    </w:p>
    <w:p>
      <w:pPr>
        <w:pStyle w:val="2"/>
        <w:numPr>
          <w:ilvl w:val="0"/>
          <w:numId w:val="0"/>
        </w:numPr>
        <w:rPr>
          <w:rFonts w:hint="eastAsia"/>
        </w:rPr>
      </w:pPr>
      <w:r>
        <w:drawing>
          <wp:inline distT="0" distB="0" distL="114300" distR="114300">
            <wp:extent cx="9774555" cy="2836545"/>
            <wp:effectExtent l="0" t="0" r="17145" b="190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7"/>
                    <a:stretch>
                      <a:fillRect/>
                    </a:stretch>
                  </pic:blipFill>
                  <pic:spPr>
                    <a:xfrm>
                      <a:off x="0" y="0"/>
                      <a:ext cx="9774555" cy="2836545"/>
                    </a:xfrm>
                    <a:prstGeom prst="rect">
                      <a:avLst/>
                    </a:prstGeom>
                    <a:noFill/>
                    <a:ln>
                      <a:noFill/>
                    </a:ln>
                  </pic:spPr>
                </pic:pic>
              </a:graphicData>
            </a:graphic>
          </wp:inline>
        </w:drawing>
      </w:r>
    </w:p>
    <w:p>
      <w:pPr>
        <w:numPr>
          <w:ilvl w:val="0"/>
          <w:numId w:val="0"/>
        </w:numPr>
        <w:spacing w:line="560" w:lineRule="exact"/>
        <w:ind w:firstLine="320" w:firstLineChars="100"/>
        <w:rPr>
          <w:rFonts w:hint="eastAsia" w:ascii="仿宋" w:hAnsi="仿宋" w:eastAsia="仿宋" w:cs="仿宋"/>
          <w:color w:val="auto"/>
          <w:kern w:val="2"/>
          <w:sz w:val="32"/>
          <w:szCs w:val="32"/>
          <w:lang w:val="en-US" w:eastAsia="zh-CN" w:bidi="ar-SA"/>
        </w:rPr>
      </w:pPr>
    </w:p>
    <w:p>
      <w:pPr>
        <w:numPr>
          <w:ilvl w:val="0"/>
          <w:numId w:val="0"/>
        </w:numPr>
        <w:spacing w:line="560" w:lineRule="exact"/>
        <w:ind w:firstLine="320" w:firstLineChars="100"/>
        <w:rPr>
          <w:rFonts w:hint="eastAsia" w:ascii="仿宋" w:hAnsi="仿宋" w:eastAsia="仿宋" w:cs="仿宋"/>
          <w:color w:val="auto"/>
          <w:kern w:val="2"/>
          <w:sz w:val="32"/>
          <w:szCs w:val="32"/>
          <w:lang w:val="en-US" w:eastAsia="zh-CN" w:bidi="ar-SA"/>
        </w:rPr>
      </w:pPr>
    </w:p>
    <w:p>
      <w:pPr>
        <w:numPr>
          <w:ilvl w:val="0"/>
          <w:numId w:val="0"/>
        </w:numPr>
        <w:spacing w:line="560" w:lineRule="exact"/>
        <w:ind w:firstLine="320" w:firstLineChars="100"/>
        <w:rPr>
          <w:rFonts w:hint="eastAsia" w:ascii="仿宋" w:hAnsi="仿宋" w:eastAsia="仿宋" w:cs="仿宋"/>
          <w:color w:val="auto"/>
          <w:kern w:val="2"/>
          <w:sz w:val="32"/>
          <w:szCs w:val="32"/>
          <w:lang w:val="en-US" w:eastAsia="zh-CN" w:bidi="ar-SA"/>
        </w:rPr>
      </w:pPr>
    </w:p>
    <w:p>
      <w:pPr>
        <w:numPr>
          <w:ilvl w:val="0"/>
          <w:numId w:val="0"/>
        </w:numPr>
        <w:spacing w:line="560" w:lineRule="exact"/>
        <w:ind w:firstLine="320" w:firstLineChars="100"/>
        <w:rPr>
          <w:rFonts w:hint="eastAsia" w:ascii="仿宋" w:hAnsi="仿宋" w:eastAsia="仿宋" w:cs="仿宋"/>
          <w:color w:val="auto"/>
          <w:kern w:val="2"/>
          <w:sz w:val="32"/>
          <w:szCs w:val="32"/>
          <w:lang w:val="en-US" w:eastAsia="zh-CN" w:bidi="ar-SA"/>
        </w:rPr>
      </w:pPr>
    </w:p>
    <w:p>
      <w:pPr>
        <w:numPr>
          <w:ilvl w:val="0"/>
          <w:numId w:val="0"/>
        </w:numPr>
        <w:spacing w:line="560" w:lineRule="exact"/>
        <w:ind w:firstLine="320" w:firstLineChars="100"/>
        <w:rPr>
          <w:rFonts w:hint="eastAsia" w:ascii="仿宋" w:hAnsi="仿宋" w:eastAsia="仿宋" w:cs="仿宋"/>
          <w:color w:val="auto"/>
          <w:kern w:val="2"/>
          <w:sz w:val="32"/>
          <w:szCs w:val="32"/>
          <w:lang w:val="en-US" w:eastAsia="zh-CN" w:bidi="ar-SA"/>
        </w:rPr>
      </w:pPr>
    </w:p>
    <w:p>
      <w:pPr>
        <w:numPr>
          <w:ilvl w:val="0"/>
          <w:numId w:val="0"/>
        </w:numPr>
        <w:spacing w:line="560" w:lineRule="exact"/>
        <w:ind w:firstLine="320" w:firstLineChars="100"/>
        <w:rPr>
          <w:rFonts w:hint="eastAsia" w:ascii="仿宋" w:hAnsi="仿宋" w:eastAsia="仿宋" w:cs="仿宋"/>
          <w:color w:val="auto"/>
          <w:kern w:val="2"/>
          <w:sz w:val="32"/>
          <w:szCs w:val="32"/>
          <w:lang w:val="en-US" w:eastAsia="zh-CN" w:bidi="ar-SA"/>
        </w:rPr>
      </w:pPr>
    </w:p>
    <w:p>
      <w:pPr>
        <w:numPr>
          <w:ilvl w:val="0"/>
          <w:numId w:val="0"/>
        </w:numPr>
        <w:spacing w:line="560" w:lineRule="exact"/>
        <w:ind w:firstLine="320" w:firstLineChars="100"/>
        <w:rPr>
          <w:rFonts w:hint="eastAsia" w:ascii="仿宋" w:hAnsi="仿宋" w:eastAsia="仿宋" w:cs="仿宋"/>
          <w:color w:val="auto"/>
          <w:kern w:val="2"/>
          <w:sz w:val="32"/>
          <w:szCs w:val="32"/>
          <w:lang w:val="en-US" w:eastAsia="zh-CN" w:bidi="ar-SA"/>
        </w:rPr>
      </w:pPr>
    </w:p>
    <w:p>
      <w:pPr>
        <w:numPr>
          <w:ilvl w:val="0"/>
          <w:numId w:val="0"/>
        </w:numPr>
        <w:spacing w:line="560" w:lineRule="exact"/>
        <w:ind w:firstLine="320" w:firstLineChars="100"/>
        <w:rPr>
          <w:rFonts w:hint="eastAsia" w:ascii="仿宋" w:hAnsi="仿宋" w:eastAsia="仿宋" w:cs="仿宋"/>
          <w:color w:val="auto"/>
          <w:kern w:val="2"/>
          <w:sz w:val="32"/>
          <w:szCs w:val="32"/>
          <w:lang w:val="en-US" w:eastAsia="zh-CN" w:bidi="ar-SA"/>
        </w:rPr>
      </w:pPr>
    </w:p>
    <w:p>
      <w:pPr>
        <w:numPr>
          <w:ilvl w:val="0"/>
          <w:numId w:val="0"/>
        </w:numPr>
        <w:spacing w:line="560" w:lineRule="exact"/>
        <w:ind w:firstLine="320" w:firstLineChars="100"/>
        <w:rPr>
          <w:rFonts w:hint="eastAsia" w:ascii="仿宋" w:hAnsi="仿宋" w:eastAsia="仿宋" w:cs="仿宋"/>
          <w:color w:val="auto"/>
          <w:kern w:val="2"/>
          <w:sz w:val="32"/>
          <w:szCs w:val="32"/>
          <w:lang w:val="en-US" w:eastAsia="zh-CN" w:bidi="ar-SA"/>
        </w:rPr>
      </w:pPr>
    </w:p>
    <w:p>
      <w:pPr>
        <w:numPr>
          <w:ilvl w:val="0"/>
          <w:numId w:val="0"/>
        </w:numPr>
        <w:spacing w:line="560" w:lineRule="exact"/>
        <w:ind w:firstLine="320" w:firstLineChars="10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五、</w:t>
      </w:r>
      <w:r>
        <w:rPr>
          <w:rFonts w:hint="eastAsia" w:ascii="仿宋" w:hAnsi="仿宋" w:eastAsia="仿宋" w:cs="仿宋"/>
          <w:color w:val="auto"/>
          <w:sz w:val="32"/>
          <w:szCs w:val="32"/>
        </w:rPr>
        <w:t>《一般公共预算支出表》</w:t>
      </w:r>
    </w:p>
    <w:p>
      <w:pPr>
        <w:pStyle w:val="2"/>
        <w:numPr>
          <w:ilvl w:val="0"/>
          <w:numId w:val="0"/>
        </w:numPr>
      </w:pPr>
      <w:r>
        <w:drawing>
          <wp:inline distT="0" distB="0" distL="114300" distR="114300">
            <wp:extent cx="8751570" cy="4822190"/>
            <wp:effectExtent l="0" t="0" r="11430" b="1651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8"/>
                    <a:stretch>
                      <a:fillRect/>
                    </a:stretch>
                  </pic:blipFill>
                  <pic:spPr>
                    <a:xfrm>
                      <a:off x="0" y="0"/>
                      <a:ext cx="8751570" cy="4822190"/>
                    </a:xfrm>
                    <a:prstGeom prst="rect">
                      <a:avLst/>
                    </a:prstGeom>
                    <a:noFill/>
                    <a:ln>
                      <a:noFill/>
                    </a:ln>
                  </pic:spPr>
                </pic:pic>
              </a:graphicData>
            </a:graphic>
          </wp:inline>
        </w:drawing>
      </w:r>
    </w:p>
    <w:p>
      <w:pPr>
        <w:pStyle w:val="2"/>
        <w:numPr>
          <w:ilvl w:val="0"/>
          <w:numId w:val="0"/>
        </w:numPr>
      </w:pPr>
    </w:p>
    <w:p>
      <w:pPr>
        <w:pStyle w:val="2"/>
        <w:numPr>
          <w:ilvl w:val="0"/>
          <w:numId w:val="0"/>
        </w:numPr>
      </w:pPr>
    </w:p>
    <w:p>
      <w:pPr>
        <w:pStyle w:val="2"/>
        <w:numPr>
          <w:ilvl w:val="0"/>
          <w:numId w:val="0"/>
        </w:numPr>
        <w:rPr>
          <w:rFonts w:hint="eastAsia"/>
        </w:rPr>
      </w:pPr>
    </w:p>
    <w:p>
      <w:pPr>
        <w:numPr>
          <w:ilvl w:val="0"/>
          <w:numId w:val="0"/>
        </w:numPr>
        <w:spacing w:line="560" w:lineRule="exact"/>
        <w:ind w:firstLine="320" w:firstLineChars="10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p>
      <w:pPr>
        <w:pStyle w:val="2"/>
        <w:numPr>
          <w:ilvl w:val="0"/>
          <w:numId w:val="0"/>
        </w:numPr>
      </w:pPr>
      <w:r>
        <w:drawing>
          <wp:inline distT="0" distB="0" distL="114300" distR="114300">
            <wp:extent cx="9769475" cy="4324985"/>
            <wp:effectExtent l="0" t="0" r="3175" b="184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9"/>
                    <a:stretch>
                      <a:fillRect/>
                    </a:stretch>
                  </pic:blipFill>
                  <pic:spPr>
                    <a:xfrm>
                      <a:off x="0" y="0"/>
                      <a:ext cx="9769475" cy="4324985"/>
                    </a:xfrm>
                    <a:prstGeom prst="rect">
                      <a:avLst/>
                    </a:prstGeom>
                    <a:noFill/>
                    <a:ln>
                      <a:noFill/>
                    </a:ln>
                  </pic:spPr>
                </pic:pic>
              </a:graphicData>
            </a:graphic>
          </wp:inline>
        </w:drawing>
      </w:r>
    </w:p>
    <w:p>
      <w:pPr>
        <w:pStyle w:val="2"/>
        <w:numPr>
          <w:ilvl w:val="0"/>
          <w:numId w:val="0"/>
        </w:numPr>
      </w:pPr>
    </w:p>
    <w:p>
      <w:pPr>
        <w:pStyle w:val="2"/>
        <w:numPr>
          <w:ilvl w:val="0"/>
          <w:numId w:val="0"/>
        </w:numPr>
      </w:pPr>
    </w:p>
    <w:p>
      <w:pPr>
        <w:pStyle w:val="2"/>
        <w:numPr>
          <w:ilvl w:val="0"/>
          <w:numId w:val="0"/>
        </w:numPr>
      </w:pPr>
    </w:p>
    <w:p>
      <w:pPr>
        <w:pStyle w:val="2"/>
        <w:numPr>
          <w:ilvl w:val="0"/>
          <w:numId w:val="0"/>
        </w:numPr>
        <w:rPr>
          <w:rFonts w:hint="eastAsia"/>
        </w:rPr>
      </w:pPr>
    </w:p>
    <w:p>
      <w:pPr>
        <w:numPr>
          <w:ilvl w:val="0"/>
          <w:numId w:val="0"/>
        </w:numPr>
        <w:spacing w:line="560" w:lineRule="exact"/>
        <w:ind w:left="0" w:leftChars="0" w:firstLine="320" w:firstLineChars="10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p>
      <w:pPr>
        <w:pStyle w:val="2"/>
        <w:numPr>
          <w:ilvl w:val="0"/>
          <w:numId w:val="0"/>
        </w:numPr>
        <w:ind w:leftChars="100"/>
      </w:pPr>
      <w:r>
        <w:drawing>
          <wp:inline distT="0" distB="0" distL="114300" distR="114300">
            <wp:extent cx="9401175" cy="23336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0"/>
                    <a:stretch>
                      <a:fillRect/>
                    </a:stretch>
                  </pic:blipFill>
                  <pic:spPr>
                    <a:xfrm>
                      <a:off x="0" y="0"/>
                      <a:ext cx="9401175" cy="2333625"/>
                    </a:xfrm>
                    <a:prstGeom prst="rect">
                      <a:avLst/>
                    </a:prstGeom>
                    <a:noFill/>
                    <a:ln>
                      <a:noFill/>
                    </a:ln>
                  </pic:spPr>
                </pic:pic>
              </a:graphicData>
            </a:graphic>
          </wp:inline>
        </w:drawing>
      </w:r>
    </w:p>
    <w:p>
      <w:pPr>
        <w:pStyle w:val="2"/>
        <w:numPr>
          <w:ilvl w:val="0"/>
          <w:numId w:val="0"/>
        </w:numPr>
        <w:ind w:leftChars="100"/>
      </w:pPr>
    </w:p>
    <w:p>
      <w:pPr>
        <w:pStyle w:val="2"/>
        <w:numPr>
          <w:ilvl w:val="0"/>
          <w:numId w:val="0"/>
        </w:numPr>
        <w:ind w:leftChars="100"/>
      </w:pPr>
    </w:p>
    <w:p>
      <w:pPr>
        <w:pStyle w:val="2"/>
        <w:numPr>
          <w:ilvl w:val="0"/>
          <w:numId w:val="0"/>
        </w:numPr>
        <w:ind w:leftChars="100"/>
      </w:pPr>
    </w:p>
    <w:p>
      <w:pPr>
        <w:pStyle w:val="2"/>
        <w:numPr>
          <w:ilvl w:val="0"/>
          <w:numId w:val="0"/>
        </w:numPr>
        <w:ind w:leftChars="100"/>
      </w:pPr>
    </w:p>
    <w:p>
      <w:pPr>
        <w:pStyle w:val="2"/>
        <w:numPr>
          <w:ilvl w:val="0"/>
          <w:numId w:val="0"/>
        </w:numPr>
        <w:ind w:leftChars="100"/>
      </w:pPr>
    </w:p>
    <w:p>
      <w:pPr>
        <w:pStyle w:val="2"/>
        <w:numPr>
          <w:ilvl w:val="0"/>
          <w:numId w:val="0"/>
        </w:numPr>
        <w:ind w:leftChars="100"/>
      </w:pPr>
    </w:p>
    <w:p>
      <w:pPr>
        <w:pStyle w:val="2"/>
        <w:numPr>
          <w:ilvl w:val="0"/>
          <w:numId w:val="0"/>
        </w:numPr>
        <w:ind w:leftChars="100"/>
      </w:pPr>
    </w:p>
    <w:p>
      <w:pPr>
        <w:pStyle w:val="2"/>
        <w:numPr>
          <w:ilvl w:val="0"/>
          <w:numId w:val="0"/>
        </w:numPr>
        <w:ind w:leftChars="100"/>
      </w:pPr>
    </w:p>
    <w:p>
      <w:pPr>
        <w:pStyle w:val="2"/>
        <w:numPr>
          <w:ilvl w:val="0"/>
          <w:numId w:val="0"/>
        </w:numPr>
        <w:ind w:leftChars="100"/>
        <w:rPr>
          <w:rFonts w:hint="eastAsia"/>
        </w:rPr>
      </w:pPr>
    </w:p>
    <w:p>
      <w:pPr>
        <w:numPr>
          <w:ilvl w:val="0"/>
          <w:numId w:val="0"/>
        </w:numPr>
        <w:spacing w:line="560" w:lineRule="exact"/>
        <w:ind w:firstLine="320" w:firstLineChars="10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p>
      <w:pPr>
        <w:pStyle w:val="2"/>
        <w:numPr>
          <w:ilvl w:val="0"/>
          <w:numId w:val="0"/>
        </w:numPr>
      </w:pPr>
      <w:r>
        <w:drawing>
          <wp:inline distT="0" distB="0" distL="114300" distR="114300">
            <wp:extent cx="9775190" cy="2061210"/>
            <wp:effectExtent l="0" t="0" r="1651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1"/>
                    <a:stretch>
                      <a:fillRect/>
                    </a:stretch>
                  </pic:blipFill>
                  <pic:spPr>
                    <a:xfrm>
                      <a:off x="0" y="0"/>
                      <a:ext cx="9775190" cy="2061210"/>
                    </a:xfrm>
                    <a:prstGeom prst="rect">
                      <a:avLst/>
                    </a:prstGeom>
                    <a:noFill/>
                    <a:ln>
                      <a:noFill/>
                    </a:ln>
                  </pic:spPr>
                </pic:pic>
              </a:graphicData>
            </a:graphic>
          </wp:inline>
        </w:drawing>
      </w: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rPr>
          <w:rFonts w:hint="eastAsia"/>
        </w:rPr>
      </w:pPr>
    </w:p>
    <w:p>
      <w:pPr>
        <w:numPr>
          <w:ilvl w:val="0"/>
          <w:numId w:val="0"/>
        </w:numPr>
        <w:spacing w:line="560" w:lineRule="exact"/>
        <w:ind w:firstLine="320" w:firstLineChars="10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numPr>
          <w:ilvl w:val="0"/>
          <w:numId w:val="0"/>
        </w:numPr>
      </w:pPr>
      <w:r>
        <w:drawing>
          <wp:inline distT="0" distB="0" distL="114300" distR="114300">
            <wp:extent cx="9773920" cy="2274570"/>
            <wp:effectExtent l="0" t="0" r="17780" b="1143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2"/>
                    <a:stretch>
                      <a:fillRect/>
                    </a:stretch>
                  </pic:blipFill>
                  <pic:spPr>
                    <a:xfrm>
                      <a:off x="0" y="0"/>
                      <a:ext cx="9773920" cy="2274570"/>
                    </a:xfrm>
                    <a:prstGeom prst="rect">
                      <a:avLst/>
                    </a:prstGeom>
                    <a:noFill/>
                    <a:ln>
                      <a:noFill/>
                    </a:ln>
                  </pic:spPr>
                </pic:pic>
              </a:graphicData>
            </a:graphic>
          </wp:inline>
        </w:drawing>
      </w: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rPr>
          <w:rFonts w:hint="eastAsia"/>
        </w:rPr>
      </w:pPr>
    </w:p>
    <w:p>
      <w:pPr>
        <w:numPr>
          <w:ilvl w:val="0"/>
          <w:numId w:val="0"/>
        </w:numPr>
        <w:spacing w:line="560" w:lineRule="exact"/>
        <w:ind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pStyle w:val="2"/>
        <w:ind w:firstLine="960" w:firstLineChars="3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pStyle w:val="2"/>
        <w:ind w:firstLine="960" w:firstLineChars="300"/>
        <w:rPr>
          <w:rFonts w:hint="eastAsia" w:ascii="仿宋" w:hAnsi="仿宋" w:eastAsia="仿宋" w:cs="仿宋"/>
          <w:color w:val="auto"/>
          <w:sz w:val="32"/>
          <w:szCs w:val="32"/>
          <w:lang w:val="en-US" w:eastAsia="zh-CN"/>
        </w:rPr>
      </w:pPr>
    </w:p>
    <w:p>
      <w:pPr>
        <w:numPr>
          <w:ilvl w:val="0"/>
          <w:numId w:val="0"/>
        </w:numPr>
        <w:spacing w:line="560" w:lineRule="exact"/>
        <w:ind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rPr>
        <w:t>《项目支出绩效目标表》</w:t>
      </w:r>
    </w:p>
    <w:p>
      <w:pPr>
        <w:pStyle w:val="2"/>
        <w:ind w:firstLine="960" w:firstLineChars="3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sectPr>
          <w:pgSz w:w="16838" w:h="11906" w:orient="landscape"/>
          <w:pgMar w:top="720" w:right="720" w:bottom="720" w:left="720" w:header="851" w:footer="992" w:gutter="0"/>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119677B"/>
    <w:rsid w:val="01DB2D9A"/>
    <w:rsid w:val="033F65AC"/>
    <w:rsid w:val="04AA47FB"/>
    <w:rsid w:val="05033781"/>
    <w:rsid w:val="06913258"/>
    <w:rsid w:val="06B80B10"/>
    <w:rsid w:val="06BF6017"/>
    <w:rsid w:val="06EB2968"/>
    <w:rsid w:val="0774295E"/>
    <w:rsid w:val="09C73CC8"/>
    <w:rsid w:val="0A4D7496"/>
    <w:rsid w:val="0C5D030A"/>
    <w:rsid w:val="0C9F0180"/>
    <w:rsid w:val="0CC7558C"/>
    <w:rsid w:val="0CD143AE"/>
    <w:rsid w:val="0DFC3E81"/>
    <w:rsid w:val="0EFD148A"/>
    <w:rsid w:val="0F305284"/>
    <w:rsid w:val="0F981BA6"/>
    <w:rsid w:val="0FF7412C"/>
    <w:rsid w:val="116B728B"/>
    <w:rsid w:val="120E39AF"/>
    <w:rsid w:val="12413D84"/>
    <w:rsid w:val="126F08F1"/>
    <w:rsid w:val="12764DE3"/>
    <w:rsid w:val="128B4058"/>
    <w:rsid w:val="130C7119"/>
    <w:rsid w:val="147E47AE"/>
    <w:rsid w:val="14C52A4A"/>
    <w:rsid w:val="157E0E4B"/>
    <w:rsid w:val="16247C45"/>
    <w:rsid w:val="16E3540A"/>
    <w:rsid w:val="174F484D"/>
    <w:rsid w:val="175E2CE2"/>
    <w:rsid w:val="17850B4F"/>
    <w:rsid w:val="17FA3792"/>
    <w:rsid w:val="18187335"/>
    <w:rsid w:val="181C2B4F"/>
    <w:rsid w:val="184C4807"/>
    <w:rsid w:val="19153875"/>
    <w:rsid w:val="194505FE"/>
    <w:rsid w:val="19CA0B03"/>
    <w:rsid w:val="1A9D669C"/>
    <w:rsid w:val="1AC07BCE"/>
    <w:rsid w:val="1AC92B69"/>
    <w:rsid w:val="1AD35795"/>
    <w:rsid w:val="1B7F0948"/>
    <w:rsid w:val="1BCE1278"/>
    <w:rsid w:val="1C660E7B"/>
    <w:rsid w:val="1C6C108F"/>
    <w:rsid w:val="1D1F2F14"/>
    <w:rsid w:val="1EC024D4"/>
    <w:rsid w:val="1F5922CD"/>
    <w:rsid w:val="20036B1D"/>
    <w:rsid w:val="20607ACB"/>
    <w:rsid w:val="21006EE6"/>
    <w:rsid w:val="21FC1A76"/>
    <w:rsid w:val="220A4192"/>
    <w:rsid w:val="22AC524A"/>
    <w:rsid w:val="23250B58"/>
    <w:rsid w:val="23623B5A"/>
    <w:rsid w:val="24977834"/>
    <w:rsid w:val="25172CD9"/>
    <w:rsid w:val="271E6A5F"/>
    <w:rsid w:val="27AB1CB6"/>
    <w:rsid w:val="282F2AF8"/>
    <w:rsid w:val="293B2E83"/>
    <w:rsid w:val="29C56BF1"/>
    <w:rsid w:val="2A597E09"/>
    <w:rsid w:val="2A833419"/>
    <w:rsid w:val="2AA35184"/>
    <w:rsid w:val="2ABA427C"/>
    <w:rsid w:val="2AC800C8"/>
    <w:rsid w:val="2C6C77F8"/>
    <w:rsid w:val="2C8E3C12"/>
    <w:rsid w:val="2D2347EC"/>
    <w:rsid w:val="2D4F33A1"/>
    <w:rsid w:val="2D7D50EB"/>
    <w:rsid w:val="2E7F1A64"/>
    <w:rsid w:val="2EB060C2"/>
    <w:rsid w:val="2F154177"/>
    <w:rsid w:val="2FB219C5"/>
    <w:rsid w:val="2FD8767E"/>
    <w:rsid w:val="31C93669"/>
    <w:rsid w:val="32700042"/>
    <w:rsid w:val="33DA3717"/>
    <w:rsid w:val="343C3F54"/>
    <w:rsid w:val="346C4839"/>
    <w:rsid w:val="354E03E2"/>
    <w:rsid w:val="360A4309"/>
    <w:rsid w:val="36413AA3"/>
    <w:rsid w:val="38037262"/>
    <w:rsid w:val="387F22D9"/>
    <w:rsid w:val="388D1D36"/>
    <w:rsid w:val="393A4831"/>
    <w:rsid w:val="3C563BB2"/>
    <w:rsid w:val="3D3D3216"/>
    <w:rsid w:val="3D544CB7"/>
    <w:rsid w:val="3D7053D6"/>
    <w:rsid w:val="3E175992"/>
    <w:rsid w:val="3F0C7A11"/>
    <w:rsid w:val="40D45C40"/>
    <w:rsid w:val="40E35E83"/>
    <w:rsid w:val="40E84D51"/>
    <w:rsid w:val="426004B3"/>
    <w:rsid w:val="42CB4E20"/>
    <w:rsid w:val="438F22F2"/>
    <w:rsid w:val="44801C3A"/>
    <w:rsid w:val="44F227B7"/>
    <w:rsid w:val="45010FCD"/>
    <w:rsid w:val="45626FF1"/>
    <w:rsid w:val="460F771A"/>
    <w:rsid w:val="46873754"/>
    <w:rsid w:val="46BA513E"/>
    <w:rsid w:val="471825FE"/>
    <w:rsid w:val="47EA6595"/>
    <w:rsid w:val="48401E0D"/>
    <w:rsid w:val="495E3293"/>
    <w:rsid w:val="49D97E23"/>
    <w:rsid w:val="4A437992"/>
    <w:rsid w:val="4A857FAB"/>
    <w:rsid w:val="4BF33E70"/>
    <w:rsid w:val="4D2B3305"/>
    <w:rsid w:val="4F9C55BF"/>
    <w:rsid w:val="50011E81"/>
    <w:rsid w:val="50854860"/>
    <w:rsid w:val="50CB7DCA"/>
    <w:rsid w:val="51031C29"/>
    <w:rsid w:val="51840FBC"/>
    <w:rsid w:val="51CB6BEB"/>
    <w:rsid w:val="51F22534"/>
    <w:rsid w:val="52681863"/>
    <w:rsid w:val="52D01FDF"/>
    <w:rsid w:val="53A042C7"/>
    <w:rsid w:val="54CB0CB0"/>
    <w:rsid w:val="553C0616"/>
    <w:rsid w:val="554F368F"/>
    <w:rsid w:val="55564A1D"/>
    <w:rsid w:val="55D3606E"/>
    <w:rsid w:val="56044479"/>
    <w:rsid w:val="56811F6E"/>
    <w:rsid w:val="56A47A0A"/>
    <w:rsid w:val="57061740"/>
    <w:rsid w:val="58AC6244"/>
    <w:rsid w:val="58BC2EB0"/>
    <w:rsid w:val="58F5279F"/>
    <w:rsid w:val="594159E5"/>
    <w:rsid w:val="5A040EEC"/>
    <w:rsid w:val="5ABC3575"/>
    <w:rsid w:val="5BFD0408"/>
    <w:rsid w:val="5C723E7A"/>
    <w:rsid w:val="5EA600B9"/>
    <w:rsid w:val="5F693DE4"/>
    <w:rsid w:val="60587E80"/>
    <w:rsid w:val="60F8107F"/>
    <w:rsid w:val="62570880"/>
    <w:rsid w:val="62812164"/>
    <w:rsid w:val="63536A40"/>
    <w:rsid w:val="64D11D53"/>
    <w:rsid w:val="650B5081"/>
    <w:rsid w:val="65E322FD"/>
    <w:rsid w:val="66E005EB"/>
    <w:rsid w:val="672A7E5E"/>
    <w:rsid w:val="67D55C76"/>
    <w:rsid w:val="685360F8"/>
    <w:rsid w:val="6AFF7CB3"/>
    <w:rsid w:val="6BA51E03"/>
    <w:rsid w:val="6D0B14CF"/>
    <w:rsid w:val="6D8819DC"/>
    <w:rsid w:val="6DB91B96"/>
    <w:rsid w:val="6DCB5401"/>
    <w:rsid w:val="6E9879FD"/>
    <w:rsid w:val="6F524050"/>
    <w:rsid w:val="706E4EB9"/>
    <w:rsid w:val="712832BA"/>
    <w:rsid w:val="712C09DD"/>
    <w:rsid w:val="72007D93"/>
    <w:rsid w:val="726B5B54"/>
    <w:rsid w:val="731A30D6"/>
    <w:rsid w:val="73C82B32"/>
    <w:rsid w:val="74253744"/>
    <w:rsid w:val="75153B55"/>
    <w:rsid w:val="75AB6156"/>
    <w:rsid w:val="76514C17"/>
    <w:rsid w:val="769D5814"/>
    <w:rsid w:val="76B86E8E"/>
    <w:rsid w:val="773109EF"/>
    <w:rsid w:val="77476464"/>
    <w:rsid w:val="78574485"/>
    <w:rsid w:val="78A83695"/>
    <w:rsid w:val="78B43685"/>
    <w:rsid w:val="7A074F0E"/>
    <w:rsid w:val="7AF619D9"/>
    <w:rsid w:val="7B947027"/>
    <w:rsid w:val="7BE81275"/>
    <w:rsid w:val="7DCC1471"/>
    <w:rsid w:val="7DDB699D"/>
    <w:rsid w:val="7E0A3481"/>
    <w:rsid w:val="7E227E81"/>
    <w:rsid w:val="7E485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2755</Words>
  <Characters>3014</Characters>
  <Lines>0</Lines>
  <Paragraphs>0</Paragraphs>
  <TotalTime>1</TotalTime>
  <ScaleCrop>false</ScaleCrop>
  <LinksUpToDate>false</LinksUpToDate>
  <CharactersWithSpaces>3040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2023-06-19T03:12:07Z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2565BFD5CA194D2BA1E665C4806FD21F_13</vt:lpwstr>
  </property>
</Properties>
</file>