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兴国县疾病预防控制中心2022年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疾病预防控制中心</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疾病预防控制中心</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疾病预防控制中心</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ind w:left="641" w:hanging="684" w:hangingChars="213"/>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疾病预防控制中心</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疾病预防控制中心</w:t>
      </w:r>
      <w:r>
        <w:rPr>
          <w:rFonts w:hint="eastAsia" w:ascii="仿宋" w:hAnsi="仿宋" w:eastAsia="仿宋" w:cs="仿宋"/>
          <w:sz w:val="32"/>
          <w:szCs w:val="32"/>
        </w:rPr>
        <w:t>是县政府组成部门</w:t>
      </w:r>
      <w:r>
        <w:rPr>
          <w:rFonts w:hint="eastAsia" w:ascii="仿宋" w:hAnsi="仿宋" w:eastAsia="仿宋" w:cs="仿宋"/>
          <w:sz w:val="32"/>
          <w:szCs w:val="32"/>
          <w:lang w:eastAsia="zh-CN"/>
        </w:rPr>
        <w:t>，</w:t>
      </w:r>
      <w:r>
        <w:rPr>
          <w:rFonts w:hint="eastAsia" w:ascii="仿宋" w:hAnsi="仿宋" w:eastAsia="仿宋" w:cs="仿宋"/>
          <w:sz w:val="32"/>
          <w:szCs w:val="32"/>
        </w:rPr>
        <w:t>主要职责是：</w:t>
      </w:r>
      <w:r>
        <w:rPr>
          <w:rFonts w:hint="eastAsia" w:ascii="仿宋" w:hAnsi="仿宋" w:eastAsia="仿宋" w:cs="仿宋"/>
          <w:sz w:val="32"/>
          <w:szCs w:val="32"/>
          <w:lang w:eastAsia="zh-CN"/>
        </w:rPr>
        <w:t>为人民身体健康提供防疫保障，负责疾病预防与控制，突发卫生事件和灾害疫情处置，疾病监测，健康危害因素监测与干预，卫生检测与评价，健康教育与健康促进，疾病防治技术培训与指导。</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疾病预防控制中心</w:t>
      </w:r>
      <w:r>
        <w:rPr>
          <w:rFonts w:hint="eastAsia" w:ascii="仿宋" w:hAnsi="仿宋" w:eastAsia="仿宋"/>
          <w:color w:val="auto"/>
          <w:sz w:val="32"/>
          <w:szCs w:val="32"/>
          <w:lang w:eastAsia="zh-CN"/>
        </w:rPr>
        <w:t>单位</w:t>
      </w:r>
      <w:r>
        <w:rPr>
          <w:rFonts w:hint="eastAsia" w:ascii="仿宋" w:hAnsi="仿宋" w:eastAsia="仿宋" w:cs="仿宋"/>
          <w:color w:val="auto"/>
          <w:sz w:val="32"/>
          <w:szCs w:val="32"/>
          <w:lang w:val="en-US" w:eastAsia="zh-CN"/>
        </w:rPr>
        <w:t>内设科室11个，包括：综合科、业务科、宣教科、免规科、疾控科、艾防科、信息中心、检验科、监测科、接种门诊、地慢科。</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编制人数小计55人,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行政编制人数0人,参照公务员管理的事业编制人数0人,全部补助事业编制人数55人,自收自支编制人数0人。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${page400644146.ds532982397_REP_JX_BAS_AGENCY_INFO_ZYFRS_S_SYRSXJ}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实有人数小计55人,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在职人数小计55人,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行政在职人数0人,参照公务员管理的事业单位在职人数0人,全部补助事业在职人数55人。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${page400644146.ds532982397_REP_JX_BAS_AGENCY_INFO_ZYFRS_S_QTRSMX}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离休人数小计0人,退休人数小计27人,退职人员0人,遗属人数2人。</w:t>
      </w:r>
      <w:r>
        <w:rPr>
          <w:rFonts w:hint="eastAsia" w:ascii="仿宋" w:hAnsi="仿宋" w:eastAsia="仿宋" w:cs="仿宋"/>
          <w:color w:val="auto"/>
          <w:sz w:val="32"/>
          <w:szCs w:val="32"/>
          <w:lang w:val="en-US" w:eastAsia="zh-CN"/>
        </w:rPr>
        <w:fldChar w:fldCharType="end"/>
      </w:r>
    </w:p>
    <w:p>
      <w:pPr>
        <w:spacing w:line="560" w:lineRule="exact"/>
        <w:rPr>
          <w:rFonts w:ascii="仿宋" w:hAnsi="仿宋" w:eastAsia="仿宋" w:cs="仿宋"/>
          <w:color w:val="auto"/>
          <w:sz w:val="32"/>
          <w:szCs w:val="32"/>
        </w:rPr>
      </w:pPr>
    </w:p>
    <w:p>
      <w:pPr>
        <w:spacing w:line="560" w:lineRule="exact"/>
        <w:ind w:left="641" w:hanging="684" w:hangingChars="213"/>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 兴国县</w:t>
      </w:r>
      <w:r>
        <w:rPr>
          <w:rFonts w:hint="eastAsia" w:ascii="仿宋" w:hAnsi="仿宋" w:eastAsia="仿宋" w:cs="仿宋"/>
          <w:b/>
          <w:bCs/>
          <w:color w:val="auto"/>
          <w:sz w:val="32"/>
          <w:szCs w:val="32"/>
          <w:lang w:val="en-US" w:eastAsia="zh-CN"/>
        </w:rPr>
        <w:t>疾病预防控制中心</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预算情况说明</w:t>
      </w:r>
    </w:p>
    <w:p>
      <w:pPr>
        <w:spacing w:line="560" w:lineRule="exact"/>
        <w:ind w:left="641" w:hanging="684" w:hangingChars="213"/>
        <w:jc w:val="center"/>
        <w:rPr>
          <w:rFonts w:hint="eastAsia"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bookmarkStart w:id="0" w:name="_GoBack"/>
      <w:bookmarkEnd w:id="0"/>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4914.44</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2039.49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增加70.94%。增减变化主要原因是：疫情因素，全县疫苗接种服务对象人数增加、意识增强，使用疫苗量增加。</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具体为：财政拨款收入2131.56万元，占收入预算总额的10.13%，较上年预算安排增加51.95万元；事业收入4193.11万元，占收入预算总额的89.87%，较上年预算安排增加1739.08万元。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4665.98</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1791.03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增加62.30%。增减变化主要原因是：疫情因素，全县疫苗接种服务对象人数增加、意识增强，疫苗成本的增加。具体为：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按支出项目类别及经济分类科目划分：基本支出4665.98</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1791.03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增加62.30%。其中：工资福利支出655.38万元，占预算总额的14.04%，较上年预算安排增加236.1万元；商品和服务支出3572.60万元，占预算总额的76.56%，较上年预算安排增加1196.93万元； 对个人和家庭的补助 0万元、资本性支出438万元，占预算总额的9.4%，较上年预算安排增加358万元；项目支出0万元，较上年预算安排增加0万元。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按支出功能分类科目划分：社会保障和就业78.97万元，占预算总额的1.7%，较上年预算安排增加31.4万元；疾病预防控制4593.27万元，较上年预算安排增加1765.89万元，占预算总额的98.3%。</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2022年本单位财政拨款（补助）支出预算472.87万元，占收入预算总额的10.13%，较上年预算安排增加51.95万元，增加12.34%。增减变化主要原因是：</w:t>
      </w:r>
      <w:r>
        <w:rPr>
          <w:rFonts w:hint="eastAsia" w:ascii="仿宋" w:hAnsi="仿宋" w:eastAsia="仿宋" w:cs="仿宋"/>
          <w:color w:val="auto"/>
          <w:sz w:val="32"/>
          <w:szCs w:val="32"/>
          <w:lang w:eastAsia="zh-CN"/>
        </w:rPr>
        <w:t>医疗专业技术人员的增加</w:t>
      </w:r>
      <w:r>
        <w:rPr>
          <w:rFonts w:hint="eastAsia" w:ascii="仿宋" w:hAnsi="仿宋" w:eastAsia="仿宋" w:cs="仿宋"/>
          <w:color w:val="auto"/>
          <w:sz w:val="32"/>
          <w:szCs w:val="32"/>
          <w:lang w:val="en-US" w:eastAsia="zh-CN"/>
        </w:rPr>
        <w:t>。具体为：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按支出经济分类科目划分：基本支出472.87万元，较上年预算安排增加51.95万元，其中：工资福利支出472.87万元，占财政拨款总额的100%，较上年预算安排增加51.95万元；项目支出0万元，较上年预算安排增加0万元。</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按支出功能分类科目划分：社会保障和就业66.87万元，占预算总额的14.14%，较上年预算安排增加19.3万元；疾病预防控制406万元，占预算总额的85.86%，较上年预算安排增加32.65万元。</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政府性基金情况</w:t>
      </w:r>
    </w:p>
    <w:p>
      <w:pPr>
        <w:pStyle w:val="2"/>
        <w:numPr>
          <w:ilvl w:val="0"/>
          <w:numId w:val="0"/>
        </w:numPr>
        <w:ind w:firstLine="640" w:firstLineChars="200"/>
        <w:rPr>
          <w:rFonts w:hint="eastAsia"/>
          <w:lang w:eastAsia="zh-CN"/>
        </w:rPr>
      </w:pPr>
      <w:r>
        <w:rPr>
          <w:rFonts w:hint="eastAsia"/>
          <w:lang w:eastAsia="zh-CN"/>
        </w:rPr>
        <w:t>无政府性基金预算拨款安排的支出</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国有资本经营情况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本单位国有资本经营</w:t>
      </w:r>
      <w:r>
        <w:rPr>
          <w:rFonts w:hint="eastAsia" w:ascii="仿宋" w:hAnsi="仿宋" w:eastAsia="仿宋" w:cs="仿宋"/>
          <w:color w:val="auto"/>
          <w:sz w:val="32"/>
          <w:szCs w:val="32"/>
        </w:rPr>
        <w:t>支出</w:t>
      </w:r>
      <w:r>
        <w:rPr>
          <w:rFonts w:hint="eastAsia" w:ascii="仿宋" w:hAnsi="仿宋" w:eastAsia="仿宋" w:cs="仿宋"/>
          <w:color w:val="auto"/>
          <w:sz w:val="32"/>
          <w:szCs w:val="32"/>
          <w:lang w:eastAsia="zh-CN"/>
        </w:rPr>
        <w:t>预算为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万元，本单位无国有资本经营预算收入</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color w:val="auto"/>
          <w:sz w:val="32"/>
          <w:szCs w:val="32"/>
          <w:u w:val="none"/>
          <w:lang w:val="en-US" w:eastAsia="zh-CN"/>
        </w:rPr>
        <w:t>438</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438</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4</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特殊用途车4辆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2022年</w:t>
      </w:r>
      <w:r>
        <w:rPr>
          <w:rFonts w:hint="eastAsia" w:ascii="仿宋" w:hAnsi="仿宋" w:eastAsia="仿宋" w:cs="仿宋"/>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ind w:firstLine="643" w:firstLineChars="20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 兴国县</w:t>
      </w:r>
      <w:r>
        <w:rPr>
          <w:rFonts w:hint="eastAsia" w:ascii="仿宋" w:hAnsi="仿宋" w:eastAsia="仿宋" w:cs="仿宋"/>
          <w:b/>
          <w:bCs/>
          <w:color w:val="auto"/>
          <w:sz w:val="32"/>
          <w:szCs w:val="32"/>
          <w:lang w:val="en-US" w:eastAsia="zh-CN"/>
        </w:rPr>
        <w:t>疾病预防控制中心2022年</w:t>
      </w:r>
      <w:r>
        <w:rPr>
          <w:rFonts w:hint="eastAsia" w:ascii="仿宋" w:hAnsi="仿宋" w:eastAsia="仿宋" w:cs="仿宋"/>
          <w:b/>
          <w:bCs/>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eastAsia="仿宋"/>
          <w:lang w:eastAsia="zh-CN"/>
        </w:rPr>
      </w:pPr>
      <w:r>
        <w:drawing>
          <wp:inline distT="0" distB="0" distL="114300" distR="114300">
            <wp:extent cx="9770745" cy="3986530"/>
            <wp:effectExtent l="0" t="0" r="190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770745" cy="3986530"/>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rPr>
          <w:rFonts w:hint="eastAsia" w:eastAsia="仿宋"/>
          <w:lang w:eastAsia="zh-CN"/>
        </w:rPr>
      </w:pPr>
      <w:r>
        <w:drawing>
          <wp:inline distT="0" distB="0" distL="114300" distR="114300">
            <wp:extent cx="8134350" cy="45815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8134350" cy="4581525"/>
                    </a:xfrm>
                    <a:prstGeom prst="rect">
                      <a:avLst/>
                    </a:prstGeom>
                    <a:noFill/>
                    <a:ln>
                      <a:noFill/>
                    </a:ln>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ascii="仿宋" w:hAnsi="仿宋" w:eastAsia="仿宋" w:cs="仿宋"/>
          <w:color w:val="auto"/>
          <w:sz w:val="32"/>
          <w:szCs w:val="32"/>
          <w:lang w:eastAsia="zh-CN"/>
        </w:rPr>
      </w:pPr>
      <w:r>
        <w:drawing>
          <wp:inline distT="0" distB="0" distL="114300" distR="114300">
            <wp:extent cx="7734300" cy="4667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7734300" cy="4667250"/>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ascii="仿宋" w:hAnsi="仿宋" w:eastAsia="仿宋" w:cs="仿宋"/>
          <w:color w:val="auto"/>
          <w:sz w:val="32"/>
          <w:szCs w:val="32"/>
          <w:lang w:eastAsia="zh-CN"/>
        </w:rPr>
      </w:pPr>
      <w:r>
        <w:drawing>
          <wp:inline distT="0" distB="0" distL="114300" distR="114300">
            <wp:extent cx="9768840" cy="3556635"/>
            <wp:effectExtent l="0" t="0" r="381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9768840" cy="3556635"/>
                    </a:xfrm>
                    <a:prstGeom prst="rect">
                      <a:avLst/>
                    </a:prstGeom>
                    <a:noFill/>
                    <a:ln>
                      <a:noFill/>
                    </a:ln>
                  </pic:spPr>
                </pic:pic>
              </a:graphicData>
            </a:graphic>
          </wp:inline>
        </w:drawing>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pPr>
      <w:r>
        <w:drawing>
          <wp:inline distT="0" distB="0" distL="114300" distR="114300">
            <wp:extent cx="7172325" cy="43815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7172325" cy="4381500"/>
                    </a:xfrm>
                    <a:prstGeom prst="rect">
                      <a:avLst/>
                    </a:prstGeom>
                    <a:noFill/>
                    <a:ln>
                      <a:noFill/>
                    </a:ln>
                  </pic:spPr>
                </pic:pic>
              </a:graphicData>
            </a:graphic>
          </wp:inline>
        </w:drawing>
      </w:r>
    </w:p>
    <w:p>
      <w:pPr>
        <w:pStyle w:val="2"/>
      </w:pPr>
    </w:p>
    <w:p>
      <w:pPr>
        <w:pStyle w:val="2"/>
      </w:pPr>
    </w:p>
    <w:p>
      <w:pPr>
        <w:pStyle w:val="2"/>
        <w:rPr>
          <w:rFonts w:hint="eastAsia"/>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ascii="仿宋" w:hAnsi="仿宋" w:eastAsia="仿宋" w:cs="仿宋"/>
          <w:color w:val="auto"/>
          <w:sz w:val="32"/>
          <w:szCs w:val="32"/>
          <w:lang w:eastAsia="zh-CN"/>
        </w:rPr>
      </w:pPr>
      <w:r>
        <w:drawing>
          <wp:inline distT="0" distB="0" distL="114300" distR="114300">
            <wp:extent cx="7191375" cy="43529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7191375" cy="4352925"/>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drawing>
          <wp:inline distT="0" distB="0" distL="114300" distR="114300">
            <wp:extent cx="9496425" cy="21907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9496425" cy="2190750"/>
                    </a:xfrm>
                    <a:prstGeom prst="rect">
                      <a:avLst/>
                    </a:prstGeom>
                    <a:noFill/>
                    <a:ln>
                      <a:noFill/>
                    </a:ln>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color w:val="auto"/>
        </w:rPr>
      </w:pPr>
      <w:r>
        <w:drawing>
          <wp:inline distT="0" distB="0" distL="114300" distR="114300">
            <wp:extent cx="9477375" cy="24669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9477375" cy="2466975"/>
                    </a:xfrm>
                    <a:prstGeom prst="rect">
                      <a:avLst/>
                    </a:prstGeom>
                    <a:noFill/>
                    <a:ln>
                      <a:noFill/>
                    </a:ln>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r>
        <w:drawing>
          <wp:inline distT="0" distB="0" distL="114300" distR="114300">
            <wp:extent cx="9776460" cy="2024380"/>
            <wp:effectExtent l="0" t="0" r="15240" b="139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9776460" cy="2024380"/>
                    </a:xfrm>
                    <a:prstGeom prst="rect">
                      <a:avLst/>
                    </a:prstGeom>
                    <a:noFill/>
                    <a:ln>
                      <a:noFill/>
                    </a:ln>
                  </pic:spPr>
                </pic:pic>
              </a:graphicData>
            </a:graphic>
          </wp:inline>
        </w:drawing>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3"/>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left="641" w:hanging="684" w:hangingChars="213"/>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名词解释</w:t>
      </w:r>
    </w:p>
    <w:p>
      <w:pPr>
        <w:spacing w:line="560" w:lineRule="exact"/>
        <w:ind w:left="641" w:hanging="684" w:hangingChars="213"/>
        <w:jc w:val="center"/>
        <w:rPr>
          <w:rFonts w:hint="eastAsia" w:ascii="仿宋" w:hAnsi="仿宋" w:eastAsia="仿宋" w:cs="仿宋"/>
          <w:b/>
          <w:bCs/>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19842"/>
    <w:multiLevelType w:val="singleLevel"/>
    <w:tmpl w:val="A9E19842"/>
    <w:lvl w:ilvl="0" w:tentative="0">
      <w:start w:val="4"/>
      <w:numFmt w:val="chineseCounting"/>
      <w:suff w:val="nothing"/>
      <w:lvlText w:val="（%1）"/>
      <w:lvlJc w:val="left"/>
      <w:rPr>
        <w:rFonts w:hint="eastAsia"/>
      </w:rPr>
    </w:lvl>
  </w:abstractNum>
  <w:abstractNum w:abstractNumId="1">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2">
    <w:nsid w:val="523D3E4E"/>
    <w:multiLevelType w:val="singleLevel"/>
    <w:tmpl w:val="523D3E4E"/>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31C93669"/>
    <w:rsid w:val="01DB2D9A"/>
    <w:rsid w:val="033F65AC"/>
    <w:rsid w:val="04AA47FB"/>
    <w:rsid w:val="05033781"/>
    <w:rsid w:val="06913258"/>
    <w:rsid w:val="06EB2968"/>
    <w:rsid w:val="0774295E"/>
    <w:rsid w:val="090F7836"/>
    <w:rsid w:val="09C73CC8"/>
    <w:rsid w:val="0C5D030A"/>
    <w:rsid w:val="0C9F0180"/>
    <w:rsid w:val="0CC7558C"/>
    <w:rsid w:val="0DFC3E81"/>
    <w:rsid w:val="0F305284"/>
    <w:rsid w:val="0F981BA6"/>
    <w:rsid w:val="0FF7412C"/>
    <w:rsid w:val="116B728B"/>
    <w:rsid w:val="120E39AF"/>
    <w:rsid w:val="12413D84"/>
    <w:rsid w:val="128B4058"/>
    <w:rsid w:val="130C7119"/>
    <w:rsid w:val="157E0E4B"/>
    <w:rsid w:val="16247C45"/>
    <w:rsid w:val="16E3540A"/>
    <w:rsid w:val="174F484D"/>
    <w:rsid w:val="175E2CE2"/>
    <w:rsid w:val="17850B4F"/>
    <w:rsid w:val="18187335"/>
    <w:rsid w:val="181C2B4F"/>
    <w:rsid w:val="19153875"/>
    <w:rsid w:val="194505FE"/>
    <w:rsid w:val="1A9D669C"/>
    <w:rsid w:val="1AAE2C1F"/>
    <w:rsid w:val="1AC07BCE"/>
    <w:rsid w:val="1AC92B69"/>
    <w:rsid w:val="1AD35795"/>
    <w:rsid w:val="1B7F0948"/>
    <w:rsid w:val="1BCE1278"/>
    <w:rsid w:val="1C6C108F"/>
    <w:rsid w:val="1D1F2F14"/>
    <w:rsid w:val="1D434255"/>
    <w:rsid w:val="1F5922CD"/>
    <w:rsid w:val="20607ACB"/>
    <w:rsid w:val="21006EE6"/>
    <w:rsid w:val="21FC1A76"/>
    <w:rsid w:val="220A4192"/>
    <w:rsid w:val="22AC524A"/>
    <w:rsid w:val="23623B5A"/>
    <w:rsid w:val="24977834"/>
    <w:rsid w:val="25172CD9"/>
    <w:rsid w:val="271E6A5F"/>
    <w:rsid w:val="27AB1CB6"/>
    <w:rsid w:val="282F2AF8"/>
    <w:rsid w:val="293B2E83"/>
    <w:rsid w:val="29C56BF1"/>
    <w:rsid w:val="2A597E09"/>
    <w:rsid w:val="2A833419"/>
    <w:rsid w:val="2AC800C8"/>
    <w:rsid w:val="2C6C77F8"/>
    <w:rsid w:val="2C8E3C12"/>
    <w:rsid w:val="2D2347EC"/>
    <w:rsid w:val="2D7D50EB"/>
    <w:rsid w:val="2E7F1A64"/>
    <w:rsid w:val="2E950348"/>
    <w:rsid w:val="2EB060C2"/>
    <w:rsid w:val="2F154177"/>
    <w:rsid w:val="2FB219C5"/>
    <w:rsid w:val="2FD8767E"/>
    <w:rsid w:val="31C93669"/>
    <w:rsid w:val="32700042"/>
    <w:rsid w:val="33DA3717"/>
    <w:rsid w:val="343C3F54"/>
    <w:rsid w:val="346C4839"/>
    <w:rsid w:val="348E75AA"/>
    <w:rsid w:val="354E03E2"/>
    <w:rsid w:val="360A4309"/>
    <w:rsid w:val="38037262"/>
    <w:rsid w:val="388D1D36"/>
    <w:rsid w:val="393A4831"/>
    <w:rsid w:val="394A0EC1"/>
    <w:rsid w:val="3C732813"/>
    <w:rsid w:val="3C8B29AB"/>
    <w:rsid w:val="3D544CB7"/>
    <w:rsid w:val="3E175992"/>
    <w:rsid w:val="3F0C7A11"/>
    <w:rsid w:val="40471E86"/>
    <w:rsid w:val="40D45C40"/>
    <w:rsid w:val="40E35E83"/>
    <w:rsid w:val="40E84D51"/>
    <w:rsid w:val="426004B3"/>
    <w:rsid w:val="42CB4E20"/>
    <w:rsid w:val="438F22F2"/>
    <w:rsid w:val="44801C3A"/>
    <w:rsid w:val="44F227B7"/>
    <w:rsid w:val="45010FCD"/>
    <w:rsid w:val="460F771A"/>
    <w:rsid w:val="46873754"/>
    <w:rsid w:val="47EA6595"/>
    <w:rsid w:val="49D97E23"/>
    <w:rsid w:val="4A857FAB"/>
    <w:rsid w:val="4D2B3305"/>
    <w:rsid w:val="4EFB714D"/>
    <w:rsid w:val="4F9C55BF"/>
    <w:rsid w:val="4FCB05AB"/>
    <w:rsid w:val="50CB7DCA"/>
    <w:rsid w:val="51031C29"/>
    <w:rsid w:val="51840FBC"/>
    <w:rsid w:val="51CB6BEB"/>
    <w:rsid w:val="51F22534"/>
    <w:rsid w:val="52681863"/>
    <w:rsid w:val="52D01FDF"/>
    <w:rsid w:val="53A042C7"/>
    <w:rsid w:val="54CB0CB0"/>
    <w:rsid w:val="55200BDD"/>
    <w:rsid w:val="553C0616"/>
    <w:rsid w:val="554F368F"/>
    <w:rsid w:val="55D3606E"/>
    <w:rsid w:val="56044479"/>
    <w:rsid w:val="56811F6E"/>
    <w:rsid w:val="57061740"/>
    <w:rsid w:val="58AC6244"/>
    <w:rsid w:val="58BC2EB0"/>
    <w:rsid w:val="58F5279F"/>
    <w:rsid w:val="594159E5"/>
    <w:rsid w:val="5ABC3575"/>
    <w:rsid w:val="5BFD0408"/>
    <w:rsid w:val="5C723E7A"/>
    <w:rsid w:val="5EA600B9"/>
    <w:rsid w:val="5F693DE4"/>
    <w:rsid w:val="60587E80"/>
    <w:rsid w:val="60C42B12"/>
    <w:rsid w:val="62775B17"/>
    <w:rsid w:val="63536A40"/>
    <w:rsid w:val="638F0708"/>
    <w:rsid w:val="64D11D53"/>
    <w:rsid w:val="65E322FD"/>
    <w:rsid w:val="66E005EB"/>
    <w:rsid w:val="672A7E5E"/>
    <w:rsid w:val="685360F8"/>
    <w:rsid w:val="69A9560C"/>
    <w:rsid w:val="6AFF7CB3"/>
    <w:rsid w:val="6D0B14CF"/>
    <w:rsid w:val="6D8819DC"/>
    <w:rsid w:val="6DB91B96"/>
    <w:rsid w:val="6DCB5401"/>
    <w:rsid w:val="6E9879FD"/>
    <w:rsid w:val="706E4EB9"/>
    <w:rsid w:val="712C09DD"/>
    <w:rsid w:val="72007D93"/>
    <w:rsid w:val="726B5B54"/>
    <w:rsid w:val="73C82B32"/>
    <w:rsid w:val="73FB0186"/>
    <w:rsid w:val="75153B55"/>
    <w:rsid w:val="75AB6156"/>
    <w:rsid w:val="76514C17"/>
    <w:rsid w:val="773109EF"/>
    <w:rsid w:val="77476464"/>
    <w:rsid w:val="78574485"/>
    <w:rsid w:val="78A83695"/>
    <w:rsid w:val="78B43685"/>
    <w:rsid w:val="7A074F0E"/>
    <w:rsid w:val="7B947027"/>
    <w:rsid w:val="7BE81275"/>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2768</Words>
  <Characters>3053</Characters>
  <Lines>0</Lines>
  <Paragraphs>0</Paragraphs>
  <TotalTime>10</TotalTime>
  <ScaleCrop>false</ScaleCrop>
  <LinksUpToDate>false</LinksUpToDate>
  <CharactersWithSpaces>3079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熙</cp:lastModifiedBy>
  <dcterms:modified xsi:type="dcterms:W3CDTF">2023-06-19T08:40:44Z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B803BBB18B404AF0A1E54B9FF8A2D3A5_13</vt:lpwstr>
  </property>
</Properties>
</file>