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兴国县长冈乡中心卫生院2022年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兴国县长冈乡中心卫生院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长冈乡中心卫生院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长冈乡中心卫生院</w:t>
      </w:r>
      <w:r>
        <w:rPr>
          <w:rFonts w:hint="eastAsia" w:ascii="仿宋" w:hAnsi="仿宋" w:eastAsia="仿宋" w:cs="仿宋"/>
          <w:b/>
          <w:bCs/>
          <w:color w:val="auto"/>
          <w:sz w:val="32"/>
          <w:szCs w:val="32"/>
        </w:rPr>
        <w:t>预算表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pStyle w:val="2"/>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eastAsia="仿宋"/>
          <w:lang w:val="en-US" w:eastAsia="zh-CN"/>
        </w:rPr>
      </w:pPr>
      <w:r>
        <w:rPr>
          <w:rFonts w:hint="eastAsia" w:ascii="仿宋" w:hAnsi="仿宋" w:eastAsia="仿宋" w:cs="仿宋"/>
          <w:color w:val="auto"/>
          <w:sz w:val="32"/>
          <w:szCs w:val="32"/>
          <w:lang w:val="en-US" w:eastAsia="zh-CN"/>
        </w:rPr>
        <w:t xml:space="preserve">   十、《部门整体支出绩效目标表》</w:t>
      </w:r>
    </w:p>
    <w:p>
      <w:pPr>
        <w:keepNext w:val="0"/>
        <w:keepLines w:val="0"/>
        <w:pageBreakBefore w:val="0"/>
        <w:widowControl w:val="0"/>
        <w:kinsoku/>
        <w:wordWrap/>
        <w:overflowPunct/>
        <w:topLinePunct w:val="0"/>
        <w:autoSpaceDE/>
        <w:autoSpaceDN/>
        <w:bidi w:val="0"/>
        <w:adjustRightInd/>
        <w:snapToGrid/>
        <w:spacing w:line="460" w:lineRule="exact"/>
        <w:ind w:left="634" w:leftChars="284" w:hanging="38" w:hangingChars="12"/>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p>
    <w:p>
      <w:pPr>
        <w:pStyle w:val="2"/>
        <w:rPr>
          <w:rFonts w:hint="eastAsia" w:ascii="仿宋" w:hAnsi="仿宋" w:eastAsia="仿宋" w:cs="仿宋"/>
          <w:b/>
          <w:bCs/>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兴国县长冈乡中心卫生院</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numPr>
          <w:ilvl w:val="0"/>
          <w:numId w:val="1"/>
        </w:numPr>
        <w:spacing w:line="240" w:lineRule="auto"/>
        <w:ind w:left="0" w:leftChars="0" w:firstLine="0" w:firstLineChars="0"/>
        <w:jc w:val="left"/>
        <w:rPr>
          <w:rFonts w:hint="eastAsia" w:ascii="楷体" w:hAnsi="楷体" w:eastAsia="楷体" w:cs="楷体"/>
          <w:b/>
          <w:bCs/>
          <w:color w:val="auto"/>
          <w:sz w:val="32"/>
          <w:szCs w:val="32"/>
        </w:rPr>
      </w:pP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numPr>
          <w:ilvl w:val="0"/>
          <w:numId w:val="0"/>
        </w:numPr>
        <w:spacing w:line="240" w:lineRule="auto"/>
        <w:ind w:left="0" w:leftChars="0" w:firstLine="640" w:firstLineChars="200"/>
        <w:rPr>
          <w:rFonts w:hint="eastAsia" w:ascii="楷体" w:hAnsi="楷体" w:eastAsia="楷体" w:cs="楷体"/>
          <w:b/>
          <w:bCs/>
          <w:color w:val="auto"/>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长冈乡中心</w:t>
      </w:r>
      <w:r>
        <w:rPr>
          <w:rFonts w:hint="eastAsia" w:ascii="仿宋" w:hAnsi="仿宋" w:eastAsia="仿宋" w:cs="仿宋"/>
          <w:sz w:val="32"/>
          <w:szCs w:val="32"/>
          <w:lang w:eastAsia="zh-CN"/>
        </w:rPr>
        <w:t>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spacing w:line="240" w:lineRule="auto"/>
        <w:ind w:left="0" w:leftChars="0" w:firstLine="0" w:firstLineChars="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24"/>
          <w:szCs w:val="24"/>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兴国县长冈乡中心卫生院</w:t>
      </w:r>
      <w:r>
        <w:rPr>
          <w:rFonts w:hint="eastAsia" w:ascii="仿宋" w:hAnsi="仿宋" w:eastAsia="仿宋"/>
          <w:color w:val="auto"/>
          <w:sz w:val="32"/>
          <w:szCs w:val="32"/>
          <w:lang w:eastAsia="zh-CN"/>
        </w:rPr>
        <w:t>内设处室</w:t>
      </w:r>
      <w:r>
        <w:rPr>
          <w:rFonts w:hint="eastAsia" w:ascii="仿宋" w:hAnsi="仿宋" w:eastAsia="仿宋" w:cs="Times New Roman"/>
          <w:color w:val="auto"/>
          <w:kern w:val="0"/>
          <w:sz w:val="32"/>
          <w:szCs w:val="32"/>
          <w:lang w:val="en-US" w:eastAsia="zh-CN"/>
        </w:rPr>
        <w:t>10</w:t>
      </w:r>
      <w:r>
        <w:rPr>
          <w:rFonts w:ascii="仿宋" w:hAnsi="仿宋" w:eastAsia="仿宋" w:cs="Times New Roman"/>
          <w:color w:val="auto"/>
          <w:kern w:val="0"/>
          <w:sz w:val="32"/>
          <w:szCs w:val="32"/>
        </w:rPr>
        <w:t>_</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内外科、儿科、妇产科、B超室、收费室、护理组、中医馆、财务室、公卫科、办公室。</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43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43</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43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43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43</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20</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olor w:val="auto"/>
          <w:sz w:val="32"/>
          <w:szCs w:val="32"/>
          <w:lang w:val="en-US" w:eastAsia="zh-CN"/>
        </w:rPr>
        <w:t>0</w:t>
      </w:r>
      <w:r>
        <w:rPr>
          <w:rFonts w:ascii="仿宋" w:hAnsi="仿宋" w:eastAsia="仿宋"/>
          <w:color w:val="auto"/>
          <w:sz w:val="32"/>
          <w:szCs w:val="32"/>
        </w:rPr>
        <w:t>人。</w:t>
      </w:r>
      <w:r>
        <w:rPr>
          <w:color w:val="auto"/>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长冈乡中心卫生院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1245.33</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99.32</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7.38%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增减变化主要原因是：受疫情影响，</w:t>
      </w:r>
      <w:r>
        <w:rPr>
          <w:rFonts w:hint="eastAsia" w:ascii="仿宋" w:hAnsi="仿宋" w:eastAsia="仿宋" w:cs="仿宋"/>
          <w:color w:val="auto"/>
          <w:sz w:val="32"/>
          <w:szCs w:val="32"/>
          <w:lang w:val="en-US" w:eastAsia="zh-CN"/>
        </w:rPr>
        <w:t>医疗业务收入减少</w:t>
      </w:r>
      <w:r>
        <w:rPr>
          <w:rFonts w:hint="eastAsia" w:ascii="仿宋" w:hAnsi="仿宋" w:eastAsia="仿宋" w:cs="仿宋"/>
          <w:color w:val="auto"/>
          <w:sz w:val="32"/>
          <w:szCs w:val="32"/>
          <w:lang w:eastAsia="zh-CN"/>
        </w:rPr>
        <w:t>。</w:t>
      </w:r>
    </w:p>
    <w:p>
      <w:pPr>
        <w:spacing w:line="560" w:lineRule="exact"/>
        <w:ind w:firstLine="600" w:firstLineChars="200"/>
        <w:rPr>
          <w:rFonts w:hint="eastAsia" w:ascii="仿宋" w:hAnsi="仿宋" w:eastAsia="仿宋" w:cs="仿宋"/>
          <w:color w:val="auto"/>
          <w:sz w:val="32"/>
          <w:szCs w:val="32"/>
          <w:lang w:eastAsia="zh-CN"/>
        </w:rPr>
      </w:pPr>
      <w:r>
        <w:rPr>
          <w:rFonts w:hint="eastAsia" w:ascii="仿宋" w:hAnsi="仿宋" w:eastAsia="仿宋" w:cs="仿宋"/>
          <w:color w:val="auto"/>
          <w:sz w:val="30"/>
          <w:szCs w:val="30"/>
        </w:rPr>
        <w:t>具体为：具体为：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sz w:val="32"/>
          <w:szCs w:val="32"/>
          <w:lang w:val="en-US" w:eastAsia="zh-CN"/>
        </w:rPr>
        <w:t>410.08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32.93%，</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增加133.62万元；事业收入</w:t>
      </w:r>
      <w:r>
        <w:rPr>
          <w:rFonts w:hint="eastAsia" w:ascii="仿宋" w:hAnsi="仿宋" w:eastAsia="仿宋" w:cs="仿宋"/>
          <w:color w:val="000000"/>
          <w:sz w:val="32"/>
          <w:szCs w:val="32"/>
          <w:lang w:val="en-US" w:eastAsia="zh-CN"/>
        </w:rPr>
        <w:t>835.25</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，占收入预算总额的</w:t>
      </w:r>
      <w:r>
        <w:rPr>
          <w:rFonts w:hint="eastAsia" w:ascii="仿宋" w:hAnsi="仿宋" w:eastAsia="仿宋" w:cs="仿宋"/>
          <w:color w:val="auto"/>
          <w:sz w:val="30"/>
          <w:szCs w:val="30"/>
          <w:lang w:val="en-US" w:eastAsia="zh-CN"/>
        </w:rPr>
        <w:t>67.07%，</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减少232.94万元。</w:t>
      </w:r>
    </w:p>
    <w:p>
      <w:pPr>
        <w:spacing w:line="560" w:lineRule="exact"/>
        <w:ind w:firstLine="321" w:firstLineChars="1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40" w:lineRule="exact"/>
        <w:ind w:firstLine="640" w:firstLineChars="200"/>
        <w:rPr>
          <w:rFonts w:hint="eastAsia" w:ascii="仿宋" w:hAnsi="仿宋" w:eastAsia="仿宋" w:cs="仿宋"/>
          <w:color w:val="auto"/>
          <w:sz w:val="30"/>
          <w:szCs w:val="30"/>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支出预算总额为</w:t>
      </w:r>
      <w:r>
        <w:rPr>
          <w:rFonts w:hint="eastAsia" w:ascii="仿宋" w:hAnsi="仿宋" w:eastAsia="仿宋" w:cs="仿宋"/>
          <w:color w:val="auto"/>
          <w:sz w:val="32"/>
          <w:szCs w:val="32"/>
          <w:lang w:val="en-US" w:eastAsia="zh-CN"/>
        </w:rPr>
        <w:t>1245.33</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较上年预算安排减少99.32万元，减少7.38%。</w:t>
      </w:r>
      <w:r>
        <w:rPr>
          <w:rFonts w:hint="eastAsia" w:ascii="仿宋" w:hAnsi="仿宋" w:eastAsia="仿宋" w:cs="仿宋"/>
          <w:color w:val="auto"/>
          <w:sz w:val="32"/>
          <w:szCs w:val="32"/>
          <w:lang w:eastAsia="zh-CN"/>
        </w:rPr>
        <w:t>增减变化主要原因是：受疫情影响医疗业务收入减少，支出减少。</w:t>
      </w:r>
      <w:r>
        <w:rPr>
          <w:rFonts w:hint="eastAsia" w:ascii="仿宋" w:hAnsi="仿宋" w:eastAsia="仿宋" w:cs="仿宋"/>
          <w:color w:val="auto"/>
          <w:sz w:val="30"/>
          <w:szCs w:val="30"/>
        </w:rPr>
        <w:t>具体为</w:t>
      </w:r>
      <w:r>
        <w:rPr>
          <w:rFonts w:hint="eastAsia" w:ascii="仿宋" w:hAnsi="仿宋" w:eastAsia="仿宋" w:cs="仿宋"/>
          <w:color w:val="auto"/>
          <w:sz w:val="30"/>
          <w:szCs w:val="30"/>
          <w:lang w:eastAsia="zh-CN"/>
        </w:rPr>
        <w:t>：</w:t>
      </w:r>
    </w:p>
    <w:p>
      <w:pPr>
        <w:spacing w:line="54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按支出项目类别</w:t>
      </w:r>
      <w:r>
        <w:rPr>
          <w:rFonts w:hint="eastAsia" w:ascii="仿宋" w:hAnsi="仿宋" w:eastAsia="仿宋" w:cs="仿宋"/>
          <w:color w:val="auto"/>
          <w:sz w:val="32"/>
          <w:szCs w:val="32"/>
          <w:lang w:eastAsia="zh-CN"/>
        </w:rPr>
        <w:t>及经济分类科目</w:t>
      </w:r>
      <w:r>
        <w:rPr>
          <w:rFonts w:hint="eastAsia" w:ascii="仿宋" w:hAnsi="仿宋" w:eastAsia="仿宋" w:cs="仿宋"/>
          <w:color w:val="auto"/>
          <w:sz w:val="32"/>
          <w:szCs w:val="32"/>
        </w:rPr>
        <w:t>划分：基本支出</w:t>
      </w:r>
      <w:r>
        <w:rPr>
          <w:rFonts w:hint="eastAsia" w:ascii="仿宋" w:hAnsi="仿宋" w:eastAsia="仿宋" w:cs="仿宋"/>
          <w:color w:val="auto"/>
          <w:sz w:val="32"/>
          <w:szCs w:val="32"/>
          <w:lang w:val="en-US" w:eastAsia="zh-CN"/>
        </w:rPr>
        <w:t>1245.33</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较上年预算安排减少</w:t>
      </w:r>
      <w:r>
        <w:rPr>
          <w:rFonts w:hint="eastAsia" w:ascii="仿宋" w:hAnsi="仿宋" w:eastAsia="仿宋" w:cs="仿宋"/>
          <w:color w:val="auto"/>
          <w:sz w:val="32"/>
          <w:szCs w:val="32"/>
          <w:lang w:val="en-US" w:eastAsia="zh-CN"/>
        </w:rPr>
        <w:t>99.32万元，减少7.38%。</w:t>
      </w:r>
      <w:r>
        <w:rPr>
          <w:rFonts w:hint="eastAsia" w:ascii="仿宋" w:hAnsi="仿宋" w:eastAsia="仿宋" w:cs="仿宋"/>
          <w:color w:val="auto"/>
          <w:sz w:val="32"/>
          <w:szCs w:val="32"/>
          <w:lang w:eastAsia="zh-CN"/>
        </w:rPr>
        <w:t>其中</w:t>
      </w:r>
      <w:r>
        <w:rPr>
          <w:rFonts w:hint="eastAsia" w:ascii="仿宋" w:hAnsi="仿宋" w:eastAsia="仿宋" w:cs="仿宋"/>
          <w:color w:val="auto"/>
          <w:sz w:val="32"/>
          <w:szCs w:val="32"/>
        </w:rPr>
        <w:t>工资福利支出</w:t>
      </w:r>
      <w:r>
        <w:rPr>
          <w:rFonts w:hint="eastAsia" w:ascii="仿宋" w:hAnsi="仿宋" w:eastAsia="仿宋" w:cs="仿宋"/>
          <w:color w:val="auto"/>
          <w:sz w:val="32"/>
          <w:szCs w:val="32"/>
          <w:lang w:val="en-US" w:eastAsia="zh-CN"/>
        </w:rPr>
        <w:t>410.08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，占预算支出总额的</w:t>
      </w:r>
      <w:r>
        <w:rPr>
          <w:rFonts w:hint="eastAsia" w:ascii="仿宋" w:hAnsi="仿宋" w:eastAsia="仿宋" w:cs="仿宋"/>
          <w:color w:val="auto"/>
          <w:sz w:val="32"/>
          <w:szCs w:val="32"/>
          <w:lang w:val="en-US" w:eastAsia="zh-CN"/>
        </w:rPr>
        <w:t>32.93%，较上年预算安排增加133.62万元；</w:t>
      </w:r>
      <w:r>
        <w:rPr>
          <w:rFonts w:hint="eastAsia" w:ascii="仿宋" w:hAnsi="仿宋" w:eastAsia="仿宋" w:cs="仿宋"/>
          <w:color w:val="auto"/>
          <w:sz w:val="32"/>
          <w:szCs w:val="32"/>
        </w:rPr>
        <w:t>商品和服务支出</w:t>
      </w:r>
      <w:r>
        <w:rPr>
          <w:rFonts w:hint="eastAsia" w:ascii="仿宋" w:hAnsi="仿宋" w:eastAsia="仿宋" w:cs="仿宋"/>
          <w:color w:val="auto"/>
          <w:sz w:val="32"/>
          <w:szCs w:val="32"/>
          <w:lang w:val="en-US" w:eastAsia="zh-CN"/>
        </w:rPr>
        <w:t>749.25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，占预算总额的</w:t>
      </w:r>
      <w:r>
        <w:rPr>
          <w:rFonts w:hint="eastAsia" w:ascii="仿宋" w:hAnsi="仿宋" w:eastAsia="仿宋" w:cs="仿宋"/>
          <w:color w:val="auto"/>
          <w:sz w:val="32"/>
          <w:szCs w:val="32"/>
          <w:lang w:val="en-US" w:eastAsia="zh-CN"/>
        </w:rPr>
        <w:t>60.17%，较上年预算安排增加减少000万元；对个人和家庭的补助0万元、资本性支出86万元，占预算总额的6.9%，较上年预算安排增加33.79万元，项目支出0万元，较上年预算安排增加减少0万元。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 w:hAnsi="仿宋" w:eastAsia="仿宋" w:cs="仿宋"/>
          <w:color w:val="auto"/>
          <w:sz w:val="32"/>
          <w:szCs w:val="32"/>
        </w:rPr>
        <w:t>社会保障和就业</w:t>
      </w:r>
      <w:r>
        <w:rPr>
          <w:rFonts w:hint="eastAsia" w:ascii="仿宋" w:hAnsi="仿宋" w:eastAsia="仿宋" w:cs="仿宋"/>
          <w:color w:val="auto"/>
          <w:sz w:val="32"/>
          <w:szCs w:val="32"/>
          <w:lang w:val="en-US" w:eastAsia="zh-CN"/>
        </w:rPr>
        <w:t>52.62</w:t>
      </w:r>
      <w:r>
        <w:rPr>
          <w:rFonts w:hint="eastAsia" w:ascii="仿宋" w:hAnsi="仿宋" w:eastAsia="仿宋" w:cs="仿宋"/>
          <w:color w:val="auto"/>
          <w:sz w:val="32"/>
          <w:szCs w:val="32"/>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占预算总额的4.22%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6.76</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乡镇卫生院1192.71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92.56</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val="en-US" w:eastAsia="zh-CN"/>
        </w:rPr>
        <w:t>占预算总额的95.78%</w:t>
      </w:r>
      <w:r>
        <w:rPr>
          <w:rFonts w:hint="eastAsia" w:ascii="仿宋" w:hAnsi="仿宋" w:eastAsia="仿宋" w:cs="仿宋"/>
          <w:color w:val="auto"/>
          <w:sz w:val="32"/>
          <w:szCs w:val="32"/>
          <w:lang w:eastAsia="zh-CN"/>
        </w:rPr>
        <w:t>。</w:t>
      </w:r>
    </w:p>
    <w:p>
      <w:pPr>
        <w:spacing w:line="560" w:lineRule="exact"/>
        <w:ind w:firstLine="480" w:firstLineChars="200"/>
        <w:rPr>
          <w:rFonts w:hint="eastAsia" w:ascii="仿宋" w:hAnsi="仿宋" w:eastAsia="仿宋" w:cs="仿宋"/>
          <w:color w:val="auto"/>
          <w:sz w:val="24"/>
          <w:szCs w:val="24"/>
          <w:lang w:eastAsia="zh-CN"/>
        </w:rPr>
      </w:pP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财政拨款（补助）支出预算</w:t>
      </w:r>
      <w:r>
        <w:rPr>
          <w:rFonts w:hint="eastAsia" w:ascii="仿宋" w:hAnsi="仿宋" w:eastAsia="仿宋" w:cs="仿宋"/>
          <w:color w:val="auto"/>
          <w:sz w:val="32"/>
          <w:szCs w:val="32"/>
          <w:lang w:val="en-US" w:eastAsia="zh-CN"/>
        </w:rPr>
        <w:t>410.08</w:t>
      </w:r>
      <w:r>
        <w:rPr>
          <w:rFonts w:hint="eastAsia" w:ascii="仿宋" w:hAnsi="仿宋" w:eastAsia="仿宋" w:cs="仿宋"/>
          <w:color w:val="auto"/>
          <w:sz w:val="32"/>
          <w:szCs w:val="32"/>
        </w:rPr>
        <w:t>万元，占</w:t>
      </w:r>
      <w:r>
        <w:rPr>
          <w:rFonts w:hint="eastAsia" w:ascii="仿宋" w:hAnsi="仿宋" w:eastAsia="仿宋" w:cs="仿宋"/>
          <w:color w:val="auto"/>
          <w:sz w:val="32"/>
          <w:szCs w:val="32"/>
          <w:lang w:eastAsia="zh-CN"/>
        </w:rPr>
        <w:t>本年</w:t>
      </w:r>
      <w:r>
        <w:rPr>
          <w:rFonts w:hint="eastAsia" w:ascii="仿宋" w:hAnsi="仿宋" w:eastAsia="仿宋" w:cs="仿宋"/>
          <w:color w:val="auto"/>
          <w:sz w:val="32"/>
          <w:szCs w:val="32"/>
        </w:rPr>
        <w:t>支出预算总额的</w:t>
      </w:r>
      <w:r>
        <w:rPr>
          <w:rFonts w:hint="eastAsia" w:ascii="仿宋" w:hAnsi="仿宋" w:eastAsia="仿宋" w:cs="仿宋"/>
          <w:color w:val="auto"/>
          <w:sz w:val="32"/>
          <w:szCs w:val="32"/>
          <w:lang w:val="en-US" w:eastAsia="zh-CN"/>
        </w:rPr>
        <w:t>32.93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较上年预算增加133.62万元，增长48.33%，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增减变化主要原因是：</w:t>
      </w:r>
      <w:r>
        <w:rPr>
          <w:rFonts w:hint="eastAsia" w:ascii="仿宋" w:hAnsi="仿宋" w:eastAsia="仿宋" w:cs="仿宋"/>
          <w:color w:val="auto"/>
          <w:sz w:val="32"/>
          <w:szCs w:val="32"/>
          <w:highlight w:val="none"/>
          <w:lang w:val="en-US" w:eastAsia="zh-CN"/>
        </w:rPr>
        <w:t>人员经费增加及公卫资金增加。</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具体为：</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按支出经济分类科目划分：基本支出410.08万元，较上年预算安排增加133.62万元，其中：工资福利支出410.08万元，</w:t>
      </w:r>
      <w:r>
        <w:rPr>
          <w:rFonts w:hint="eastAsia" w:ascii="仿宋" w:hAnsi="仿宋" w:eastAsia="仿宋" w:cs="仿宋"/>
          <w:color w:val="auto"/>
          <w:sz w:val="30"/>
          <w:szCs w:val="30"/>
          <w:lang w:eastAsia="zh-CN"/>
        </w:rPr>
        <w:t>占财政拨款总额</w:t>
      </w:r>
      <w:r>
        <w:rPr>
          <w:rFonts w:hint="eastAsia" w:ascii="仿宋" w:hAnsi="仿宋" w:eastAsia="仿宋" w:cs="仿宋"/>
          <w:color w:val="auto"/>
          <w:sz w:val="30"/>
          <w:szCs w:val="30"/>
          <w:lang w:val="en-US" w:eastAsia="zh-CN"/>
        </w:rPr>
        <w:t>的100%</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；项目支出0万元，较上年预算安排增加0万元。</w:t>
      </w:r>
    </w:p>
    <w:p>
      <w:pPr>
        <w:spacing w:line="560" w:lineRule="exact"/>
        <w:ind w:firstLine="640" w:firstLineChars="200"/>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按支出功能分类科目划分：社会保障和就业支出52.62万元</w:t>
      </w:r>
      <w:r>
        <w:rPr>
          <w:rFonts w:hint="eastAsia" w:ascii="仿宋" w:hAnsi="仿宋" w:eastAsia="仿宋" w:cs="仿宋"/>
          <w:color w:val="auto"/>
          <w:sz w:val="30"/>
          <w:szCs w:val="30"/>
          <w:lang w:eastAsia="zh-CN"/>
        </w:rPr>
        <w:t>，占预算总额的</w:t>
      </w:r>
      <w:r>
        <w:rPr>
          <w:rFonts w:hint="eastAsia" w:ascii="仿宋" w:hAnsi="仿宋" w:eastAsia="仿宋" w:cs="仿宋"/>
          <w:color w:val="auto"/>
          <w:sz w:val="30"/>
          <w:szCs w:val="30"/>
          <w:lang w:val="en-US" w:eastAsia="zh-CN"/>
        </w:rPr>
        <w:t>12.83%</w:t>
      </w:r>
      <w:r>
        <w:rPr>
          <w:rFonts w:hint="eastAsia" w:ascii="仿宋" w:hAnsi="仿宋" w:eastAsia="仿宋" w:cs="仿宋"/>
          <w:color w:val="auto"/>
          <w:sz w:val="30"/>
          <w:szCs w:val="30"/>
          <w:lang w:eastAsia="zh-CN"/>
        </w:rPr>
        <w:t>；较上年预算安排增加</w:t>
      </w:r>
      <w:r>
        <w:rPr>
          <w:rFonts w:hint="eastAsia" w:ascii="仿宋" w:hAnsi="仿宋" w:eastAsia="仿宋" w:cs="仿宋"/>
          <w:color w:val="auto"/>
          <w:sz w:val="30"/>
          <w:szCs w:val="30"/>
          <w:lang w:val="en-US" w:eastAsia="zh-CN"/>
        </w:rPr>
        <w:t>17.52万元，乡镇卫生院357.46万元，占预算总额87.17%，较上年预算安排增加116.1万元。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年度预算增加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万元，增长</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lang w:val="en-US" w:eastAsia="zh-CN"/>
        </w:rPr>
        <w:t>86</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86</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，特种用车</w:t>
      </w:r>
      <w:r>
        <w:rPr>
          <w:rFonts w:hint="eastAsia" w:ascii="仿宋" w:hAnsi="仿宋" w:eastAsia="仿宋" w:cs="仿宋"/>
          <w:color w:val="auto"/>
          <w:sz w:val="32"/>
          <w:szCs w:val="32"/>
          <w:lang w:val="en-US" w:eastAsia="zh-CN"/>
        </w:rPr>
        <w:t>1辆。</w:t>
      </w:r>
    </w:p>
    <w:p>
      <w:pPr>
        <w:spacing w:line="56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u w:val="single"/>
          <w:lang w:eastAsia="zh-CN"/>
        </w:rPr>
        <w:t>无</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 xml:space="preserve">要原因是： </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长冈乡中心卫生院</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bookmarkStart w:id="0" w:name="_GoBack"/>
      <w:bookmarkEnd w:id="0"/>
      <w:r>
        <w:rPr>
          <w:rFonts w:hint="eastAsia" w:ascii="仿宋" w:hAnsi="仿宋" w:eastAsia="仿宋" w:cs="仿宋"/>
          <w:color w:val="auto"/>
          <w:sz w:val="32"/>
          <w:szCs w:val="32"/>
        </w:rPr>
        <w:t>一、《收支预算总表》</w:t>
      </w:r>
    </w:p>
    <w:p>
      <w:pPr>
        <w:pStyle w:val="2"/>
        <w:rPr>
          <w:rFonts w:hint="eastAsia" w:eastAsia="仿宋"/>
          <w:lang w:eastAsia="zh-CN"/>
        </w:rPr>
      </w:pPr>
      <w:r>
        <w:rPr>
          <w:rFonts w:hint="eastAsia" w:eastAsia="仿宋"/>
          <w:lang w:eastAsia="zh-CN"/>
        </w:rPr>
        <w:drawing>
          <wp:inline distT="0" distB="0" distL="114300" distR="114300">
            <wp:extent cx="5268595" cy="2285365"/>
            <wp:effectExtent l="0" t="0" r="8255" b="635"/>
            <wp:docPr id="2" name="图片 2" descr="7c7a5085df443ae884217537c8f5a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c7a5085df443ae884217537c8f5abf"/>
                    <pic:cNvPicPr>
                      <a:picLocks noChangeAspect="1"/>
                    </pic:cNvPicPr>
                  </pic:nvPicPr>
                  <pic:blipFill>
                    <a:blip r:embed="rId4"/>
                    <a:stretch>
                      <a:fillRect/>
                    </a:stretch>
                  </pic:blipFill>
                  <pic:spPr>
                    <a:xfrm>
                      <a:off x="0" y="0"/>
                      <a:ext cx="5268595" cy="2285365"/>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numPr>
          <w:ilvl w:val="0"/>
          <w:numId w:val="2"/>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rPr>
        <w:drawing>
          <wp:inline distT="0" distB="0" distL="114300" distR="114300">
            <wp:extent cx="5266690" cy="3225800"/>
            <wp:effectExtent l="0" t="0" r="10160" b="12700"/>
            <wp:docPr id="3" name="图片 3" descr="39a2d5083ec8bcf678bb381886742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9a2d5083ec8bcf678bb3818867422e"/>
                    <pic:cNvPicPr>
                      <a:picLocks noChangeAspect="1"/>
                    </pic:cNvPicPr>
                  </pic:nvPicPr>
                  <pic:blipFill>
                    <a:blip r:embed="rId5"/>
                    <a:stretch>
                      <a:fillRect/>
                    </a:stretch>
                  </pic:blipFill>
                  <pic:spPr>
                    <a:xfrm>
                      <a:off x="0" y="0"/>
                      <a:ext cx="5266690" cy="3225800"/>
                    </a:xfrm>
                    <a:prstGeom prst="rect">
                      <a:avLst/>
                    </a:prstGeom>
                  </pic:spPr>
                </pic:pic>
              </a:graphicData>
            </a:graphic>
          </wp:inline>
        </w:drawing>
      </w: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eastAsia="仿宋"/>
          <w:lang w:eastAsia="zh-CN"/>
        </w:rPr>
      </w:pPr>
      <w:r>
        <w:rPr>
          <w:rFonts w:hint="eastAsia" w:eastAsia="仿宋"/>
          <w:lang w:eastAsia="zh-CN"/>
        </w:rPr>
        <w:drawing>
          <wp:inline distT="0" distB="0" distL="114300" distR="114300">
            <wp:extent cx="5272405" cy="3280410"/>
            <wp:effectExtent l="0" t="0" r="4445" b="15240"/>
            <wp:docPr id="5" name="图片 5" descr="ab074b55f303d0d50d42b48f08684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b074b55f303d0d50d42b48f08684ce"/>
                    <pic:cNvPicPr>
                      <a:picLocks noChangeAspect="1"/>
                    </pic:cNvPicPr>
                  </pic:nvPicPr>
                  <pic:blipFill>
                    <a:blip r:embed="rId6"/>
                    <a:stretch>
                      <a:fillRect/>
                    </a:stretch>
                  </pic:blipFill>
                  <pic:spPr>
                    <a:xfrm>
                      <a:off x="0" y="0"/>
                      <a:ext cx="5272405" cy="3280410"/>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rPr>
          <w:rFonts w:hint="eastAsia" w:eastAsia="仿宋"/>
          <w:lang w:eastAsia="zh-CN"/>
        </w:rPr>
      </w:pPr>
      <w:r>
        <w:rPr>
          <w:rFonts w:hint="eastAsia" w:eastAsia="仿宋"/>
          <w:lang w:eastAsia="zh-CN"/>
        </w:rPr>
        <w:drawing>
          <wp:inline distT="0" distB="0" distL="114300" distR="114300">
            <wp:extent cx="5266690" cy="2051685"/>
            <wp:effectExtent l="0" t="0" r="10160" b="5715"/>
            <wp:docPr id="6" name="图片 6" descr="ea0bf337df8a97edda8ca0d3c124b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a0bf337df8a97edda8ca0d3c124b3a"/>
                    <pic:cNvPicPr>
                      <a:picLocks noChangeAspect="1"/>
                    </pic:cNvPicPr>
                  </pic:nvPicPr>
                  <pic:blipFill>
                    <a:blip r:embed="rId7"/>
                    <a:stretch>
                      <a:fillRect/>
                    </a:stretch>
                  </pic:blipFill>
                  <pic:spPr>
                    <a:xfrm>
                      <a:off x="0" y="0"/>
                      <a:ext cx="5266690" cy="2051685"/>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rPr>
          <w:rFonts w:hint="eastAsia" w:eastAsia="仿宋"/>
          <w:lang w:eastAsia="zh-CN"/>
        </w:rPr>
      </w:pPr>
      <w:r>
        <w:rPr>
          <w:rFonts w:hint="eastAsia" w:eastAsia="仿宋"/>
          <w:lang w:eastAsia="zh-CN"/>
        </w:rPr>
        <w:drawing>
          <wp:inline distT="0" distB="0" distL="114300" distR="114300">
            <wp:extent cx="5274310" cy="3072765"/>
            <wp:effectExtent l="0" t="0" r="2540" b="13335"/>
            <wp:docPr id="7" name="图片 7" descr="4bf7b8c6ed30d21648e5758455ee0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bf7b8c6ed30d21648e5758455ee0bb"/>
                    <pic:cNvPicPr>
                      <a:picLocks noChangeAspect="1"/>
                    </pic:cNvPicPr>
                  </pic:nvPicPr>
                  <pic:blipFill>
                    <a:blip r:embed="rId8"/>
                    <a:stretch>
                      <a:fillRect/>
                    </a:stretch>
                  </pic:blipFill>
                  <pic:spPr>
                    <a:xfrm>
                      <a:off x="0" y="0"/>
                      <a:ext cx="5274310" cy="3072765"/>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eastAsia="仿宋"/>
          <w:lang w:eastAsia="zh-CN"/>
        </w:rPr>
      </w:pPr>
      <w:r>
        <w:rPr>
          <w:rFonts w:hint="eastAsia" w:eastAsia="仿宋"/>
          <w:lang w:eastAsia="zh-CN"/>
        </w:rPr>
        <w:drawing>
          <wp:inline distT="0" distB="0" distL="114300" distR="114300">
            <wp:extent cx="5269230" cy="2856230"/>
            <wp:effectExtent l="0" t="0" r="7620" b="1270"/>
            <wp:docPr id="8" name="图片 8" descr="189cde7c21e9161195d7de1b961b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89cde7c21e9161195d7de1b961b621"/>
                    <pic:cNvPicPr>
                      <a:picLocks noChangeAspect="1"/>
                    </pic:cNvPicPr>
                  </pic:nvPicPr>
                  <pic:blipFill>
                    <a:blip r:embed="rId9"/>
                    <a:stretch>
                      <a:fillRect/>
                    </a:stretch>
                  </pic:blipFill>
                  <pic:spPr>
                    <a:xfrm>
                      <a:off x="0" y="0"/>
                      <a:ext cx="5269230" cy="2856230"/>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rPr>
          <w:rFonts w:hint="eastAsia" w:eastAsia="仿宋"/>
          <w:lang w:eastAsia="zh-CN"/>
        </w:rPr>
      </w:pPr>
      <w:r>
        <w:rPr>
          <w:rFonts w:hint="eastAsia" w:eastAsia="仿宋"/>
          <w:lang w:eastAsia="zh-CN"/>
        </w:rPr>
        <w:drawing>
          <wp:inline distT="0" distB="0" distL="114300" distR="114300">
            <wp:extent cx="5272405" cy="1506220"/>
            <wp:effectExtent l="0" t="0" r="4445" b="17780"/>
            <wp:docPr id="9" name="图片 9" descr="acc1dd8f660276dce133987e9c0ed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acc1dd8f660276dce133987e9c0edb9"/>
                    <pic:cNvPicPr>
                      <a:picLocks noChangeAspect="1"/>
                    </pic:cNvPicPr>
                  </pic:nvPicPr>
                  <pic:blipFill>
                    <a:blip r:embed="rId10"/>
                    <a:stretch>
                      <a:fillRect/>
                    </a:stretch>
                  </pic:blipFill>
                  <pic:spPr>
                    <a:xfrm>
                      <a:off x="0" y="0"/>
                      <a:ext cx="5272405" cy="1506220"/>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rFonts w:hint="eastAsia" w:eastAsia="仿宋"/>
          <w:lang w:eastAsia="zh-CN"/>
        </w:rPr>
      </w:pPr>
      <w:r>
        <w:rPr>
          <w:rFonts w:hint="eastAsia" w:eastAsia="仿宋"/>
          <w:lang w:eastAsia="zh-CN"/>
        </w:rPr>
        <w:drawing>
          <wp:inline distT="0" distB="0" distL="114300" distR="114300">
            <wp:extent cx="5270500" cy="1521460"/>
            <wp:effectExtent l="0" t="0" r="6350" b="2540"/>
            <wp:docPr id="10" name="图片 10" descr="d17993b9344fa86ff9e4c1a93d735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d17993b9344fa86ff9e4c1a93d735d4"/>
                    <pic:cNvPicPr>
                      <a:picLocks noChangeAspect="1"/>
                    </pic:cNvPicPr>
                  </pic:nvPicPr>
                  <pic:blipFill>
                    <a:blip r:embed="rId11"/>
                    <a:stretch>
                      <a:fillRect/>
                    </a:stretch>
                  </pic:blipFill>
                  <pic:spPr>
                    <a:xfrm>
                      <a:off x="0" y="0"/>
                      <a:ext cx="5270500" cy="1521460"/>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rPr>
          <w:rFonts w:hint="eastAsia" w:eastAsia="仿宋"/>
          <w:lang w:eastAsia="zh-CN"/>
        </w:rPr>
      </w:pPr>
      <w:r>
        <w:rPr>
          <w:rFonts w:hint="eastAsia" w:eastAsia="仿宋"/>
          <w:lang w:eastAsia="zh-CN"/>
        </w:rPr>
        <w:drawing>
          <wp:inline distT="0" distB="0" distL="114300" distR="114300">
            <wp:extent cx="5271770" cy="1762125"/>
            <wp:effectExtent l="0" t="0" r="5080" b="9525"/>
            <wp:docPr id="11" name="图片 11" descr="07c60c2bb561139cd041e047db2d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07c60c2bb561139cd041e047db2d169"/>
                    <pic:cNvPicPr>
                      <a:picLocks noChangeAspect="1"/>
                    </pic:cNvPicPr>
                  </pic:nvPicPr>
                  <pic:blipFill>
                    <a:blip r:embed="rId12"/>
                    <a:stretch>
                      <a:fillRect/>
                    </a:stretch>
                  </pic:blipFill>
                  <pic:spPr>
                    <a:xfrm>
                      <a:off x="0" y="0"/>
                      <a:ext cx="5271770" cy="1762125"/>
                    </a:xfrm>
                    <a:prstGeom prst="rect">
                      <a:avLst/>
                    </a:prstGeom>
                  </pic:spPr>
                </pic:pic>
              </a:graphicData>
            </a:graphic>
          </wp:inline>
        </w:drawing>
      </w: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pStyle w:val="2"/>
        <w:rPr>
          <w:rFonts w:hint="eastAsia" w:eastAsia="仿宋"/>
          <w:lang w:eastAsia="zh-CN"/>
        </w:rPr>
      </w:pPr>
    </w:p>
    <w:p>
      <w:pPr>
        <w:numPr>
          <w:ilvl w:val="0"/>
          <w:numId w:val="2"/>
        </w:numPr>
        <w:spacing w:line="560" w:lineRule="exact"/>
        <w:ind w:left="0" w:leftChars="0" w:firstLine="0" w:firstLineChars="0"/>
        <w:rPr>
          <w:rFonts w:hint="eastAsia"/>
        </w:rPr>
      </w:pPr>
      <w:r>
        <w:rPr>
          <w:rFonts w:hint="eastAsia" w:ascii="仿宋" w:hAnsi="仿宋" w:eastAsia="仿宋" w:cs="仿宋"/>
          <w:color w:val="auto"/>
          <w:sz w:val="32"/>
          <w:szCs w:val="32"/>
          <w:lang w:val="en-US" w:eastAsia="zh-CN"/>
        </w:rPr>
        <w:t>《部门整体支出绩效目标表》</w:t>
      </w:r>
    </w:p>
    <w:p>
      <w:pPr>
        <w:pStyle w:val="2"/>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color w:val="auto"/>
        </w:rPr>
      </w:pPr>
      <w:r>
        <w:rPr>
          <w:rFonts w:hint="eastAsia" w:eastAsia="仿宋"/>
          <w:color w:val="auto"/>
          <w:lang w:eastAsia="zh-CN"/>
        </w:rPr>
        <w:t>无</w:t>
      </w: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pStyle w:val="2"/>
        <w:rPr>
          <w:rFonts w:hint="eastAsia"/>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r>
        <w:rPr>
          <w:rFonts w:hint="eastAsia" w:ascii="仿宋" w:hAnsi="仿宋" w:eastAsia="仿宋" w:cs="仿宋"/>
          <w:color w:val="auto"/>
          <w:sz w:val="32"/>
          <w:szCs w:val="32"/>
        </w:rPr>
        <w:t>（六）死亡抚恤：反映单位遗属人员生活补助。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71B0B"/>
    <w:multiLevelType w:val="singleLevel"/>
    <w:tmpl w:val="86771B0B"/>
    <w:lvl w:ilvl="0" w:tentative="0">
      <w:start w:val="1"/>
      <w:numFmt w:val="chineseCounting"/>
      <w:suff w:val="nothing"/>
      <w:lvlText w:val="%1、"/>
      <w:lvlJc w:val="left"/>
      <w:rPr>
        <w:rFonts w:hint="eastAsia"/>
      </w:rPr>
    </w:lvl>
  </w:abstractNum>
  <w:abstractNum w:abstractNumId="1">
    <w:nsid w:val="0E892699"/>
    <w:multiLevelType w:val="singleLevel"/>
    <w:tmpl w:val="0E892699"/>
    <w:lvl w:ilvl="0" w:tentative="0">
      <w:start w:val="2"/>
      <w:numFmt w:val="chineseCounting"/>
      <w:suff w:val="nothing"/>
      <w:lvlText w:val="%1、"/>
      <w:lvlJc w:val="left"/>
      <w:rPr>
        <w:rFonts w:hint="eastAsia"/>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0ODJjYjI1MjNhNTQwNmJhOGVkMzJkZmE0OGIyNDcifQ=="/>
  </w:docVars>
  <w:rsids>
    <w:rsidRoot w:val="31C93669"/>
    <w:rsid w:val="00AF7505"/>
    <w:rsid w:val="0A0D204F"/>
    <w:rsid w:val="0B1526A9"/>
    <w:rsid w:val="123A47A4"/>
    <w:rsid w:val="14211B10"/>
    <w:rsid w:val="18B258D0"/>
    <w:rsid w:val="1E02311E"/>
    <w:rsid w:val="209A666E"/>
    <w:rsid w:val="21EF551F"/>
    <w:rsid w:val="29954C89"/>
    <w:rsid w:val="2E034F76"/>
    <w:rsid w:val="2E1B6892"/>
    <w:rsid w:val="30370512"/>
    <w:rsid w:val="304B1E05"/>
    <w:rsid w:val="31C93669"/>
    <w:rsid w:val="35352ECF"/>
    <w:rsid w:val="40BC08F6"/>
    <w:rsid w:val="47EA6595"/>
    <w:rsid w:val="4C732BCE"/>
    <w:rsid w:val="4E570103"/>
    <w:rsid w:val="508E1EFC"/>
    <w:rsid w:val="52954917"/>
    <w:rsid w:val="55020B76"/>
    <w:rsid w:val="58182B05"/>
    <w:rsid w:val="58DC76E0"/>
    <w:rsid w:val="59655516"/>
    <w:rsid w:val="5C9105A1"/>
    <w:rsid w:val="5D114509"/>
    <w:rsid w:val="5D715F41"/>
    <w:rsid w:val="60430294"/>
    <w:rsid w:val="62407B3C"/>
    <w:rsid w:val="62E95123"/>
    <w:rsid w:val="715F7A66"/>
    <w:rsid w:val="717464FF"/>
    <w:rsid w:val="71A44687"/>
    <w:rsid w:val="7B543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2877</Words>
  <Characters>3152</Characters>
  <Lines>0</Lines>
  <Paragraphs>0</Paragraphs>
  <TotalTime>10</TotalTime>
  <ScaleCrop>false</ScaleCrop>
  <LinksUpToDate>false</LinksUpToDate>
  <CharactersWithSpaces>3170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dcterms:modified xsi:type="dcterms:W3CDTF">2023-06-19T04:45:39Z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F003623FF1E34171A0D9CF385BE04B66</vt:lpwstr>
  </property>
</Properties>
</file>