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bCs/>
          <w:color w:val="auto"/>
          <w:spacing w:val="-19"/>
          <w:sz w:val="25"/>
          <w:szCs w:val="25"/>
          <w:lang w:val="en-US" w:eastAsia="zh-CN"/>
        </w:rPr>
      </w:pPr>
      <w:r>
        <w:rPr>
          <w:rFonts w:hint="eastAsia" w:ascii="黑体" w:hAnsi="黑体" w:eastAsia="黑体" w:cs="黑体"/>
          <w:b/>
          <w:bCs/>
          <w:color w:val="auto"/>
          <w:spacing w:val="-19"/>
          <w:sz w:val="25"/>
          <w:szCs w:val="25"/>
          <w:lang w:eastAsia="zh-CN"/>
        </w:rPr>
        <w:t>附件</w:t>
      </w:r>
      <w:r>
        <w:rPr>
          <w:rFonts w:hint="eastAsia" w:ascii="黑体" w:hAnsi="黑体" w:eastAsia="黑体" w:cs="黑体"/>
          <w:b/>
          <w:bCs/>
          <w:color w:val="auto"/>
          <w:spacing w:val="-19"/>
          <w:sz w:val="25"/>
          <w:szCs w:val="25"/>
          <w:lang w:val="en-US" w:eastAsia="zh-CN"/>
        </w:rPr>
        <w:t>2</w:t>
      </w:r>
    </w:p>
    <w:p>
      <w:pPr>
        <w:pStyle w:val="2"/>
        <w:rPr>
          <w:rFonts w:hint="eastAsia"/>
          <w:lang w:val="en-US" w:eastAsia="zh-CN"/>
        </w:rPr>
      </w:pP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eastAsia="zh-CN"/>
        </w:rPr>
        <w:t>兴国县卫生健康服务中心</w:t>
      </w:r>
      <w:r>
        <w:rPr>
          <w:rFonts w:hint="eastAsia" w:ascii="方正小标宋简体" w:hAnsi="方正小标宋简体" w:eastAsia="方正小标宋简体" w:cs="方正小标宋简体"/>
          <w:b w:val="0"/>
          <w:bCs/>
          <w:color w:val="auto"/>
          <w:sz w:val="44"/>
          <w:szCs w:val="44"/>
          <w:lang w:val="en-US" w:eastAsia="zh-CN"/>
        </w:rPr>
        <w:t>2022年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卫生健康服务中心</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卫生健康服务中心</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卫生健康服务中心</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pStyle w:val="2"/>
        <w:ind w:firstLine="640" w:firstLineChars="200"/>
        <w:rPr>
          <w:rFonts w:hint="eastAsia" w:eastAsia="仿宋"/>
          <w:lang w:val="en-US" w:eastAsia="zh-CN"/>
        </w:rPr>
      </w:pPr>
      <w:r>
        <w:rPr>
          <w:rFonts w:hint="eastAsia" w:ascii="仿宋" w:hAnsi="仿宋" w:eastAsia="仿宋" w:cs="仿宋"/>
          <w:color w:val="auto"/>
          <w:sz w:val="32"/>
          <w:szCs w:val="32"/>
          <w:lang w:eastAsia="zh-CN"/>
        </w:rPr>
        <w:t>十、部门整体支出绩效目标表</w:t>
      </w:r>
    </w:p>
    <w:p>
      <w:pPr>
        <w:spacing w:line="560" w:lineRule="exact"/>
        <w:ind w:left="634" w:leftChars="284" w:hanging="38" w:hangingChars="12"/>
        <w:rPr>
          <w:rFonts w:hint="eastAsia" w:ascii="仿宋" w:hAnsi="仿宋" w:eastAsia="仿宋" w:cs="仿宋"/>
          <w:b/>
          <w:bCs/>
          <w:color w:val="auto"/>
          <w:sz w:val="32"/>
          <w:szCs w:val="32"/>
        </w:rPr>
      </w:pP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卫生健康服务中心</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pStyle w:val="2"/>
        <w:ind w:firstLine="640" w:firstLineChars="200"/>
        <w:rPr>
          <w:lang w:val="en-US" w:bidi="ar-SA"/>
        </w:rPr>
      </w:pPr>
      <w:r>
        <w:rPr>
          <w:rFonts w:hint="eastAsia"/>
          <w:lang w:val="en-US" w:bidi="ar-SA"/>
        </w:rPr>
        <w:t>为加强卫生健康服务职能，进一步提升全民健康素养，强化卫生健康人才队伍建设，主要承担计划生育管理和服务;健康教育与健康促进、卫生健康新闻宣传活动的组织实施、业务培训和有关技术指导工作并承担健康教育与健康促进相关监测评估工作;爱国卫生、健康城市相关技术指导工作:组织开展地方病防治及监测工作:组织开展老年活动及老龄健康服务工作;协助开展行业专业人才队伍建设等职能。</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兴国县</w:t>
      </w:r>
      <w:r>
        <w:rPr>
          <w:rFonts w:hint="eastAsia" w:ascii="仿宋" w:hAnsi="仿宋" w:eastAsia="仿宋"/>
          <w:color w:val="auto"/>
          <w:sz w:val="32"/>
          <w:szCs w:val="32"/>
          <w:lang w:eastAsia="zh-CN"/>
        </w:rPr>
        <w:t>卫生健康服务中心内设处室</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1</w:t>
      </w:r>
      <w:r>
        <w:rPr>
          <w:rFonts w:ascii="仿宋" w:hAnsi="仿宋" w:eastAsia="仿宋" w:cs="Times New Roman"/>
          <w:color w:val="auto"/>
          <w:kern w:val="0"/>
          <w:sz w:val="32"/>
          <w:szCs w:val="32"/>
          <w:u w:val="single"/>
        </w:rPr>
        <w:t>_</w:t>
      </w:r>
      <w:r>
        <w:rPr>
          <w:rFonts w:ascii="仿宋" w:hAnsi="仿宋" w:eastAsia="仿宋" w:cs="Times New Roman"/>
          <w:color w:val="auto"/>
          <w:kern w:val="0"/>
          <w:sz w:val="32"/>
          <w:szCs w:val="32"/>
        </w:rPr>
        <w:t>_</w:t>
      </w:r>
      <w:r>
        <w:rPr>
          <w:rFonts w:ascii="仿宋" w:hAnsi="仿宋" w:eastAsia="仿宋"/>
          <w:color w:val="auto"/>
          <w:sz w:val="32"/>
          <w:szCs w:val="32"/>
        </w:rPr>
        <w:t>个，包括</w:t>
      </w:r>
      <w:r>
        <w:rPr>
          <w:rFonts w:hint="eastAsia" w:ascii="仿宋" w:hAnsi="仿宋" w:eastAsia="仿宋"/>
          <w:color w:val="auto"/>
          <w:sz w:val="32"/>
          <w:szCs w:val="32"/>
        </w:rPr>
        <w:t>：</w:t>
      </w:r>
      <w:r>
        <w:rPr>
          <w:rFonts w:hint="eastAsia" w:ascii="仿宋" w:hAnsi="仿宋" w:eastAsia="仿宋"/>
          <w:color w:val="auto"/>
          <w:sz w:val="32"/>
          <w:szCs w:val="32"/>
          <w:lang w:val="en-US" w:eastAsia="zh-CN"/>
        </w:rPr>
        <w:t>_</w:t>
      </w:r>
      <w:r>
        <w:rPr>
          <w:rFonts w:hint="eastAsia" w:ascii="仿宋" w:hAnsi="仿宋" w:eastAsia="仿宋"/>
          <w:color w:val="auto"/>
          <w:sz w:val="32"/>
          <w:szCs w:val="32"/>
          <w:u w:val="single"/>
          <w:lang w:val="en-US" w:eastAsia="zh-CN"/>
        </w:rPr>
        <w:t>业务科</w:t>
      </w:r>
      <w:r>
        <w:rPr>
          <w:rFonts w:hint="eastAsia" w:ascii="仿宋" w:hAnsi="仿宋" w:eastAsia="仿宋"/>
          <w:color w:val="auto"/>
          <w:sz w:val="32"/>
          <w:szCs w:val="32"/>
          <w:lang w:val="en-US" w:eastAsia="zh-CN"/>
        </w:rPr>
        <w:t>_。</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ascii="仿宋" w:hAnsi="仿宋" w:eastAsia="仿宋" w:cs="Times New Roman"/>
          <w:color w:val="auto"/>
          <w:kern w:val="0"/>
          <w:sz w:val="32"/>
          <w:szCs w:val="32"/>
          <w:u w:val="single"/>
        </w:rPr>
        <w:t>_</w:t>
      </w:r>
      <w:r>
        <w:rPr>
          <w:rFonts w:hint="eastAsia" w:ascii="仿宋" w:hAnsi="仿宋" w:eastAsia="仿宋" w:cs="Times New Roman"/>
          <w:color w:val="auto"/>
          <w:kern w:val="0"/>
          <w:sz w:val="32"/>
          <w:szCs w:val="32"/>
          <w:u w:val="single"/>
          <w:lang w:val="en-US" w:eastAsia="zh-CN"/>
        </w:rPr>
        <w:t>34</w:t>
      </w:r>
      <w:r>
        <w:rPr>
          <w:rFonts w:ascii="仿宋" w:hAnsi="仿宋" w:eastAsia="仿宋" w:cs="Times New Roman"/>
          <w:color w:val="auto"/>
          <w:kern w:val="0"/>
          <w:sz w:val="32"/>
          <w:szCs w:val="32"/>
          <w:u w:val="single"/>
        </w:rPr>
        <w:t>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人,参照公务员管理的事业编制人数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w:t>
      </w:r>
      <w:r>
        <w:rPr>
          <w:rFonts w:ascii="仿宋" w:hAnsi="仿宋" w:eastAsia="仿宋" w:cs="Times New Roman"/>
          <w:color w:val="auto"/>
          <w:kern w:val="0"/>
          <w:sz w:val="32"/>
          <w:szCs w:val="32"/>
        </w:rPr>
        <w:t>_</w:t>
      </w:r>
      <w:r>
        <w:rPr>
          <w:rFonts w:ascii="仿宋" w:hAnsi="仿宋" w:eastAsia="仿宋"/>
          <w:color w:val="auto"/>
          <w:sz w:val="32"/>
          <w:szCs w:val="32"/>
        </w:rPr>
        <w:t>人,全部补助事业编制人数</w:t>
      </w:r>
      <w:r>
        <w:rPr>
          <w:rFonts w:ascii="仿宋" w:hAnsi="仿宋" w:eastAsia="仿宋" w:cs="Times New Roman"/>
          <w:color w:val="auto"/>
          <w:kern w:val="0"/>
          <w:sz w:val="32"/>
          <w:szCs w:val="32"/>
          <w:u w:val="single"/>
        </w:rPr>
        <w:t>_</w:t>
      </w:r>
      <w:r>
        <w:rPr>
          <w:rFonts w:hint="eastAsia" w:ascii="仿宋" w:hAnsi="仿宋" w:eastAsia="仿宋" w:cs="Times New Roman"/>
          <w:color w:val="auto"/>
          <w:kern w:val="0"/>
          <w:sz w:val="32"/>
          <w:szCs w:val="32"/>
          <w:u w:val="single"/>
          <w:lang w:val="en-US" w:eastAsia="zh-CN"/>
        </w:rPr>
        <w:t>34</w:t>
      </w:r>
      <w:r>
        <w:rPr>
          <w:rFonts w:ascii="仿宋" w:hAnsi="仿宋" w:eastAsia="仿宋" w:cs="Times New Roman"/>
          <w:color w:val="auto"/>
          <w:kern w:val="0"/>
          <w:sz w:val="32"/>
          <w:szCs w:val="32"/>
        </w:rPr>
        <w:t>_</w:t>
      </w:r>
      <w:r>
        <w:rPr>
          <w:rFonts w:ascii="仿宋" w:hAnsi="仿宋" w:eastAsia="仿宋"/>
          <w:color w:val="auto"/>
          <w:sz w:val="32"/>
          <w:szCs w:val="32"/>
        </w:rPr>
        <w:t>人,自收自支编制人数</w:t>
      </w:r>
      <w:r>
        <w:rPr>
          <w:rFonts w:ascii="仿宋" w:hAnsi="仿宋" w:eastAsia="仿宋" w:cs="Times New Roman"/>
          <w:color w:val="auto"/>
          <w:kern w:val="0"/>
          <w:sz w:val="32"/>
          <w:szCs w:val="32"/>
        </w:rPr>
        <w:t>_</w:t>
      </w:r>
      <w:r>
        <w:rPr>
          <w:rFonts w:ascii="仿宋" w:hAnsi="仿宋" w:eastAsia="仿宋" w:cs="Times New Roman"/>
          <w:color w:val="auto"/>
          <w:kern w:val="0"/>
          <w:sz w:val="32"/>
          <w:szCs w:val="32"/>
          <w:u w:val="single"/>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32</w:t>
      </w:r>
      <w:r>
        <w:rPr>
          <w:rFonts w:ascii="仿宋" w:hAnsi="仿宋" w:eastAsia="仿宋" w:cs="Times New Roman"/>
          <w:color w:val="auto"/>
          <w:kern w:val="0"/>
          <w:sz w:val="32"/>
          <w:szCs w:val="32"/>
        </w:rPr>
        <w:t>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32</w:t>
      </w:r>
      <w:r>
        <w:rPr>
          <w:rFonts w:ascii="仿宋" w:hAnsi="仿宋" w:eastAsia="仿宋" w:cs="Times New Roman"/>
          <w:color w:val="auto"/>
          <w:kern w:val="0"/>
          <w:sz w:val="32"/>
          <w:szCs w:val="32"/>
        </w:rPr>
        <w:t>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w:t>
      </w:r>
      <w:r>
        <w:rPr>
          <w:rFonts w:ascii="仿宋" w:hAnsi="仿宋" w:eastAsia="仿宋"/>
          <w:color w:val="auto"/>
          <w:sz w:val="32"/>
          <w:szCs w:val="32"/>
        </w:rPr>
        <w:t>人,参照公务员管理的事业单位在职人数</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w:t>
      </w:r>
      <w:r>
        <w:rPr>
          <w:rFonts w:ascii="仿宋" w:hAnsi="仿宋" w:eastAsia="仿宋"/>
          <w:color w:val="auto"/>
          <w:sz w:val="32"/>
          <w:szCs w:val="32"/>
        </w:rPr>
        <w:t>人,全部补助事业在职人数</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32</w:t>
      </w:r>
      <w:r>
        <w:rPr>
          <w:rFonts w:ascii="仿宋" w:hAnsi="仿宋" w:eastAsia="仿宋" w:cs="Times New Roman"/>
          <w:color w:val="auto"/>
          <w:kern w:val="0"/>
          <w:sz w:val="32"/>
          <w:szCs w:val="32"/>
        </w:rPr>
        <w:t>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ascii="仿宋" w:hAnsi="仿宋" w:eastAsia="仿宋" w:cs="Times New Roman"/>
          <w:color w:val="auto"/>
          <w:kern w:val="0"/>
          <w:sz w:val="32"/>
          <w:szCs w:val="32"/>
        </w:rPr>
        <w:t>_</w:t>
      </w:r>
      <w:r>
        <w:rPr>
          <w:rFonts w:ascii="仿宋" w:hAnsi="仿宋" w:eastAsia="仿宋" w:cs="Times New Roman"/>
          <w:color w:val="auto"/>
          <w:kern w:val="0"/>
          <w:sz w:val="32"/>
          <w:szCs w:val="32"/>
          <w:u w:val="single"/>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w:t>
      </w:r>
      <w:r>
        <w:rPr>
          <w:rFonts w:ascii="仿宋" w:hAnsi="仿宋" w:eastAsia="仿宋"/>
          <w:color w:val="auto"/>
          <w:sz w:val="32"/>
          <w:szCs w:val="32"/>
        </w:rPr>
        <w:t>人,退休人数小计</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12</w:t>
      </w:r>
      <w:r>
        <w:rPr>
          <w:rFonts w:ascii="仿宋" w:hAnsi="仿宋" w:eastAsia="仿宋" w:cs="Times New Roman"/>
          <w:color w:val="auto"/>
          <w:kern w:val="0"/>
          <w:sz w:val="32"/>
          <w:szCs w:val="32"/>
        </w:rPr>
        <w:t>_</w:t>
      </w:r>
      <w:r>
        <w:rPr>
          <w:rFonts w:ascii="仿宋" w:hAnsi="仿宋" w:eastAsia="仿宋"/>
          <w:color w:val="auto"/>
          <w:sz w:val="32"/>
          <w:szCs w:val="32"/>
        </w:rPr>
        <w:t>人,退职人员</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w:t>
      </w:r>
      <w:r>
        <w:rPr>
          <w:rFonts w:ascii="仿宋" w:hAnsi="仿宋" w:eastAsia="仿宋"/>
          <w:color w:val="auto"/>
          <w:sz w:val="32"/>
          <w:szCs w:val="32"/>
        </w:rPr>
        <w:t>人,遗属人数</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u w:val="single"/>
          <w:lang w:val="en-US" w:eastAsia="zh-CN"/>
        </w:rPr>
        <w:t>1</w:t>
      </w:r>
      <w:r>
        <w:rPr>
          <w:rFonts w:ascii="仿宋" w:hAnsi="仿宋" w:eastAsia="仿宋" w:cs="Times New Roman"/>
          <w:color w:val="auto"/>
          <w:kern w:val="0"/>
          <w:sz w:val="32"/>
          <w:szCs w:val="32"/>
          <w:u w:val="single"/>
        </w:rPr>
        <w:t>_</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${page400644146.ds532982397_REP_JX_BAS_AGENCY_INFO_ZYFRS_S_ZXXSMX}</w:instrText>
      </w:r>
      <w:r>
        <w:rPr>
          <w:rFonts w:ascii="仿宋" w:hAnsi="仿宋" w:eastAsia="仿宋"/>
          <w:color w:val="auto"/>
          <w:sz w:val="32"/>
          <w:szCs w:val="32"/>
        </w:rPr>
        <w:fldChar w:fldCharType="separate"/>
      </w:r>
      <w:r>
        <w:rPr>
          <w:rFonts w:ascii="仿宋" w:hAnsi="仿宋" w:eastAsia="仿宋"/>
          <w:color w:val="auto"/>
          <w:sz w:val="32"/>
          <w:szCs w:val="32"/>
        </w:rPr>
        <w:t>在校学生</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u w:val="single"/>
        </w:rPr>
        <w:t>_</w:t>
      </w:r>
      <w:r>
        <w:rPr>
          <w:rFonts w:ascii="仿宋" w:hAnsi="仿宋" w:eastAsia="仿宋"/>
          <w:color w:val="auto"/>
          <w:sz w:val="32"/>
          <w:szCs w:val="32"/>
        </w:rPr>
        <w:t>人,其中：本科生人数</w:t>
      </w:r>
      <w:r>
        <w:rPr>
          <w:rFonts w:ascii="仿宋" w:hAnsi="仿宋" w:eastAsia="仿宋" w:cs="Times New Roman"/>
          <w:color w:val="auto"/>
          <w:kern w:val="0"/>
          <w:sz w:val="32"/>
          <w:szCs w:val="32"/>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w:t>
      </w:r>
      <w:r>
        <w:rPr>
          <w:rFonts w:ascii="仿宋" w:hAnsi="仿宋" w:eastAsia="仿宋"/>
          <w:color w:val="auto"/>
          <w:sz w:val="32"/>
          <w:szCs w:val="32"/>
        </w:rPr>
        <w:t>人，专科生人数</w:t>
      </w:r>
      <w:r>
        <w:rPr>
          <w:rFonts w:ascii="仿宋" w:hAnsi="仿宋" w:eastAsia="仿宋" w:cs="Times New Roman"/>
          <w:color w:val="auto"/>
          <w:kern w:val="0"/>
          <w:sz w:val="32"/>
          <w:szCs w:val="32"/>
          <w:u w:val="single"/>
        </w:rPr>
        <w:t>_</w:t>
      </w:r>
      <w:r>
        <w:rPr>
          <w:rFonts w:hint="eastAsia" w:ascii="仿宋" w:hAnsi="仿宋" w:eastAsia="仿宋" w:cs="Times New Roman"/>
          <w:color w:val="auto"/>
          <w:kern w:val="0"/>
          <w:sz w:val="32"/>
          <w:szCs w:val="32"/>
          <w:u w:val="single"/>
          <w:lang w:val="en-US" w:eastAsia="zh-CN"/>
        </w:rPr>
        <w:t>0</w:t>
      </w:r>
      <w:r>
        <w:rPr>
          <w:rFonts w:ascii="仿宋" w:hAnsi="仿宋" w:eastAsia="仿宋" w:cs="Times New Roman"/>
          <w:color w:val="auto"/>
          <w:kern w:val="0"/>
          <w:sz w:val="32"/>
          <w:szCs w:val="32"/>
        </w:rPr>
        <w:t>_</w:t>
      </w:r>
      <w:r>
        <w:rPr>
          <w:rFonts w:ascii="仿宋" w:hAnsi="仿宋" w:eastAsia="仿宋"/>
          <w:color w:val="auto"/>
          <w:sz w:val="32"/>
          <w:szCs w:val="32"/>
        </w:rPr>
        <w:t>人</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非学校单位删除</w:t>
      </w:r>
      <w:r>
        <w:rPr>
          <w:rFonts w:hint="eastAsia" w:ascii="仿宋" w:hAnsi="仿宋" w:eastAsia="仿宋"/>
          <w:color w:val="auto"/>
          <w:sz w:val="32"/>
          <w:szCs w:val="32"/>
          <w:lang w:eastAsia="zh-CN"/>
        </w:rPr>
        <w:t>）</w:t>
      </w:r>
      <w:r>
        <w:rPr>
          <w:rFonts w:ascii="仿宋" w:hAnsi="仿宋" w:eastAsia="仿宋"/>
          <w:color w:val="auto"/>
          <w:sz w:val="32"/>
          <w:szCs w:val="32"/>
        </w:rPr>
        <w:t>。</w:t>
      </w:r>
      <w:r>
        <w:rPr>
          <w:color w:val="auto"/>
        </w:rPr>
        <w:fldChar w:fldCharType="end"/>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卫生健康服务中心</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2022</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rPr>
        <w:t>206.69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29.88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增减变化主要原因是：机构改革老龄办与爱卫办合并人员增加。</w:t>
      </w:r>
    </w:p>
    <w:p>
      <w:pPr>
        <w:spacing w:line="560" w:lineRule="exact"/>
        <w:ind w:firstLine="600" w:firstLineChars="200"/>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具体为：</w:t>
      </w:r>
      <w:r>
        <w:rPr>
          <w:rFonts w:hint="eastAsia" w:ascii="仿宋" w:hAnsi="仿宋" w:eastAsia="仿宋" w:cs="仿宋"/>
          <w:color w:val="auto"/>
          <w:sz w:val="32"/>
          <w:szCs w:val="32"/>
          <w:lang w:val="en-US"/>
        </w:rPr>
        <w:t>财政拨款收入144.07万元，占收入预算总额的70%，一般公共预算结转结余62.63万元，占收入预算总额的30%</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1.47</w:t>
      </w:r>
      <w:r>
        <w:rPr>
          <w:rFonts w:hint="eastAsia" w:ascii="仿宋" w:hAnsi="仿宋" w:eastAsia="仿宋" w:cs="仿宋"/>
          <w:color w:val="auto"/>
          <w:sz w:val="32"/>
          <w:szCs w:val="32"/>
          <w:lang w:eastAsia="zh-CN"/>
        </w:rPr>
        <w:t>万元，增减变化主要原因是：机构改革老龄办与爱卫办合并人员增加。</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spacing w:line="560" w:lineRule="exact"/>
        <w:ind w:firstLine="640" w:firstLineChars="200"/>
        <w:rPr>
          <w:rFonts w:hint="eastAsia" w:ascii="仿宋" w:hAnsi="仿宋" w:eastAsia="仿宋" w:cs="仿宋"/>
          <w:color w:val="auto"/>
          <w:sz w:val="30"/>
          <w:szCs w:val="30"/>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本单位</w:t>
      </w:r>
      <w:r>
        <w:rPr>
          <w:rFonts w:hint="eastAsia" w:ascii="仿宋" w:hAnsi="仿宋" w:eastAsia="仿宋" w:cs="仿宋"/>
          <w:color w:val="auto"/>
          <w:sz w:val="30"/>
          <w:szCs w:val="30"/>
        </w:rPr>
        <w:t>支出预算</w:t>
      </w:r>
      <w:r>
        <w:rPr>
          <w:rFonts w:hint="eastAsia" w:ascii="仿宋" w:hAnsi="仿宋" w:eastAsia="仿宋" w:cs="仿宋"/>
          <w:color w:val="auto"/>
          <w:sz w:val="30"/>
          <w:szCs w:val="30"/>
          <w:lang w:eastAsia="zh-CN"/>
        </w:rPr>
        <w:t>总额</w:t>
      </w:r>
      <w:r>
        <w:rPr>
          <w:rFonts w:hint="eastAsia" w:ascii="仿宋_GB2312" w:hAnsi="仿宋_GB2312" w:eastAsia="仿宋_GB2312" w:cs="仿宋_GB2312"/>
          <w:sz w:val="32"/>
          <w:szCs w:val="32"/>
        </w:rPr>
        <w:t>206.69</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29.88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增减变化主要原因是：机构改革老龄办与爱卫办合并人员增加。</w:t>
      </w:r>
      <w:r>
        <w:rPr>
          <w:rFonts w:hint="eastAsia" w:ascii="仿宋" w:hAnsi="仿宋" w:eastAsia="仿宋" w:cs="仿宋"/>
          <w:color w:val="auto"/>
          <w:sz w:val="30"/>
          <w:szCs w:val="30"/>
        </w:rPr>
        <w:t>具体为：</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按支出项目类别及经济分类科目划分：基本支出</w:t>
      </w:r>
      <w:r>
        <w:rPr>
          <w:rFonts w:hint="eastAsia" w:ascii="仿宋" w:hAnsi="仿宋" w:eastAsia="仿宋" w:cs="仿宋"/>
          <w:color w:val="auto"/>
          <w:sz w:val="32"/>
          <w:szCs w:val="32"/>
          <w:lang w:val="en-US" w:eastAsia="zh-CN"/>
        </w:rPr>
        <w:t>115.52</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4.02</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其中：遗属补助减少</w:t>
      </w:r>
      <w:r>
        <w:rPr>
          <w:rFonts w:hint="eastAsia" w:ascii="仿宋" w:hAnsi="仿宋" w:eastAsia="仿宋" w:cs="仿宋"/>
          <w:color w:val="auto"/>
          <w:sz w:val="30"/>
          <w:szCs w:val="30"/>
          <w:lang w:val="en-US" w:eastAsia="zh-CN"/>
        </w:rPr>
        <w:t>1人和公用经费减少</w:t>
      </w:r>
      <w:r>
        <w:rPr>
          <w:rFonts w:hint="eastAsia" w:ascii="仿宋" w:hAnsi="仿宋" w:eastAsia="仿宋" w:cs="仿宋"/>
          <w:color w:val="auto"/>
          <w:sz w:val="30"/>
          <w:szCs w:val="30"/>
          <w:lang w:eastAsia="zh-CN"/>
        </w:rPr>
        <w:t>；项目支出</w:t>
      </w:r>
      <w:r>
        <w:rPr>
          <w:rFonts w:hint="eastAsia" w:ascii="仿宋_GB2312" w:hAnsi="仿宋_GB2312" w:eastAsia="仿宋_GB2312" w:cs="仿宋_GB2312"/>
          <w:sz w:val="32"/>
          <w:szCs w:val="32"/>
        </w:rPr>
        <w:t>91.18</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33.91</w:t>
      </w:r>
      <w:r>
        <w:rPr>
          <w:rFonts w:hint="eastAsia" w:ascii="仿宋" w:hAnsi="仿宋" w:eastAsia="仿宋" w:cs="仿宋"/>
          <w:color w:val="auto"/>
          <w:sz w:val="32"/>
          <w:szCs w:val="32"/>
          <w:lang w:eastAsia="zh-CN"/>
        </w:rPr>
        <w:t>万元，</w:t>
      </w:r>
      <w:r>
        <w:rPr>
          <w:rFonts w:hint="eastAsia" w:ascii="仿宋" w:hAnsi="仿宋" w:eastAsia="仿宋" w:cs="仿宋"/>
          <w:color w:val="auto"/>
          <w:sz w:val="30"/>
          <w:szCs w:val="30"/>
          <w:lang w:eastAsia="zh-CN"/>
        </w:rPr>
        <w:t>其中：基本公共卫生项目增加。</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lang w:eastAsia="zh-CN"/>
        </w:rPr>
        <w:t>按支出功能分类科目划分：</w:t>
      </w:r>
      <w:r>
        <w:rPr>
          <w:rFonts w:hint="eastAsia" w:ascii="仿宋_GB2312" w:hAnsi="仿宋_GB2312" w:eastAsia="仿宋_GB2312" w:cs="仿宋_GB2312"/>
          <w:sz w:val="32"/>
          <w:szCs w:val="32"/>
        </w:rPr>
        <w:t>社会保障和就业支出12.46万元，</w:t>
      </w:r>
      <w:r>
        <w:rPr>
          <w:rFonts w:hint="eastAsia" w:ascii="仿宋_GB2312" w:hAnsi="仿宋_GB2312" w:eastAsia="仿宋_GB2312" w:cs="仿宋_GB2312"/>
          <w:sz w:val="32"/>
          <w:szCs w:val="32"/>
          <w:lang w:eastAsia="zh-CN"/>
        </w:rPr>
        <w:t>占支出预算总额的</w:t>
      </w:r>
      <w:r>
        <w:rPr>
          <w:rFonts w:hint="eastAsia" w:ascii="仿宋_GB2312" w:hAnsi="仿宋_GB2312" w:eastAsia="仿宋_GB2312" w:cs="仿宋_GB2312"/>
          <w:sz w:val="32"/>
          <w:szCs w:val="32"/>
          <w:lang w:val="en-US" w:eastAsia="zh-CN"/>
        </w:rPr>
        <w:t>6%，</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1.6</w:t>
      </w:r>
      <w:r>
        <w:rPr>
          <w:rFonts w:hint="eastAsia" w:ascii="仿宋" w:hAnsi="仿宋" w:eastAsia="仿宋" w:cs="仿宋"/>
          <w:color w:val="auto"/>
          <w:sz w:val="32"/>
          <w:szCs w:val="32"/>
          <w:lang w:eastAsia="zh-CN"/>
        </w:rPr>
        <w:t>万元，增减变化主要原因是：</w:t>
      </w:r>
      <w:r>
        <w:rPr>
          <w:rFonts w:hint="eastAsia" w:ascii="仿宋" w:hAnsi="仿宋" w:eastAsia="仿宋" w:cs="仿宋"/>
          <w:color w:val="auto"/>
          <w:sz w:val="30"/>
          <w:szCs w:val="30"/>
          <w:lang w:eastAsia="zh-CN"/>
        </w:rPr>
        <w:t>遗属补助减少</w:t>
      </w:r>
      <w:r>
        <w:rPr>
          <w:rFonts w:hint="eastAsia" w:ascii="仿宋" w:hAnsi="仿宋" w:eastAsia="仿宋" w:cs="仿宋"/>
          <w:color w:val="auto"/>
          <w:sz w:val="30"/>
          <w:szCs w:val="30"/>
          <w:lang w:val="en-US" w:eastAsia="zh-CN"/>
        </w:rPr>
        <w:t>1人。</w:t>
      </w:r>
      <w:r>
        <w:rPr>
          <w:rFonts w:hint="eastAsia" w:ascii="仿宋_GB2312" w:hAnsi="仿宋_GB2312" w:eastAsia="仿宋_GB2312" w:cs="仿宋_GB2312"/>
          <w:sz w:val="32"/>
          <w:szCs w:val="32"/>
          <w:lang w:eastAsia="zh-CN"/>
        </w:rPr>
        <w:t>卫生健康</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146.13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占支出预算总额的</w:t>
      </w:r>
      <w:r>
        <w:rPr>
          <w:rFonts w:hint="eastAsia" w:ascii="仿宋_GB2312" w:hAnsi="仿宋_GB2312" w:eastAsia="仿宋_GB2312" w:cs="仿宋_GB2312"/>
          <w:sz w:val="32"/>
          <w:szCs w:val="32"/>
          <w:lang w:val="en-US" w:eastAsia="zh-CN"/>
        </w:rPr>
        <w:t>70%，</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val="en-US" w:eastAsia="zh-CN"/>
        </w:rPr>
        <w:t>50.65</w:t>
      </w:r>
      <w:r>
        <w:rPr>
          <w:rFonts w:hint="eastAsia" w:ascii="仿宋" w:hAnsi="仿宋" w:eastAsia="仿宋" w:cs="仿宋"/>
          <w:color w:val="auto"/>
          <w:sz w:val="32"/>
          <w:szCs w:val="32"/>
          <w:lang w:eastAsia="zh-CN"/>
        </w:rPr>
        <w:t>万元，增减变化主要原因是：</w:t>
      </w:r>
      <w:r>
        <w:rPr>
          <w:rFonts w:hint="eastAsia" w:ascii="仿宋" w:hAnsi="仿宋" w:eastAsia="仿宋" w:cs="仿宋"/>
          <w:color w:val="auto"/>
          <w:sz w:val="30"/>
          <w:szCs w:val="30"/>
          <w:lang w:eastAsia="zh-CN"/>
        </w:rPr>
        <w:t>基本公共卫生资金支出减少</w:t>
      </w:r>
      <w:r>
        <w:rPr>
          <w:rFonts w:hint="eastAsia" w:ascii="仿宋" w:hAnsi="仿宋" w:eastAsia="仿宋" w:cs="仿宋"/>
          <w:color w:val="auto"/>
          <w:sz w:val="30"/>
          <w:szCs w:val="30"/>
          <w:lang w:val="en-US" w:eastAsia="zh-CN"/>
        </w:rPr>
        <w:t>。</w:t>
      </w:r>
      <w:r>
        <w:rPr>
          <w:rFonts w:hint="eastAsia" w:ascii="仿宋_GB2312" w:hAnsi="仿宋_GB2312" w:eastAsia="仿宋_GB2312" w:cs="仿宋_GB2312"/>
          <w:sz w:val="32"/>
          <w:szCs w:val="32"/>
          <w:lang w:eastAsia="zh-CN"/>
        </w:rPr>
        <w:t>城乡社区</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5.76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占支出预算总额的</w:t>
      </w:r>
      <w:r>
        <w:rPr>
          <w:rFonts w:hint="eastAsia" w:ascii="仿宋_GB2312" w:hAnsi="仿宋_GB2312" w:eastAsia="仿宋_GB2312" w:cs="仿宋_GB2312"/>
          <w:sz w:val="32"/>
          <w:szCs w:val="32"/>
          <w:lang w:val="en-US" w:eastAsia="zh-CN"/>
        </w:rPr>
        <w:t>2.7%，</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5.76</w:t>
      </w:r>
      <w:r>
        <w:rPr>
          <w:rFonts w:hint="eastAsia" w:ascii="仿宋" w:hAnsi="仿宋" w:eastAsia="仿宋" w:cs="仿宋"/>
          <w:color w:val="auto"/>
          <w:sz w:val="32"/>
          <w:szCs w:val="32"/>
          <w:lang w:eastAsia="zh-CN"/>
        </w:rPr>
        <w:t>万元，增减变化主要原因是：</w:t>
      </w:r>
      <w:r>
        <w:rPr>
          <w:rFonts w:hint="eastAsia" w:ascii="仿宋" w:hAnsi="仿宋" w:eastAsia="仿宋" w:cs="仿宋"/>
          <w:color w:val="auto"/>
          <w:sz w:val="30"/>
          <w:szCs w:val="30"/>
          <w:lang w:eastAsia="zh-CN"/>
        </w:rPr>
        <w:t>上年度没有城乡社区支出</w:t>
      </w:r>
      <w:r>
        <w:rPr>
          <w:rFonts w:hint="eastAsia" w:ascii="仿宋" w:hAnsi="仿宋" w:eastAsia="仿宋" w:cs="仿宋"/>
          <w:color w:val="auto"/>
          <w:sz w:val="30"/>
          <w:szCs w:val="30"/>
          <w:lang w:val="en-US" w:eastAsia="zh-CN"/>
        </w:rPr>
        <w:t>。</w:t>
      </w:r>
      <w:r>
        <w:rPr>
          <w:rFonts w:hint="eastAsia" w:ascii="仿宋_GB2312" w:hAnsi="仿宋_GB2312" w:eastAsia="仿宋_GB2312" w:cs="仿宋_GB2312"/>
          <w:sz w:val="32"/>
          <w:szCs w:val="32"/>
          <w:lang w:eastAsia="zh-CN"/>
        </w:rPr>
        <w:t>住房保障</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11.23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占支出预算总额的</w:t>
      </w:r>
      <w:r>
        <w:rPr>
          <w:rFonts w:hint="eastAsia" w:ascii="仿宋_GB2312" w:hAnsi="仿宋_GB2312" w:eastAsia="仿宋_GB2312" w:cs="仿宋_GB2312"/>
          <w:sz w:val="32"/>
          <w:szCs w:val="32"/>
          <w:lang w:val="en-US" w:eastAsia="zh-CN"/>
        </w:rPr>
        <w:t>5.4%，</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3.7</w:t>
      </w:r>
      <w:r>
        <w:rPr>
          <w:rFonts w:hint="eastAsia" w:ascii="仿宋" w:hAnsi="仿宋" w:eastAsia="仿宋" w:cs="仿宋"/>
          <w:color w:val="auto"/>
          <w:sz w:val="32"/>
          <w:szCs w:val="32"/>
          <w:lang w:eastAsia="zh-CN"/>
        </w:rPr>
        <w:t>万元，增减变化主要原因是：机构改革老龄办与爱卫办合并人员增加。</w:t>
      </w:r>
      <w:r>
        <w:rPr>
          <w:rFonts w:hint="eastAsia" w:ascii="仿宋_GB2312" w:hAnsi="仿宋_GB2312" w:eastAsia="仿宋_GB2312" w:cs="仿宋_GB2312"/>
          <w:sz w:val="32"/>
          <w:szCs w:val="32"/>
          <w:lang w:eastAsia="zh-CN"/>
        </w:rPr>
        <w:t>其他</w:t>
      </w:r>
      <w:r>
        <w:rPr>
          <w:rFonts w:hint="eastAsia" w:ascii="仿宋_GB2312" w:hAnsi="仿宋_GB2312" w:eastAsia="仿宋_GB2312" w:cs="仿宋_GB2312"/>
          <w:sz w:val="32"/>
          <w:szCs w:val="32"/>
        </w:rPr>
        <w:t>支出</w:t>
      </w:r>
      <w:r>
        <w:rPr>
          <w:rFonts w:hint="eastAsia" w:ascii="仿宋_GB2312" w:hAnsi="仿宋_GB2312" w:eastAsia="仿宋_GB2312" w:cs="仿宋_GB2312"/>
          <w:sz w:val="32"/>
          <w:szCs w:val="32"/>
          <w:lang w:val="en-US" w:eastAsia="zh-CN"/>
        </w:rPr>
        <w:t>31.11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占支出预算总额的</w:t>
      </w:r>
      <w:r>
        <w:rPr>
          <w:rFonts w:hint="eastAsia" w:ascii="仿宋_GB2312" w:hAnsi="仿宋_GB2312" w:eastAsia="仿宋_GB2312" w:cs="仿宋_GB2312"/>
          <w:sz w:val="32"/>
          <w:szCs w:val="32"/>
          <w:lang w:val="en-US" w:eastAsia="zh-CN"/>
        </w:rPr>
        <w:t>15%，</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31.11</w:t>
      </w:r>
      <w:r>
        <w:rPr>
          <w:rFonts w:hint="eastAsia" w:ascii="仿宋" w:hAnsi="仿宋" w:eastAsia="仿宋" w:cs="仿宋"/>
          <w:color w:val="auto"/>
          <w:sz w:val="32"/>
          <w:szCs w:val="32"/>
          <w:lang w:eastAsia="zh-CN"/>
        </w:rPr>
        <w:t>万元，增减变化主要原因是：</w:t>
      </w:r>
      <w:r>
        <w:rPr>
          <w:rFonts w:hint="eastAsia" w:ascii="仿宋" w:hAnsi="仿宋" w:eastAsia="仿宋" w:cs="仿宋"/>
          <w:color w:val="auto"/>
          <w:sz w:val="30"/>
          <w:szCs w:val="30"/>
          <w:lang w:eastAsia="zh-CN"/>
        </w:rPr>
        <w:t>上年度没有其他支出</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2022年本单位财政拨款支出预算</w:t>
      </w:r>
      <w:r>
        <w:rPr>
          <w:rFonts w:hint="eastAsia" w:ascii="仿宋" w:hAnsi="仿宋" w:eastAsia="仿宋" w:cs="仿宋"/>
          <w:sz w:val="32"/>
          <w:szCs w:val="32"/>
        </w:rPr>
        <w:t>109.96</w:t>
      </w:r>
      <w:r>
        <w:rPr>
          <w:rFonts w:hint="eastAsia" w:ascii="仿宋" w:hAnsi="仿宋" w:eastAsia="仿宋" w:cs="仿宋"/>
          <w:color w:val="auto"/>
          <w:sz w:val="32"/>
          <w:szCs w:val="32"/>
          <w:lang w:val="en-US" w:eastAsia="zh-CN"/>
        </w:rPr>
        <w:t>万元，占本年支出预算额的53%，，较上年预算安排减76.33万元，减36%。增减变化主要原因是：</w:t>
      </w:r>
      <w:r>
        <w:rPr>
          <w:rFonts w:hint="eastAsia" w:ascii="仿宋" w:hAnsi="仿宋" w:eastAsia="仿宋" w:cs="仿宋"/>
          <w:color w:val="auto"/>
          <w:sz w:val="32"/>
          <w:szCs w:val="32"/>
          <w:lang w:eastAsia="zh-CN"/>
        </w:rPr>
        <w:t>人员增少。</w:t>
      </w:r>
      <w:r>
        <w:rPr>
          <w:rFonts w:hint="eastAsia" w:ascii="仿宋" w:hAnsi="仿宋" w:eastAsia="仿宋" w:cs="仿宋"/>
          <w:color w:val="auto"/>
          <w:sz w:val="32"/>
          <w:szCs w:val="32"/>
          <w:lang w:val="en-US" w:eastAsia="zh-CN"/>
        </w:rPr>
        <w:t>具体为：</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按支出经济分类科目划分：基本支出109.96万元，较上年预算安排减0.3万元，其中：</w:t>
      </w:r>
      <w:r>
        <w:rPr>
          <w:rFonts w:hint="eastAsia" w:ascii="仿宋_GB2312" w:hAnsi="仿宋_GB2312" w:eastAsia="仿宋_GB2312" w:cs="仿宋_GB2312"/>
          <w:sz w:val="32"/>
          <w:szCs w:val="32"/>
        </w:rPr>
        <w:t>社会保障和就业支出</w:t>
      </w:r>
      <w:r>
        <w:rPr>
          <w:rFonts w:hint="eastAsia" w:ascii="仿宋_GB2312" w:hAnsi="仿宋_GB2312" w:eastAsia="仿宋_GB2312" w:cs="仿宋_GB2312"/>
          <w:sz w:val="32"/>
          <w:szCs w:val="32"/>
          <w:lang w:val="en-US" w:eastAsia="zh-CN"/>
        </w:rPr>
        <w:t>10.85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占财政拨款支出预算总额的</w:t>
      </w:r>
      <w:r>
        <w:rPr>
          <w:rFonts w:hint="eastAsia" w:ascii="仿宋_GB2312" w:hAnsi="仿宋_GB2312" w:eastAsia="仿宋_GB2312" w:cs="仿宋_GB2312"/>
          <w:sz w:val="32"/>
          <w:szCs w:val="32"/>
          <w:lang w:val="en-US" w:eastAsia="zh-CN"/>
        </w:rPr>
        <w:t>9.8%，</w:t>
      </w:r>
      <w:r>
        <w:rPr>
          <w:rFonts w:hint="eastAsia" w:ascii="仿宋_GB2312" w:hAnsi="仿宋_GB2312" w:eastAsia="仿宋_GB2312" w:cs="仿宋_GB2312"/>
          <w:sz w:val="32"/>
          <w:szCs w:val="32"/>
          <w:lang w:eastAsia="zh-CN"/>
        </w:rPr>
        <w:t>卫生健康支出</w:t>
      </w:r>
      <w:r>
        <w:rPr>
          <w:rFonts w:hint="eastAsia" w:ascii="仿宋_GB2312" w:hAnsi="仿宋_GB2312" w:eastAsia="仿宋_GB2312" w:cs="仿宋_GB2312"/>
          <w:sz w:val="32"/>
          <w:szCs w:val="32"/>
          <w:lang w:val="en-US" w:eastAsia="zh-CN"/>
        </w:rPr>
        <w:t>87.88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占财政拨款支出预算总额的</w:t>
      </w:r>
      <w:r>
        <w:rPr>
          <w:rFonts w:hint="eastAsia" w:ascii="仿宋_GB2312" w:hAnsi="仿宋_GB2312" w:eastAsia="仿宋_GB2312" w:cs="仿宋_GB2312"/>
          <w:sz w:val="32"/>
          <w:szCs w:val="32"/>
          <w:lang w:val="en-US" w:eastAsia="zh-CN"/>
        </w:rPr>
        <w:t>79.9%，</w:t>
      </w:r>
      <w:r>
        <w:rPr>
          <w:rFonts w:hint="eastAsia" w:ascii="仿宋_GB2312" w:hAnsi="仿宋_GB2312" w:eastAsia="仿宋_GB2312" w:cs="仿宋_GB2312"/>
          <w:sz w:val="32"/>
          <w:szCs w:val="32"/>
        </w:rPr>
        <w:t>住房保障支出11.23万元</w:t>
      </w:r>
      <w:r>
        <w:rPr>
          <w:rFonts w:hint="eastAsia" w:ascii="仿宋_GB2312" w:hAnsi="仿宋_GB2312" w:eastAsia="仿宋_GB2312" w:cs="仿宋_GB2312"/>
          <w:sz w:val="32"/>
          <w:szCs w:val="32"/>
          <w:lang w:eastAsia="zh-CN"/>
        </w:rPr>
        <w:t>，占财政拨款支出预算总额的</w:t>
      </w:r>
      <w:r>
        <w:rPr>
          <w:rFonts w:hint="eastAsia" w:ascii="仿宋_GB2312" w:hAnsi="仿宋_GB2312" w:eastAsia="仿宋_GB2312" w:cs="仿宋_GB2312"/>
          <w:sz w:val="32"/>
          <w:szCs w:val="32"/>
          <w:lang w:val="en-US" w:eastAsia="zh-CN"/>
        </w:rPr>
        <w:t>10.2%</w:t>
      </w:r>
      <w:r>
        <w:rPr>
          <w:rFonts w:hint="eastAsia" w:ascii="仿宋" w:hAnsi="仿宋" w:eastAsia="仿宋" w:cs="仿宋"/>
          <w:color w:val="auto"/>
          <w:sz w:val="32"/>
          <w:szCs w:val="32"/>
          <w:lang w:val="en-US" w:eastAsia="zh-CN"/>
        </w:rPr>
        <w:t>；项目支出</w:t>
      </w:r>
      <w:r>
        <w:rPr>
          <w:rFonts w:hint="eastAsia" w:ascii="仿宋_GB2312" w:hAnsi="仿宋_GB2312" w:eastAsia="仿宋_GB2312" w:cs="仿宋_GB2312"/>
          <w:sz w:val="32"/>
          <w:szCs w:val="32"/>
        </w:rPr>
        <w:t>91.18</w:t>
      </w:r>
      <w:r>
        <w:rPr>
          <w:rFonts w:hint="eastAsia" w:ascii="仿宋" w:hAnsi="仿宋" w:eastAsia="仿宋" w:cs="仿宋"/>
          <w:color w:val="auto"/>
          <w:sz w:val="32"/>
          <w:szCs w:val="32"/>
          <w:lang w:val="en-US" w:eastAsia="zh-CN"/>
        </w:rPr>
        <w:t>万元，较上年预算安排增13.18万元，其中：</w:t>
      </w:r>
      <w:r>
        <w:rPr>
          <w:rFonts w:hint="eastAsia" w:ascii="仿宋_GB2312" w:hAnsi="仿宋_GB2312" w:eastAsia="仿宋_GB2312" w:cs="仿宋_GB2312"/>
          <w:sz w:val="32"/>
          <w:szCs w:val="32"/>
        </w:rPr>
        <w:t>基本公共卫生51.99万元，老龄卫生健康事务2.32万元，城乡社区支出5.76万元，其他支出31.11万元</w:t>
      </w:r>
      <w:r>
        <w:rPr>
          <w:rFonts w:hint="eastAsia" w:ascii="仿宋" w:hAnsi="仿宋" w:eastAsia="仿宋" w:cs="仿宋"/>
          <w:color w:val="auto"/>
          <w:sz w:val="32"/>
          <w:szCs w:val="32"/>
          <w:lang w:val="en-US" w:eastAsia="zh-CN"/>
        </w:rPr>
        <w:t>。</w:t>
      </w:r>
    </w:p>
    <w:p>
      <w:pPr>
        <w:spacing w:line="560" w:lineRule="exact"/>
        <w:ind w:firstLine="64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32"/>
          <w:szCs w:val="32"/>
          <w:lang w:val="en-US" w:eastAsia="zh-CN"/>
        </w:rPr>
        <w:t>按支出功能分类科目划分：</w:t>
      </w:r>
      <w:r>
        <w:rPr>
          <w:rFonts w:hint="eastAsia" w:ascii="仿宋" w:hAnsi="仿宋" w:eastAsia="仿宋" w:cs="仿宋"/>
          <w:sz w:val="32"/>
          <w:szCs w:val="32"/>
        </w:rPr>
        <w:t>工资福利支出</w:t>
      </w:r>
      <w:r>
        <w:rPr>
          <w:rFonts w:hint="eastAsia" w:ascii="仿宋" w:hAnsi="仿宋" w:eastAsia="仿宋" w:cs="仿宋"/>
          <w:sz w:val="32"/>
          <w:szCs w:val="32"/>
          <w:lang w:val="en-US" w:eastAsia="zh-CN"/>
        </w:rPr>
        <w:t>101.03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_GB2312" w:hAnsi="仿宋_GB2312" w:eastAsia="仿宋_GB2312" w:cs="仿宋_GB2312"/>
          <w:sz w:val="32"/>
          <w:szCs w:val="32"/>
          <w:lang w:eastAsia="zh-CN"/>
        </w:rPr>
        <w:t>占财政拨款支出预算总额的</w:t>
      </w:r>
      <w:r>
        <w:rPr>
          <w:rFonts w:hint="eastAsia" w:ascii="仿宋_GB2312" w:hAnsi="仿宋_GB2312" w:eastAsia="仿宋_GB2312" w:cs="仿宋_GB2312"/>
          <w:sz w:val="32"/>
          <w:szCs w:val="32"/>
          <w:lang w:val="en-US" w:eastAsia="zh-CN"/>
        </w:rPr>
        <w:t>91.8%，</w:t>
      </w:r>
      <w:r>
        <w:rPr>
          <w:rFonts w:hint="eastAsia" w:ascii="仿宋" w:hAnsi="仿宋" w:eastAsia="仿宋" w:cs="仿宋"/>
          <w:color w:val="auto"/>
          <w:sz w:val="32"/>
          <w:szCs w:val="32"/>
          <w:lang w:val="en-US" w:eastAsia="zh-CN"/>
        </w:rPr>
        <w:t>较上年预算安排减1.73万元，增减变化主要原因是：人员调出。</w:t>
      </w:r>
      <w:r>
        <w:rPr>
          <w:rFonts w:hint="eastAsia" w:ascii="仿宋" w:hAnsi="仿宋" w:eastAsia="仿宋" w:cs="仿宋"/>
          <w:sz w:val="32"/>
          <w:szCs w:val="32"/>
        </w:rPr>
        <w:t>商品和服务支出</w:t>
      </w:r>
      <w:r>
        <w:rPr>
          <w:rFonts w:hint="eastAsia" w:ascii="仿宋" w:hAnsi="仿宋" w:eastAsia="仿宋" w:cs="仿宋"/>
          <w:sz w:val="32"/>
          <w:szCs w:val="32"/>
          <w:lang w:val="en-US" w:eastAsia="zh-CN"/>
        </w:rPr>
        <w:t>6.8</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_GB2312" w:hAnsi="仿宋_GB2312" w:eastAsia="仿宋_GB2312" w:cs="仿宋_GB2312"/>
          <w:sz w:val="32"/>
          <w:szCs w:val="32"/>
          <w:lang w:eastAsia="zh-CN"/>
        </w:rPr>
        <w:t>占财政拨款支出预算总额的</w:t>
      </w:r>
      <w:r>
        <w:rPr>
          <w:rFonts w:hint="eastAsia" w:ascii="仿宋_GB2312" w:hAnsi="仿宋_GB2312" w:eastAsia="仿宋_GB2312" w:cs="仿宋_GB2312"/>
          <w:sz w:val="32"/>
          <w:szCs w:val="32"/>
          <w:lang w:val="en-US" w:eastAsia="zh-CN"/>
        </w:rPr>
        <w:t>6.1%，</w:t>
      </w:r>
      <w:r>
        <w:rPr>
          <w:rFonts w:hint="eastAsia" w:ascii="仿宋" w:hAnsi="仿宋" w:eastAsia="仿宋" w:cs="仿宋"/>
          <w:color w:val="auto"/>
          <w:sz w:val="32"/>
          <w:szCs w:val="32"/>
          <w:lang w:val="en-US" w:eastAsia="zh-CN"/>
        </w:rPr>
        <w:t>较上年预算安排减0.2万元，增减变化主要原因是：人员调出。</w:t>
      </w:r>
      <w:r>
        <w:rPr>
          <w:rFonts w:hint="eastAsia" w:ascii="仿宋" w:hAnsi="仿宋" w:eastAsia="仿宋" w:cs="仿宋"/>
          <w:sz w:val="32"/>
          <w:szCs w:val="32"/>
        </w:rPr>
        <w:t>对个人和家庭的补助支出</w:t>
      </w:r>
      <w:r>
        <w:rPr>
          <w:rFonts w:hint="eastAsia" w:ascii="仿宋" w:hAnsi="仿宋" w:eastAsia="仿宋" w:cs="仿宋"/>
          <w:sz w:val="32"/>
          <w:szCs w:val="32"/>
          <w:lang w:val="en-US" w:eastAsia="zh-CN"/>
        </w:rPr>
        <w:t>0.93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_GB2312" w:hAnsi="仿宋_GB2312" w:eastAsia="仿宋_GB2312" w:cs="仿宋_GB2312"/>
          <w:sz w:val="32"/>
          <w:szCs w:val="32"/>
          <w:lang w:eastAsia="zh-CN"/>
        </w:rPr>
        <w:t>占财政拨款支出预算总额的</w:t>
      </w:r>
      <w:r>
        <w:rPr>
          <w:rFonts w:hint="eastAsia" w:ascii="仿宋_GB2312" w:hAnsi="仿宋_GB2312" w:eastAsia="仿宋_GB2312" w:cs="仿宋_GB2312"/>
          <w:sz w:val="32"/>
          <w:szCs w:val="32"/>
          <w:lang w:val="en-US" w:eastAsia="zh-CN"/>
        </w:rPr>
        <w:t>0.8%，</w:t>
      </w:r>
      <w:r>
        <w:rPr>
          <w:rFonts w:hint="eastAsia" w:ascii="仿宋" w:hAnsi="仿宋" w:eastAsia="仿宋" w:cs="仿宋"/>
          <w:color w:val="auto"/>
          <w:sz w:val="32"/>
          <w:szCs w:val="32"/>
          <w:lang w:val="en-US" w:eastAsia="zh-CN"/>
        </w:rPr>
        <w:t>较上年预算安排增减0万元。</w:t>
      </w:r>
      <w:r>
        <w:rPr>
          <w:rFonts w:hint="eastAsia" w:ascii="仿宋" w:hAnsi="仿宋" w:eastAsia="仿宋" w:cs="仿宋"/>
          <w:sz w:val="32"/>
          <w:szCs w:val="32"/>
          <w:lang w:eastAsia="zh-CN"/>
        </w:rPr>
        <w:t>资本性</w:t>
      </w:r>
      <w:r>
        <w:rPr>
          <w:rFonts w:hint="eastAsia" w:ascii="仿宋" w:hAnsi="仿宋" w:eastAsia="仿宋" w:cs="仿宋"/>
          <w:sz w:val="32"/>
          <w:szCs w:val="32"/>
        </w:rPr>
        <w:t>支出</w:t>
      </w:r>
      <w:r>
        <w:rPr>
          <w:rFonts w:hint="eastAsia" w:ascii="仿宋" w:hAnsi="仿宋" w:eastAsia="仿宋" w:cs="仿宋"/>
          <w:sz w:val="32"/>
          <w:szCs w:val="32"/>
          <w:lang w:val="en-US" w:eastAsia="zh-CN"/>
        </w:rPr>
        <w:t>1.2</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_GB2312" w:hAnsi="仿宋_GB2312" w:eastAsia="仿宋_GB2312" w:cs="仿宋_GB2312"/>
          <w:sz w:val="32"/>
          <w:szCs w:val="32"/>
          <w:lang w:eastAsia="zh-CN"/>
        </w:rPr>
        <w:t>占财政拨款支出预算总额的</w:t>
      </w:r>
      <w:r>
        <w:rPr>
          <w:rFonts w:hint="eastAsia" w:ascii="仿宋_GB2312" w:hAnsi="仿宋_GB2312" w:eastAsia="仿宋_GB2312" w:cs="仿宋_GB2312"/>
          <w:sz w:val="32"/>
          <w:szCs w:val="32"/>
          <w:lang w:val="en-US" w:eastAsia="zh-CN"/>
        </w:rPr>
        <w:t>1%，</w:t>
      </w:r>
      <w:r>
        <w:rPr>
          <w:rFonts w:hint="eastAsia" w:ascii="仿宋" w:hAnsi="仿宋" w:eastAsia="仿宋" w:cs="仿宋"/>
          <w:color w:val="auto"/>
          <w:sz w:val="32"/>
          <w:szCs w:val="32"/>
          <w:lang w:val="en-US" w:eastAsia="zh-CN"/>
        </w:rPr>
        <w:t>较上年预算安排增减0万元。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无政府性基金预算拨款安排的支出。</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spacing w:line="560" w:lineRule="exact"/>
        <w:ind w:firstLine="640" w:firstLineChars="200"/>
        <w:rPr>
          <w:rFonts w:hint="eastAsia" w:ascii="仿宋" w:hAnsi="仿宋" w:eastAsia="仿宋" w:cs="仿宋"/>
          <w:color w:val="auto"/>
          <w:sz w:val="24"/>
          <w:szCs w:val="24"/>
          <w:lang w:eastAsia="zh-CN"/>
        </w:rPr>
      </w:pPr>
      <w:r>
        <w:rPr>
          <w:rFonts w:hint="eastAsia" w:ascii="仿宋" w:hAnsi="仿宋" w:eastAsia="仿宋" w:cs="仿宋"/>
          <w:color w:val="auto"/>
          <w:sz w:val="32"/>
          <w:szCs w:val="32"/>
          <w:lang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本单位</w:t>
      </w:r>
      <w:r>
        <w:rPr>
          <w:rFonts w:hint="eastAsia" w:ascii="仿宋" w:hAnsi="仿宋" w:eastAsia="仿宋" w:cs="仿宋"/>
          <w:color w:val="auto"/>
          <w:sz w:val="32"/>
          <w:szCs w:val="32"/>
        </w:rPr>
        <w:t>国有资本经营支出预算为0万元，本单位无</w:t>
      </w:r>
      <w:r>
        <w:rPr>
          <w:rFonts w:hint="eastAsia" w:ascii="仿宋" w:hAnsi="仿宋" w:eastAsia="仿宋" w:cs="仿宋"/>
          <w:color w:val="auto"/>
          <w:sz w:val="32"/>
          <w:szCs w:val="32"/>
        </w:rPr>
        <w:fldChar w:fldCharType="begin"/>
      </w:r>
      <w:r>
        <w:rPr>
          <w:rFonts w:hint="eastAsia" w:ascii="仿宋" w:hAnsi="仿宋" w:eastAsia="仿宋" w:cs="仿宋"/>
          <w:color w:val="auto"/>
          <w:sz w:val="32"/>
          <w:szCs w:val="32"/>
        </w:rPr>
        <w:instrText xml:space="preserve">MERGEFIELD ${page400644146.ds215660413_REP_BGT_T_HC1100002019_DXQ02_S_AMTGYZBJYYSZJ}</w:instrText>
      </w:r>
      <w:r>
        <w:rPr>
          <w:rFonts w:hint="eastAsia" w:ascii="仿宋" w:hAnsi="仿宋" w:eastAsia="仿宋" w:cs="仿宋"/>
          <w:color w:val="auto"/>
          <w:sz w:val="32"/>
          <w:szCs w:val="32"/>
        </w:rPr>
        <w:fldChar w:fldCharType="separate"/>
      </w:r>
      <w:r>
        <w:rPr>
          <w:rFonts w:hint="eastAsia" w:ascii="仿宋" w:hAnsi="仿宋" w:eastAsia="仿宋" w:cs="仿宋"/>
          <w:color w:val="auto"/>
          <w:sz w:val="32"/>
          <w:szCs w:val="32"/>
        </w:rPr>
        <w:fldChar w:fldCharType="end"/>
      </w:r>
      <w:r>
        <w:rPr>
          <w:rFonts w:hint="eastAsia" w:ascii="仿宋" w:hAnsi="仿宋" w:eastAsia="仿宋" w:cs="仿宋"/>
          <w:color w:val="auto"/>
          <w:sz w:val="32"/>
          <w:szCs w:val="32"/>
        </w:rPr>
        <w:t>国有资本经营预算收入</w:t>
      </w:r>
      <w:r>
        <w:rPr>
          <w:rFonts w:hint="eastAsia" w:ascii="仿宋" w:hAnsi="仿宋" w:eastAsia="仿宋" w:cs="仿宋"/>
          <w:color w:val="auto"/>
          <w:sz w:val="32"/>
          <w:szCs w:val="32"/>
          <w:lang w:eastAsia="zh-CN"/>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年(上一年度）预算增加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万元，增长（下降）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1.2</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1.2</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spacing w:line="560" w:lineRule="exact"/>
        <w:ind w:left="634" w:leftChars="284" w:hanging="38" w:hangingChars="12"/>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w:t>
      </w:r>
      <w:r>
        <w:rPr>
          <w:rFonts w:hint="eastAsia" w:ascii="仿宋" w:hAnsi="仿宋" w:eastAsia="仿宋" w:cs="仿宋"/>
          <w:color w:val="auto"/>
          <w:sz w:val="32"/>
          <w:szCs w:val="32"/>
        </w:rPr>
        <w:t>“三公”经费一般公共预算安排</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万元。其中：</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w:t>
      </w:r>
    </w:p>
    <w:p>
      <w:pPr>
        <w:spacing w:line="560" w:lineRule="exact"/>
        <w:ind w:firstLine="0" w:firstLineChars="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 xml:space="preserve">要原因是： </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万元，主要原因</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万元，比上年增（减）</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万元，主要</w:t>
      </w:r>
    </w:p>
    <w:p>
      <w:pPr>
        <w:spacing w:line="560" w:lineRule="exact"/>
        <w:ind w:firstLine="0" w:firstLineChars="0"/>
        <w:rPr>
          <w:rFonts w:ascii="仿宋" w:hAnsi="仿宋" w:eastAsia="仿宋" w:cs="仿宋"/>
          <w:color w:val="auto"/>
          <w:sz w:val="32"/>
          <w:szCs w:val="32"/>
        </w:rPr>
      </w:pPr>
      <w:r>
        <w:rPr>
          <w:rFonts w:hint="eastAsia" w:ascii="仿宋" w:hAnsi="仿宋" w:eastAsia="仿宋" w:cs="仿宋"/>
          <w:color w:val="auto"/>
          <w:sz w:val="32"/>
          <w:szCs w:val="32"/>
        </w:rPr>
        <w:t>原因是：</w:t>
      </w:r>
      <w:r>
        <w:rPr>
          <w:rFonts w:hint="eastAsia" w:ascii="仿宋" w:hAnsi="仿宋" w:eastAsia="仿宋" w:cs="仿宋"/>
          <w:color w:val="auto"/>
          <w:sz w:val="32"/>
          <w:szCs w:val="32"/>
          <w:lang w:eastAsia="zh-CN"/>
        </w:rPr>
        <w:t>与上年安排保持一致</w:t>
      </w:r>
      <w:r>
        <w:rPr>
          <w:rFonts w:hint="eastAsia" w:ascii="仿宋" w:hAnsi="仿宋" w:eastAsia="仿宋" w:cs="仿宋"/>
          <w:color w:val="auto"/>
          <w:sz w:val="32"/>
          <w:szCs w:val="32"/>
        </w:rPr>
        <w:t>。</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p>
    <w:p>
      <w:pPr>
        <w:pStyle w:val="2"/>
        <w:rPr>
          <w:rFonts w:hint="eastAsia" w:ascii="黑体" w:hAnsi="黑体" w:eastAsia="黑体" w:cs="黑体"/>
          <w:b w:val="0"/>
          <w:bCs w:val="0"/>
          <w:color w:val="auto"/>
          <w:sz w:val="32"/>
          <w:szCs w:val="32"/>
        </w:rPr>
      </w:pPr>
      <w:bookmarkStart w:id="0" w:name="_GoBack"/>
      <w:bookmarkEnd w:id="0"/>
    </w:p>
    <w:p>
      <w:pPr>
        <w:spacing w:line="560" w:lineRule="exact"/>
        <w:jc w:val="both"/>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卫生健康服务中心</w:t>
      </w:r>
      <w:r>
        <w:rPr>
          <w:rFonts w:hint="eastAsia" w:ascii="黑体" w:hAnsi="黑体" w:eastAsia="黑体" w:cs="黑体"/>
          <w:b w:val="0"/>
          <w:bCs w:val="0"/>
          <w:color w:val="auto"/>
          <w:sz w:val="32"/>
          <w:szCs w:val="32"/>
          <w:lang w:val="en-US" w:eastAsia="zh-CN"/>
        </w:rPr>
        <w:t>2022年</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pStyle w:val="2"/>
        <w:rPr>
          <w:rFonts w:hint="eastAsia"/>
        </w:rPr>
      </w:pPr>
      <w:r>
        <w:drawing>
          <wp:inline distT="0" distB="0" distL="114300" distR="114300">
            <wp:extent cx="5273675" cy="5184140"/>
            <wp:effectExtent l="0" t="0" r="3175"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5273675" cy="5184140"/>
                    </a:xfrm>
                    <a:prstGeom prst="rect">
                      <a:avLst/>
                    </a:prstGeom>
                    <a:noFill/>
                    <a:ln>
                      <a:noFill/>
                    </a:ln>
                  </pic:spPr>
                </pic:pic>
              </a:graphicData>
            </a:graphic>
          </wp:inline>
        </w:drawing>
      </w: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1"/>
        </w:numPr>
        <w:rPr>
          <w:rFonts w:hint="eastAsia" w:ascii="仿宋" w:hAnsi="仿宋" w:eastAsia="仿宋" w:cs="仿宋"/>
          <w:color w:val="auto"/>
          <w:sz w:val="32"/>
          <w:szCs w:val="32"/>
        </w:rPr>
      </w:pPr>
      <w:r>
        <w:rPr>
          <w:rFonts w:hint="eastAsia" w:ascii="仿宋" w:hAnsi="仿宋" w:eastAsia="仿宋" w:cs="仿宋"/>
          <w:color w:val="auto"/>
          <w:sz w:val="32"/>
          <w:szCs w:val="32"/>
        </w:rPr>
        <w:t>《部门收入总表》</w:t>
      </w:r>
    </w:p>
    <w:p>
      <w:pPr>
        <w:pStyle w:val="2"/>
        <w:numPr>
          <w:ilvl w:val="0"/>
          <w:numId w:val="0"/>
        </w:numPr>
        <w:rPr>
          <w:rFonts w:hint="eastAsia" w:ascii="仿宋" w:hAnsi="仿宋" w:eastAsia="仿宋" w:cs="仿宋"/>
          <w:color w:val="auto"/>
          <w:sz w:val="32"/>
          <w:szCs w:val="32"/>
        </w:rPr>
      </w:pPr>
      <w:r>
        <w:drawing>
          <wp:inline distT="0" distB="0" distL="114300" distR="114300">
            <wp:extent cx="5271135" cy="3214370"/>
            <wp:effectExtent l="0" t="0" r="5715"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5271135" cy="3214370"/>
                    </a:xfrm>
                    <a:prstGeom prst="rect">
                      <a:avLst/>
                    </a:prstGeom>
                    <a:noFill/>
                    <a:ln>
                      <a:noFill/>
                    </a:ln>
                  </pic:spPr>
                </pic:pic>
              </a:graphicData>
            </a:graphic>
          </wp:inline>
        </w:drawing>
      </w: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pStyle w:val="2"/>
        <w:numPr>
          <w:ilvl w:val="0"/>
          <w:numId w:val="0"/>
        </w:numPr>
        <w:rPr>
          <w:rFonts w:hint="eastAsia" w:ascii="仿宋" w:hAnsi="仿宋" w:eastAsia="仿宋" w:cs="仿宋"/>
          <w:color w:val="auto"/>
          <w:sz w:val="32"/>
          <w:szCs w:val="32"/>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《部门支出总表》</w:t>
      </w:r>
    </w:p>
    <w:p>
      <w:pPr>
        <w:pStyle w:val="2"/>
      </w:pPr>
      <w:r>
        <w:drawing>
          <wp:inline distT="0" distB="0" distL="114300" distR="114300">
            <wp:extent cx="5272405" cy="4835525"/>
            <wp:effectExtent l="0" t="0" r="4445"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272405" cy="483552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p>
      <w:pPr>
        <w:pStyle w:val="2"/>
      </w:pPr>
      <w:r>
        <w:drawing>
          <wp:inline distT="0" distB="0" distL="114300" distR="114300">
            <wp:extent cx="5274310" cy="5200015"/>
            <wp:effectExtent l="0" t="0" r="254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5274310" cy="520001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p>
      <w:pPr>
        <w:pStyle w:val="2"/>
      </w:pPr>
      <w:r>
        <w:drawing>
          <wp:inline distT="0" distB="0" distL="114300" distR="114300">
            <wp:extent cx="5270500" cy="3744595"/>
            <wp:effectExtent l="0" t="0" r="635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5270500" cy="374459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p>
      <w:pPr>
        <w:pStyle w:val="2"/>
      </w:pPr>
      <w:r>
        <w:drawing>
          <wp:inline distT="0" distB="0" distL="114300" distR="114300">
            <wp:extent cx="5272405" cy="4730750"/>
            <wp:effectExtent l="0" t="0" r="4445"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72405" cy="473075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p>
      <w:pPr>
        <w:pStyle w:val="2"/>
      </w:pPr>
      <w:r>
        <w:drawing>
          <wp:inline distT="0" distB="0" distL="114300" distR="114300">
            <wp:extent cx="5269230" cy="1141730"/>
            <wp:effectExtent l="0" t="0" r="762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69230" cy="114173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p>
      <w:pPr>
        <w:pStyle w:val="2"/>
      </w:pPr>
      <w:r>
        <w:drawing>
          <wp:inline distT="0" distB="0" distL="114300" distR="114300">
            <wp:extent cx="5271770" cy="1068070"/>
            <wp:effectExtent l="0" t="0" r="5080" b="177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71770" cy="1068070"/>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w:t>
      </w:r>
      <w:r>
        <w:rPr>
          <w:rFonts w:hint="eastAsia" w:ascii="仿宋" w:hAnsi="仿宋" w:eastAsia="仿宋" w:cs="仿宋"/>
          <w:color w:val="auto"/>
          <w:sz w:val="32"/>
          <w:szCs w:val="32"/>
        </w:rPr>
        <w:t>预算支出表》</w:t>
      </w:r>
    </w:p>
    <w:p>
      <w:pPr>
        <w:pStyle w:val="2"/>
      </w:pPr>
      <w:r>
        <w:drawing>
          <wp:inline distT="0" distB="0" distL="114300" distR="114300">
            <wp:extent cx="5266690" cy="1177925"/>
            <wp:effectExtent l="0" t="0" r="10160" b="317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266690" cy="1177925"/>
                    </a:xfrm>
                    <a:prstGeom prst="rect">
                      <a:avLst/>
                    </a:prstGeom>
                    <a:noFill/>
                    <a:ln>
                      <a:noFill/>
                    </a:ln>
                  </pic:spPr>
                </pic:pic>
              </a:graphicData>
            </a:graphic>
          </wp:inline>
        </w:drawing>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rPr>
          <w:rFonts w:hint="eastAsia"/>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《部门整体支出绩效目标表》</w:t>
      </w:r>
    </w:p>
    <w:p>
      <w:pPr>
        <w:pStyle w:val="2"/>
        <w:rPr>
          <w:rFonts w:hint="eastAsia"/>
          <w:color w:val="auto"/>
          <w:lang w:eastAsia="zh-CN"/>
        </w:rPr>
      </w:pPr>
      <w:r>
        <w:rPr>
          <w:rFonts w:hint="eastAsia"/>
          <w:color w:val="auto"/>
          <w:lang w:eastAsia="zh-CN"/>
        </w:rPr>
        <w:t>无</w:t>
      </w: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numPr>
          <w:ilvl w:val="0"/>
          <w:numId w:val="1"/>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《项目支出绩效目标表》</w:t>
      </w:r>
    </w:p>
    <w:p>
      <w:pPr>
        <w:pStyle w:val="2"/>
        <w:rPr>
          <w:rFonts w:hint="eastAsia"/>
          <w:color w:val="auto"/>
          <w:lang w:eastAsia="zh-CN"/>
        </w:rPr>
      </w:pPr>
      <w:r>
        <w:rPr>
          <w:rFonts w:hint="eastAsia"/>
          <w:color w:val="auto"/>
          <w:lang w:eastAsia="zh-CN"/>
        </w:rPr>
        <w:t>无</w:t>
      </w: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rPr>
          <w:rFonts w:hint="eastAsia"/>
          <w:color w:val="auto"/>
          <w:lang w:eastAsia="zh-CN"/>
        </w:rPr>
      </w:pP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（六）死亡抚恤：反映单位遗属人员生活补助。</w:t>
      </w:r>
    </w:p>
    <w:p>
      <w:pPr>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其他资本性支出：反映的用于购置固定资产以及构建基础设施所发生的支出。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92699"/>
    <w:multiLevelType w:val="singleLevel"/>
    <w:tmpl w:val="0E89269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zOGQyOWIyMTZjM2M2OWQ5YTg5NjQ1ODAwYjk5MTgifQ=="/>
  </w:docVars>
  <w:rsids>
    <w:rsidRoot w:val="31C93669"/>
    <w:rsid w:val="05D56A00"/>
    <w:rsid w:val="0B1526A9"/>
    <w:rsid w:val="15EA028F"/>
    <w:rsid w:val="1A824CBB"/>
    <w:rsid w:val="1E02311E"/>
    <w:rsid w:val="245231DD"/>
    <w:rsid w:val="250D5DE6"/>
    <w:rsid w:val="2B15456F"/>
    <w:rsid w:val="2B6E5792"/>
    <w:rsid w:val="31C93669"/>
    <w:rsid w:val="3692318D"/>
    <w:rsid w:val="38236100"/>
    <w:rsid w:val="38F22CE2"/>
    <w:rsid w:val="439E71A7"/>
    <w:rsid w:val="47EA6595"/>
    <w:rsid w:val="484E6398"/>
    <w:rsid w:val="5A1E31B8"/>
    <w:rsid w:val="5D715F41"/>
    <w:rsid w:val="6FAA1FE9"/>
    <w:rsid w:val="71E26560"/>
    <w:rsid w:val="7B5432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character" w:customStyle="1" w:styleId="5">
    <w:name w:val="row_tree_level_4"/>
    <w:basedOn w:val="4"/>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3252</Words>
  <Characters>3568</Characters>
  <Lines>0</Lines>
  <Paragraphs>0</Paragraphs>
  <TotalTime>177</TotalTime>
  <ScaleCrop>false</ScaleCrop>
  <LinksUpToDate>false</LinksUpToDate>
  <CharactersWithSpaces>3603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Administrator</cp:lastModifiedBy>
  <cp:lastPrinted>2023-06-19T06:54:58Z</cp:lastPrinted>
  <dcterms:modified xsi:type="dcterms:W3CDTF">2023-06-19T06:56:48Z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F003623FF1E34171A0D9CF385BE04B66</vt:lpwstr>
  </property>
</Properties>
</file>