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兴国县茶园乡卫生院2022年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茶园</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ind w:firstLine="640" w:firstLineChars="200"/>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茶园乡卫生院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13</w:t>
      </w:r>
      <w:r>
        <w:rPr>
          <w:rFonts w:ascii="仿宋" w:hAnsi="仿宋" w:eastAsia="仿宋"/>
          <w:color w:val="auto"/>
          <w:sz w:val="32"/>
          <w:szCs w:val="32"/>
        </w:rPr>
        <w:t>个，包括</w:t>
      </w:r>
      <w:r>
        <w:rPr>
          <w:rFonts w:hint="eastAsia" w:ascii="仿宋" w:hAnsi="仿宋" w:eastAsia="仿宋"/>
          <w:color w:val="auto"/>
          <w:sz w:val="32"/>
          <w:szCs w:val="32"/>
        </w:rPr>
        <w:t>：</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内外科、妇产科、中医馆、药剂科、收费室、化验室、护理组、B超室、DR室、心电图室、财务室、公卫科、办公室。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20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32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1</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仿宋" w:hAnsi="仿宋" w:eastAsia="仿宋" w:cs="仿宋"/>
          <w:b/>
          <w:bCs/>
          <w:color w:val="auto"/>
          <w:sz w:val="32"/>
          <w:szCs w:val="32"/>
          <w:lang w:val="en-US" w:eastAsia="zh-CN"/>
        </w:rPr>
        <w:t>茶园乡卫生院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774.27</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129.63</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20.10%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增减变化主要原因是：医疗专业技术人员的增加。</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val="en-US" w:eastAsia="zh-CN"/>
        </w:rPr>
        <w:t>财政拨款收入122.12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，占收入预算总额</w:t>
      </w:r>
      <w:r>
        <w:rPr>
          <w:rFonts w:hint="eastAsia" w:ascii="仿宋" w:hAnsi="仿宋" w:eastAsia="仿宋" w:cs="仿宋"/>
          <w:color w:val="auto"/>
          <w:sz w:val="30"/>
          <w:szCs w:val="30"/>
          <w:lang w:eastAsia="zh-CN"/>
        </w:rPr>
        <w:t>的</w:t>
      </w:r>
      <w:r>
        <w:rPr>
          <w:rFonts w:hint="eastAsia" w:ascii="仿宋" w:hAnsi="仿宋" w:eastAsia="仿宋" w:cs="仿宋"/>
          <w:color w:val="auto"/>
          <w:sz w:val="32"/>
          <w:szCs w:val="32"/>
          <w:lang w:val="en-US" w:eastAsia="zh-CN"/>
        </w:rPr>
        <w:t>15.77%，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18.15万元；事业收入652.15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，占收入预算总额的</w:t>
      </w:r>
      <w:r>
        <w:rPr>
          <w:rFonts w:hint="eastAsia" w:ascii="仿宋" w:hAnsi="仿宋" w:eastAsia="仿宋" w:cs="仿宋"/>
          <w:color w:val="auto"/>
          <w:sz w:val="32"/>
          <w:szCs w:val="32"/>
          <w:lang w:val="en-US" w:eastAsia="zh-CN"/>
        </w:rPr>
        <w:t>84.23%，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111.48万元。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774.27</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129.63</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20.10%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增减变化主要原因是：医疗专业技术人员的增加。</w:t>
      </w:r>
      <w:r>
        <w:rPr>
          <w:rFonts w:hint="eastAsia" w:ascii="仿宋" w:hAnsi="仿宋" w:eastAsia="仿宋" w:cs="仿宋"/>
          <w:color w:val="auto"/>
          <w:sz w:val="32"/>
          <w:szCs w:val="32"/>
        </w:rPr>
        <w:t>具体为：</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774.27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129.63</w:t>
      </w:r>
      <w:r>
        <w:rPr>
          <w:rFonts w:hint="eastAsia" w:ascii="仿宋" w:hAnsi="仿宋" w:eastAsia="仿宋" w:cs="仿宋"/>
          <w:color w:val="auto"/>
          <w:sz w:val="32"/>
          <w:szCs w:val="32"/>
          <w:lang w:eastAsia="zh-CN"/>
        </w:rPr>
        <w:t>万元，增加</w:t>
      </w:r>
      <w:r>
        <w:rPr>
          <w:rFonts w:hint="eastAsia" w:ascii="仿宋" w:hAnsi="仿宋" w:eastAsia="仿宋" w:cs="仿宋"/>
          <w:color w:val="auto"/>
          <w:sz w:val="32"/>
          <w:szCs w:val="32"/>
          <w:lang w:val="en-US" w:eastAsia="zh-CN"/>
        </w:rPr>
        <w:t>20.10%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其中：工资福利支出</w:t>
      </w:r>
      <w:r>
        <w:rPr>
          <w:rFonts w:hint="eastAsia" w:ascii="仿宋" w:hAnsi="仿宋" w:eastAsia="仿宋" w:cs="仿宋"/>
          <w:color w:val="auto"/>
          <w:sz w:val="32"/>
          <w:szCs w:val="32"/>
          <w:lang w:val="en-US" w:eastAsia="zh-CN"/>
        </w:rPr>
        <w:t>227.37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占预算总额的35.82%，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65.33万元；商品和服务支出381.90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占预算总额的49.32%，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23.1万元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 xml:space="preserve"> 对个人和家庭的补助 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资本性支出115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占预算总额的14.86%，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8.8万元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26.15</w:t>
      </w:r>
      <w:r>
        <w:rPr>
          <w:rFonts w:hint="eastAsia" w:ascii="仿宋" w:hAnsi="仿宋" w:eastAsia="仿宋" w:cs="仿宋"/>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占预算总额的3.4%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4.62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乡镇卫生院748.12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125.01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占预算总额的96.6%</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2022年本单位财政拨款（补助）支出预算122.12万元，占收入预算总额的15.77%，较上年预算安排增加18.15万元，增加17.46%。增减变化主要原因是：</w:t>
      </w:r>
      <w:r>
        <w:rPr>
          <w:rFonts w:hint="eastAsia" w:ascii="仿宋" w:hAnsi="仿宋" w:eastAsia="仿宋" w:cs="仿宋"/>
          <w:color w:val="auto"/>
          <w:sz w:val="32"/>
          <w:szCs w:val="32"/>
          <w:lang w:eastAsia="zh-CN"/>
        </w:rPr>
        <w:t>医疗专业技术人员的增加</w:t>
      </w: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按支出经济分类科目划分：基本支出122.12万元，较上年预算安排增加18.15万元，其中：工资福利支出122.12万元，</w:t>
      </w:r>
      <w:r>
        <w:rPr>
          <w:rFonts w:hint="eastAsia" w:ascii="仿宋" w:hAnsi="仿宋" w:eastAsia="仿宋" w:cs="仿宋"/>
          <w:color w:val="auto"/>
          <w:sz w:val="30"/>
          <w:szCs w:val="30"/>
          <w:lang w:val="en-US" w:eastAsia="zh-CN"/>
        </w:rPr>
        <w:t>占财政拨款总额的100%，</w:t>
      </w:r>
      <w:r>
        <w:rPr>
          <w:rFonts w:hint="eastAsia" w:ascii="仿宋" w:hAnsi="仿宋" w:eastAsia="仿宋" w:cs="仿宋"/>
          <w:color w:val="auto"/>
          <w:sz w:val="32"/>
          <w:szCs w:val="32"/>
          <w:lang w:val="en-US" w:eastAsia="zh-CN"/>
        </w:rPr>
        <w:t>较上年预算安排增加18.15万元；项目支出0万元，较上年预算安排增加0万元。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15.53</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lang w:val="en-US" w:eastAsia="zh-CN"/>
        </w:rPr>
        <w:t>占预算总额的12.71%，较上年预算安排增加2.28万元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w:t>
      </w:r>
      <w:r>
        <w:rPr>
          <w:rFonts w:hint="eastAsia" w:ascii="仿宋" w:hAnsi="仿宋" w:eastAsia="仿宋" w:cs="仿宋"/>
          <w:color w:val="auto"/>
          <w:sz w:val="32"/>
          <w:szCs w:val="32"/>
          <w:lang w:val="en-US" w:eastAsia="zh-CN"/>
        </w:rPr>
        <w:t>卫生院106.59万元，占预算总额的87.3%，较上年预算安排增加15.87万元。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政府性基金情况</w:t>
      </w:r>
    </w:p>
    <w:p>
      <w:pPr>
        <w:pStyle w:val="2"/>
        <w:numPr>
          <w:ilvl w:val="0"/>
          <w:numId w:val="0"/>
        </w:numPr>
        <w:ind w:firstLine="640" w:firstLineChars="200"/>
        <w:rPr>
          <w:rFonts w:hint="eastAsia"/>
          <w:lang w:eastAsia="zh-CN"/>
        </w:rPr>
      </w:pPr>
      <w:r>
        <w:rPr>
          <w:rFonts w:hint="eastAsia"/>
          <w:lang w:eastAsia="zh-CN"/>
        </w:rPr>
        <w:t>无政府性基金预算拨款安排的支出</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国有资本经营情况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本单位国有资本经营</w:t>
      </w:r>
      <w:r>
        <w:rPr>
          <w:rFonts w:hint="eastAsia" w:ascii="仿宋" w:hAnsi="仿宋" w:eastAsia="仿宋" w:cs="仿宋"/>
          <w:color w:val="auto"/>
          <w:sz w:val="32"/>
          <w:szCs w:val="32"/>
        </w:rPr>
        <w:t>支出</w:t>
      </w:r>
      <w:r>
        <w:rPr>
          <w:rFonts w:hint="eastAsia" w:ascii="仿宋" w:hAnsi="仿宋" w:eastAsia="仿宋" w:cs="仿宋"/>
          <w:color w:val="auto"/>
          <w:sz w:val="32"/>
          <w:szCs w:val="32"/>
          <w:lang w:eastAsia="zh-CN"/>
        </w:rPr>
        <w:t>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万元，本单位无国有资本经营预算收入</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115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115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2</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特殊用途车2辆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茶园乡卫生院2022年</w:t>
      </w:r>
      <w:r>
        <w:rPr>
          <w:rFonts w:hint="eastAsia" w:ascii="黑体" w:hAnsi="黑体" w:eastAsia="黑体" w:cs="黑体"/>
          <w:b w:val="0"/>
          <w:bCs w:val="0"/>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lang w:eastAsia="zh-CN"/>
        </w:rPr>
      </w:pPr>
      <w:r>
        <w:drawing>
          <wp:inline distT="0" distB="0" distL="114300" distR="114300">
            <wp:extent cx="7829550" cy="41052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29550" cy="4105275"/>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rPr>
          <w:rFonts w:hint="eastAsia" w:eastAsia="仿宋"/>
          <w:lang w:eastAsia="zh-CN"/>
        </w:rPr>
      </w:pPr>
      <w:r>
        <w:drawing>
          <wp:inline distT="0" distB="0" distL="114300" distR="114300">
            <wp:extent cx="9229725" cy="46101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9229725" cy="4610100"/>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lang w:eastAsia="zh-CN"/>
        </w:rPr>
      </w:pPr>
      <w:r>
        <w:drawing>
          <wp:inline distT="0" distB="0" distL="114300" distR="114300">
            <wp:extent cx="7800975" cy="47053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7800975" cy="4705350"/>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ascii="仿宋" w:hAnsi="仿宋" w:eastAsia="仿宋" w:cs="仿宋"/>
          <w:color w:val="auto"/>
          <w:sz w:val="32"/>
          <w:szCs w:val="32"/>
          <w:lang w:eastAsia="zh-CN"/>
        </w:rPr>
      </w:pPr>
      <w:r>
        <w:drawing>
          <wp:inline distT="0" distB="0" distL="114300" distR="114300">
            <wp:extent cx="9239250" cy="29813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9239250" cy="2981325"/>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pPr>
      <w:r>
        <w:drawing>
          <wp:inline distT="0" distB="0" distL="114300" distR="114300">
            <wp:extent cx="7800975" cy="42957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7800975" cy="4295775"/>
                    </a:xfrm>
                    <a:prstGeom prst="rect">
                      <a:avLst/>
                    </a:prstGeom>
                    <a:noFill/>
                    <a:ln>
                      <a:noFill/>
                    </a:ln>
                  </pic:spPr>
                </pic:pic>
              </a:graphicData>
            </a:graphic>
          </wp:inline>
        </w:drawing>
      </w:r>
    </w:p>
    <w:p>
      <w:pPr>
        <w:pStyle w:val="2"/>
      </w:pPr>
    </w:p>
    <w:p>
      <w:pPr>
        <w:pStyle w:val="2"/>
      </w:pPr>
    </w:p>
    <w:p>
      <w:pPr>
        <w:pStyle w:val="2"/>
        <w:rPr>
          <w:rFonts w:hint="eastAsia"/>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ascii="仿宋" w:hAnsi="仿宋" w:eastAsia="仿宋" w:cs="仿宋"/>
          <w:color w:val="auto"/>
          <w:sz w:val="32"/>
          <w:szCs w:val="32"/>
          <w:lang w:eastAsia="zh-CN"/>
        </w:rPr>
      </w:pPr>
      <w:r>
        <w:drawing>
          <wp:inline distT="0" distB="0" distL="114300" distR="114300">
            <wp:extent cx="9773920" cy="3768090"/>
            <wp:effectExtent l="0" t="0" r="1778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9773920" cy="3768090"/>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505950" cy="22574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9505950" cy="2257425"/>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r>
        <w:drawing>
          <wp:inline distT="0" distB="0" distL="114300" distR="114300">
            <wp:extent cx="9477375" cy="24669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9477375" cy="246697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r>
        <w:drawing>
          <wp:inline distT="0" distB="0" distL="114300" distR="114300">
            <wp:extent cx="9774555" cy="2296160"/>
            <wp:effectExtent l="0" t="0" r="17145"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9774555" cy="2296160"/>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w:t>
      </w:r>
      <w:bookmarkStart w:id="0" w:name="_GoBack"/>
      <w:bookmarkEnd w:id="0"/>
      <w:r>
        <w:rPr>
          <w:rFonts w:hint="eastAsia" w:ascii="仿宋" w:hAnsi="仿宋" w:eastAsia="仿宋" w:cs="仿宋"/>
          <w:color w:val="auto"/>
          <w:sz w:val="32"/>
          <w:szCs w:val="32"/>
        </w:rPr>
        <w:t>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19842"/>
    <w:multiLevelType w:val="singleLevel"/>
    <w:tmpl w:val="A9E19842"/>
    <w:lvl w:ilvl="0" w:tentative="0">
      <w:start w:val="4"/>
      <w:numFmt w:val="chineseCounting"/>
      <w:suff w:val="nothing"/>
      <w:lvlText w:val="（%1）"/>
      <w:lvlJc w:val="left"/>
      <w:rPr>
        <w:rFonts w:hint="eastAsia"/>
      </w:rPr>
    </w:lvl>
  </w:abstractNum>
  <w:abstractNum w:abstractNumId="1">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DB2D9A"/>
    <w:rsid w:val="033F65AC"/>
    <w:rsid w:val="04AA47FB"/>
    <w:rsid w:val="05033781"/>
    <w:rsid w:val="06913258"/>
    <w:rsid w:val="06EB2968"/>
    <w:rsid w:val="0774295E"/>
    <w:rsid w:val="090F7836"/>
    <w:rsid w:val="09C73CC8"/>
    <w:rsid w:val="0C5D030A"/>
    <w:rsid w:val="0C9F0180"/>
    <w:rsid w:val="0CC7558C"/>
    <w:rsid w:val="0DFC3E81"/>
    <w:rsid w:val="0F305284"/>
    <w:rsid w:val="0F981BA6"/>
    <w:rsid w:val="0FF7412C"/>
    <w:rsid w:val="116B728B"/>
    <w:rsid w:val="120E39AF"/>
    <w:rsid w:val="12413D84"/>
    <w:rsid w:val="128B4058"/>
    <w:rsid w:val="130C7119"/>
    <w:rsid w:val="157E0E4B"/>
    <w:rsid w:val="16247C45"/>
    <w:rsid w:val="16E3540A"/>
    <w:rsid w:val="174F484D"/>
    <w:rsid w:val="175E2CE2"/>
    <w:rsid w:val="17850B4F"/>
    <w:rsid w:val="18187335"/>
    <w:rsid w:val="181C2B4F"/>
    <w:rsid w:val="19153875"/>
    <w:rsid w:val="194505FE"/>
    <w:rsid w:val="1A9D669C"/>
    <w:rsid w:val="1AAE2C1F"/>
    <w:rsid w:val="1AC07BCE"/>
    <w:rsid w:val="1AC92B69"/>
    <w:rsid w:val="1AD35795"/>
    <w:rsid w:val="1B7F0948"/>
    <w:rsid w:val="1BCE1278"/>
    <w:rsid w:val="1C6C108F"/>
    <w:rsid w:val="1D1F2F14"/>
    <w:rsid w:val="1F5922CD"/>
    <w:rsid w:val="20607ACB"/>
    <w:rsid w:val="21006EE6"/>
    <w:rsid w:val="21FC1A76"/>
    <w:rsid w:val="220A4192"/>
    <w:rsid w:val="22AC524A"/>
    <w:rsid w:val="23623B5A"/>
    <w:rsid w:val="24977834"/>
    <w:rsid w:val="25172CD9"/>
    <w:rsid w:val="271E6A5F"/>
    <w:rsid w:val="27AB1CB6"/>
    <w:rsid w:val="282F2AF8"/>
    <w:rsid w:val="293B2E83"/>
    <w:rsid w:val="29C56BF1"/>
    <w:rsid w:val="2A597E09"/>
    <w:rsid w:val="2A833419"/>
    <w:rsid w:val="2AC800C8"/>
    <w:rsid w:val="2C6C77F8"/>
    <w:rsid w:val="2C8E3C12"/>
    <w:rsid w:val="2D2347EC"/>
    <w:rsid w:val="2D7D50EB"/>
    <w:rsid w:val="2E7F1A64"/>
    <w:rsid w:val="2E950348"/>
    <w:rsid w:val="2EB060C2"/>
    <w:rsid w:val="2F154177"/>
    <w:rsid w:val="2FB219C5"/>
    <w:rsid w:val="2FD8767E"/>
    <w:rsid w:val="31C93669"/>
    <w:rsid w:val="32700042"/>
    <w:rsid w:val="33DA3717"/>
    <w:rsid w:val="343C3F54"/>
    <w:rsid w:val="346C4839"/>
    <w:rsid w:val="354E03E2"/>
    <w:rsid w:val="360A4309"/>
    <w:rsid w:val="38037262"/>
    <w:rsid w:val="388D1D36"/>
    <w:rsid w:val="393A4831"/>
    <w:rsid w:val="394A0EC1"/>
    <w:rsid w:val="3D544CB7"/>
    <w:rsid w:val="3E175992"/>
    <w:rsid w:val="3F0C7A11"/>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EFB08F6"/>
    <w:rsid w:val="4EFB714D"/>
    <w:rsid w:val="4F9C55BF"/>
    <w:rsid w:val="50CB7DCA"/>
    <w:rsid w:val="51031C29"/>
    <w:rsid w:val="51840FBC"/>
    <w:rsid w:val="51CB6BEB"/>
    <w:rsid w:val="51F22534"/>
    <w:rsid w:val="52681863"/>
    <w:rsid w:val="52D01FDF"/>
    <w:rsid w:val="53A042C7"/>
    <w:rsid w:val="54CB0CB0"/>
    <w:rsid w:val="553C0616"/>
    <w:rsid w:val="554F368F"/>
    <w:rsid w:val="55D3606E"/>
    <w:rsid w:val="56044479"/>
    <w:rsid w:val="56811F6E"/>
    <w:rsid w:val="57061740"/>
    <w:rsid w:val="58AC6244"/>
    <w:rsid w:val="58BC2EB0"/>
    <w:rsid w:val="58F5279F"/>
    <w:rsid w:val="594159E5"/>
    <w:rsid w:val="5ABC3575"/>
    <w:rsid w:val="5BFD0408"/>
    <w:rsid w:val="5C723E7A"/>
    <w:rsid w:val="5EA600B9"/>
    <w:rsid w:val="5F693DE4"/>
    <w:rsid w:val="60587E80"/>
    <w:rsid w:val="62775B17"/>
    <w:rsid w:val="63536A40"/>
    <w:rsid w:val="64D11D53"/>
    <w:rsid w:val="65E322FD"/>
    <w:rsid w:val="66B31DD3"/>
    <w:rsid w:val="66E005EB"/>
    <w:rsid w:val="672A7E5E"/>
    <w:rsid w:val="685360F8"/>
    <w:rsid w:val="69A9560C"/>
    <w:rsid w:val="6AFF7CB3"/>
    <w:rsid w:val="6D0B14CF"/>
    <w:rsid w:val="6D8819DC"/>
    <w:rsid w:val="6DB91B96"/>
    <w:rsid w:val="6DCB5401"/>
    <w:rsid w:val="6E9879FD"/>
    <w:rsid w:val="706E4EB9"/>
    <w:rsid w:val="712C09DD"/>
    <w:rsid w:val="72007D93"/>
    <w:rsid w:val="726B5B54"/>
    <w:rsid w:val="73C82B32"/>
    <w:rsid w:val="73FB0186"/>
    <w:rsid w:val="75153B55"/>
    <w:rsid w:val="75AB6156"/>
    <w:rsid w:val="76514C17"/>
    <w:rsid w:val="773109EF"/>
    <w:rsid w:val="77476464"/>
    <w:rsid w:val="78574485"/>
    <w:rsid w:val="78A83695"/>
    <w:rsid w:val="78B43685"/>
    <w:rsid w:val="7A074F0E"/>
    <w:rsid w:val="7B947027"/>
    <w:rsid w:val="7BE81275"/>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2782</Words>
  <Characters>3056</Characters>
  <Lines>0</Lines>
  <Paragraphs>0</Paragraphs>
  <TotalTime>5</TotalTime>
  <ScaleCrop>false</ScaleCrop>
  <LinksUpToDate>false</LinksUpToDate>
  <CharactersWithSpaces>3082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2023-06-19T03:55:47Z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F312DFDB912C45188F9C3083D5FDA0CC_13</vt:lpwstr>
  </property>
</Properties>
</file>