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val="en-US" w:eastAsia="zh-CN"/>
        </w:rPr>
        <w:t>兴国县古龙岗镇中心卫生院2022年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古龙岗镇中心</w:t>
      </w:r>
      <w:r>
        <w:rPr>
          <w:rFonts w:hint="eastAsia" w:ascii="仿宋" w:hAnsi="仿宋" w:eastAsia="仿宋" w:cs="仿宋"/>
          <w:b/>
          <w:bCs/>
          <w:color w:val="auto"/>
          <w:sz w:val="32"/>
          <w:szCs w:val="32"/>
          <w:lang w:val="en-US" w:eastAsia="zh-CN"/>
        </w:rPr>
        <w:t>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古龙岗镇中心</w:t>
      </w:r>
      <w:r>
        <w:rPr>
          <w:rFonts w:hint="eastAsia" w:ascii="仿宋" w:hAnsi="仿宋" w:eastAsia="仿宋" w:cs="仿宋"/>
          <w:b/>
          <w:bCs/>
          <w:color w:val="auto"/>
          <w:sz w:val="32"/>
          <w:szCs w:val="32"/>
          <w:lang w:val="en-US" w:eastAsia="zh-CN"/>
        </w:rPr>
        <w:t>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b w:val="0"/>
          <w:bCs w:val="0"/>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古龙岗镇中心</w:t>
      </w:r>
      <w:r>
        <w:rPr>
          <w:rFonts w:hint="eastAsia" w:ascii="仿宋" w:hAnsi="仿宋" w:eastAsia="仿宋" w:cs="仿宋"/>
          <w:b/>
          <w:bCs/>
          <w:color w:val="auto"/>
          <w:sz w:val="32"/>
          <w:szCs w:val="32"/>
          <w:lang w:val="en-US" w:eastAsia="zh-CN"/>
        </w:rPr>
        <w:t>卫生院</w:t>
      </w:r>
      <w:r>
        <w:rPr>
          <w:rFonts w:hint="eastAsia" w:ascii="仿宋" w:hAnsi="仿宋" w:eastAsia="仿宋" w:cs="仿宋"/>
          <w:b/>
          <w:bCs/>
          <w:color w:val="auto"/>
          <w:sz w:val="32"/>
          <w:szCs w:val="32"/>
        </w:rPr>
        <w:t>单位预算表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leftChars="272"/>
        <w:textAlignment w:val="auto"/>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leftChars="272"/>
        <w:textAlignment w:val="auto"/>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keepNext w:val="0"/>
        <w:keepLines w:val="0"/>
        <w:pageBreakBefore w:val="0"/>
        <w:widowControl w:val="0"/>
        <w:kinsoku/>
        <w:wordWrap/>
        <w:overflowPunct/>
        <w:topLinePunct w:val="0"/>
        <w:autoSpaceDE/>
        <w:autoSpaceDN/>
        <w:bidi w:val="0"/>
        <w:adjustRightInd/>
        <w:snapToGrid/>
        <w:spacing w:line="50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keepNext w:val="0"/>
        <w:keepLines w:val="0"/>
        <w:pageBreakBefore w:val="0"/>
        <w:widowControl w:val="0"/>
        <w:kinsoku/>
        <w:wordWrap/>
        <w:overflowPunct/>
        <w:topLinePunct w:val="0"/>
        <w:autoSpaceDE/>
        <w:autoSpaceDN/>
        <w:bidi w:val="0"/>
        <w:adjustRightInd/>
        <w:snapToGrid/>
        <w:spacing w:line="50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keepNext w:val="0"/>
        <w:keepLines w:val="0"/>
        <w:pageBreakBefore w:val="0"/>
        <w:widowControl w:val="0"/>
        <w:kinsoku/>
        <w:wordWrap/>
        <w:overflowPunct/>
        <w:topLinePunct w:val="0"/>
        <w:autoSpaceDE/>
        <w:autoSpaceDN/>
        <w:bidi w:val="0"/>
        <w:adjustRightInd/>
        <w:snapToGrid/>
        <w:spacing w:line="50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keepNext w:val="0"/>
        <w:keepLines w:val="0"/>
        <w:pageBreakBefore w:val="0"/>
        <w:widowControl w:val="0"/>
        <w:kinsoku/>
        <w:wordWrap/>
        <w:overflowPunct/>
        <w:topLinePunct w:val="0"/>
        <w:autoSpaceDE/>
        <w:autoSpaceDN/>
        <w:bidi w:val="0"/>
        <w:adjustRightInd/>
        <w:snapToGrid/>
        <w:spacing w:line="500" w:lineRule="atLeas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keepNext w:val="0"/>
        <w:keepLines w:val="0"/>
        <w:pageBreakBefore w:val="0"/>
        <w:widowControl w:val="0"/>
        <w:kinsoku/>
        <w:wordWrap/>
        <w:overflowPunct/>
        <w:topLinePunct w:val="0"/>
        <w:autoSpaceDE/>
        <w:autoSpaceDN/>
        <w:bidi w:val="0"/>
        <w:adjustRightInd/>
        <w:snapToGrid/>
        <w:spacing w:line="500" w:lineRule="atLeast"/>
        <w:ind w:firstLine="640" w:firstLineChars="200"/>
        <w:textAlignment w:val="auto"/>
        <w:rPr>
          <w:rFonts w:hint="default" w:eastAsia="仿宋"/>
          <w:lang w:val="en-US" w:eastAsia="zh-CN"/>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部门整体支出绩效目标表</w:t>
      </w:r>
      <w:r>
        <w:rPr>
          <w:rFonts w:hint="eastAsia" w:ascii="仿宋" w:hAnsi="仿宋" w:eastAsia="仿宋" w:cs="仿宋"/>
          <w:color w:val="auto"/>
          <w:sz w:val="32"/>
          <w:szCs w:val="32"/>
        </w:rPr>
        <w:t>》</w:t>
      </w:r>
    </w:p>
    <w:p>
      <w:pPr>
        <w:pStyle w:val="2"/>
        <w:keepNext w:val="0"/>
        <w:keepLines w:val="0"/>
        <w:pageBreakBefore w:val="0"/>
        <w:widowControl w:val="0"/>
        <w:kinsoku/>
        <w:wordWrap/>
        <w:overflowPunct/>
        <w:topLinePunct w:val="0"/>
        <w:autoSpaceDE/>
        <w:autoSpaceDN/>
        <w:bidi w:val="0"/>
        <w:adjustRightInd/>
        <w:snapToGrid/>
        <w:spacing w:line="500" w:lineRule="atLeast"/>
        <w:textAlignment w:val="auto"/>
        <w:rPr>
          <w:rFonts w:hint="default" w:eastAsia="仿宋"/>
          <w:lang w:val="en-US" w:eastAsia="zh-CN"/>
        </w:rPr>
      </w:pPr>
      <w:r>
        <w:rPr>
          <w:rFonts w:hint="eastAsia" w:ascii="仿宋" w:hAnsi="仿宋" w:eastAsia="仿宋" w:cs="仿宋"/>
          <w:color w:val="auto"/>
          <w:sz w:val="32"/>
          <w:szCs w:val="32"/>
          <w:lang w:val="en-US" w:eastAsia="zh-CN"/>
        </w:rPr>
        <w:t xml:space="preserve">    十一、</w:t>
      </w:r>
      <w:r>
        <w:rPr>
          <w:rFonts w:hint="eastAsia" w:ascii="仿宋" w:hAnsi="仿宋" w:eastAsia="仿宋" w:cs="仿宋"/>
          <w:color w:val="auto"/>
          <w:sz w:val="32"/>
          <w:szCs w:val="32"/>
        </w:rPr>
        <w:t>《项目支出绩效目标表》</w:t>
      </w:r>
    </w:p>
    <w:p>
      <w:pPr>
        <w:numPr>
          <w:ilvl w:val="0"/>
          <w:numId w:val="0"/>
        </w:numPr>
        <w:spacing w:line="560" w:lineRule="exact"/>
        <w:ind w:firstLine="2249" w:firstLineChars="700"/>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古龙岗镇中心</w:t>
      </w:r>
      <w:r>
        <w:rPr>
          <w:rFonts w:hint="eastAsia" w:ascii="仿宋" w:hAnsi="仿宋" w:eastAsia="仿宋" w:cs="仿宋"/>
          <w:b/>
          <w:bCs/>
          <w:color w:val="auto"/>
          <w:sz w:val="32"/>
          <w:szCs w:val="32"/>
          <w:lang w:val="en-US" w:eastAsia="zh-CN"/>
        </w:rPr>
        <w:t>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60" w:lineRule="exact"/>
        <w:ind w:firstLine="640" w:firstLineChars="200"/>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eastAsia="zh-CN"/>
        </w:rPr>
        <w:t>古龙岗镇中心卫生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eastAsia="zh-CN"/>
        </w:rPr>
        <w:t>镇</w:t>
      </w:r>
      <w:r>
        <w:rPr>
          <w:rFonts w:hint="eastAsia" w:ascii="仿宋" w:hAnsi="仿宋" w:eastAsia="仿宋" w:cs="仿宋"/>
          <w:sz w:val="32"/>
          <w:szCs w:val="32"/>
        </w:rPr>
        <w:t>卫生院应承担本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古龙岗镇中心</w:t>
      </w:r>
      <w:r>
        <w:rPr>
          <w:rFonts w:hint="eastAsia" w:ascii="仿宋" w:hAnsi="仿宋" w:eastAsia="仿宋" w:cs="仿宋"/>
          <w:b w:val="0"/>
          <w:bCs w:val="0"/>
          <w:color w:val="auto"/>
          <w:sz w:val="32"/>
          <w:szCs w:val="32"/>
          <w:lang w:val="en-US" w:eastAsia="zh-CN"/>
        </w:rPr>
        <w:t>卫生院</w:t>
      </w:r>
      <w:r>
        <w:rPr>
          <w:rFonts w:hint="eastAsia" w:ascii="仿宋" w:hAnsi="仿宋" w:eastAsia="仿宋"/>
          <w:color w:val="auto"/>
          <w:sz w:val="32"/>
          <w:szCs w:val="32"/>
          <w:lang w:eastAsia="zh-CN"/>
        </w:rPr>
        <w:t>单位内设</w:t>
      </w:r>
      <w:r>
        <w:rPr>
          <w:rFonts w:hint="eastAsia" w:ascii="仿宋" w:hAnsi="仿宋" w:eastAsia="仿宋"/>
          <w:color w:val="auto"/>
          <w:sz w:val="32"/>
          <w:szCs w:val="32"/>
          <w:lang w:val="en-US" w:eastAsia="zh-CN"/>
        </w:rPr>
        <w:t>科室</w:t>
      </w:r>
      <w:r>
        <w:rPr>
          <w:rFonts w:hint="eastAsia" w:ascii="仿宋" w:hAnsi="仿宋" w:eastAsia="仿宋"/>
          <w:color w:val="auto"/>
          <w:sz w:val="32"/>
          <w:szCs w:val="32"/>
          <w:u w:val="none"/>
          <w:lang w:val="en-US" w:eastAsia="zh-CN"/>
        </w:rPr>
        <w:t>10</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内外科、儿科、妇产科、B超室、收费室、护理组、中医馆、财务室、公卫科、办公室。</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lang w:val="en-US" w:eastAsia="zh-CN"/>
        </w:rPr>
        <w:t>47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rPr>
        <w:t>人,参照公务员管理的事业编制人数</w:t>
      </w:r>
      <w:r>
        <w:rPr>
          <w:rFonts w:hint="eastAsia" w:ascii="仿宋" w:hAnsi="仿宋" w:eastAsia="仿宋"/>
          <w:color w:val="auto"/>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事业编制人数</w:t>
      </w:r>
      <w:r>
        <w:rPr>
          <w:rFonts w:hint="eastAsia" w:ascii="仿宋" w:hAnsi="仿宋" w:eastAsia="仿宋"/>
          <w:color w:val="auto"/>
          <w:sz w:val="32"/>
          <w:szCs w:val="32"/>
          <w:lang w:val="en-US" w:eastAsia="zh-CN"/>
        </w:rPr>
        <w:t>47</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olor w:val="auto"/>
          <w:sz w:val="32"/>
          <w:szCs w:val="32"/>
          <w:lang w:val="en-US" w:eastAsia="zh-CN"/>
        </w:rPr>
        <w:t>44</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olor w:val="auto"/>
          <w:sz w:val="32"/>
          <w:szCs w:val="32"/>
          <w:lang w:val="en-US" w:eastAsia="zh-CN"/>
        </w:rPr>
        <w:t>44</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事业在职人数</w:t>
      </w:r>
      <w:r>
        <w:rPr>
          <w:rFonts w:hint="eastAsia" w:ascii="仿宋" w:hAnsi="仿宋" w:eastAsia="仿宋"/>
          <w:color w:val="auto"/>
          <w:sz w:val="32"/>
          <w:szCs w:val="32"/>
          <w:lang w:val="en-US" w:eastAsia="zh-CN"/>
        </w:rPr>
        <w:t>44</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olor w:val="auto"/>
          <w:sz w:val="32"/>
          <w:szCs w:val="32"/>
          <w:lang w:val="en-US" w:eastAsia="zh-CN"/>
        </w:rPr>
        <w:t>8</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olor w:val="auto"/>
          <w:sz w:val="32"/>
          <w:szCs w:val="32"/>
          <w:lang w:val="en-US" w:eastAsia="zh-CN"/>
        </w:rPr>
        <w:t>2</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古龙岗镇中心</w:t>
      </w:r>
      <w:r>
        <w:rPr>
          <w:rFonts w:hint="eastAsia" w:ascii="仿宋" w:hAnsi="仿宋" w:eastAsia="仿宋" w:cs="仿宋"/>
          <w:b/>
          <w:bCs/>
          <w:color w:val="auto"/>
          <w:sz w:val="32"/>
          <w:szCs w:val="32"/>
          <w:lang w:val="en-US" w:eastAsia="zh-CN"/>
        </w:rPr>
        <w:t>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0"/>
          <w:szCs w:val="30"/>
          <w:lang w:val="en-US" w:eastAsia="zh-CN"/>
        </w:rPr>
        <w:t>2251.81</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355.39</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13.63%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医疗业务收入受疫情影响减少</w:t>
      </w:r>
      <w:r>
        <w:rPr>
          <w:rFonts w:hint="eastAsia" w:ascii="仿宋" w:hAnsi="仿宋" w:eastAsia="仿宋" w:cs="仿宋"/>
          <w:color w:val="auto"/>
          <w:sz w:val="32"/>
          <w:szCs w:val="32"/>
          <w:lang w:eastAsia="zh-CN"/>
        </w:rPr>
        <w:t>。</w:t>
      </w:r>
    </w:p>
    <w:p>
      <w:pPr>
        <w:spacing w:line="560" w:lineRule="exact"/>
        <w:ind w:firstLine="600" w:firstLineChars="200"/>
        <w:rPr>
          <w:rFonts w:hint="default"/>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0"/>
          <w:szCs w:val="30"/>
          <w:lang w:val="en-US" w:eastAsia="zh-CN"/>
        </w:rPr>
        <w:t>财政拨款收入</w:t>
      </w:r>
      <w:r>
        <w:rPr>
          <w:rFonts w:hint="eastAsia" w:ascii="仿宋" w:hAnsi="仿宋" w:eastAsia="仿宋" w:cs="仿宋"/>
          <w:sz w:val="32"/>
          <w:szCs w:val="32"/>
          <w:lang w:val="en-US" w:eastAsia="zh-CN"/>
        </w:rPr>
        <w:t>306.18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13.59%，</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加86.56万元；事业收入1945.63</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86.41%，</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441.95万元。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sz w:val="32"/>
          <w:szCs w:val="32"/>
          <w:lang w:val="en-US" w:eastAsia="zh-CN"/>
        </w:rPr>
        <w:t>2251.81</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355.39</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13.63%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医疗业务收入受疫情影响减少</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sz w:val="32"/>
          <w:szCs w:val="32"/>
          <w:lang w:val="en-US" w:eastAsia="zh-CN"/>
        </w:rPr>
        <w:t>2251.81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355.39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0"/>
          <w:szCs w:val="30"/>
          <w:lang w:eastAsia="zh-CN"/>
        </w:rPr>
        <w:t>其中：工资福利支出</w:t>
      </w:r>
      <w:r>
        <w:rPr>
          <w:rFonts w:hint="eastAsia" w:ascii="仿宋" w:hAnsi="仿宋" w:eastAsia="仿宋" w:cs="仿宋"/>
          <w:sz w:val="32"/>
          <w:szCs w:val="32"/>
          <w:lang w:val="en-US" w:eastAsia="zh-CN"/>
        </w:rPr>
        <w:t>735.16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占预算总额的32.65%，</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加168.91万元；</w:t>
      </w:r>
      <w:r>
        <w:rPr>
          <w:rFonts w:hint="eastAsia" w:ascii="仿宋" w:hAnsi="仿宋" w:eastAsia="仿宋" w:cs="仿宋"/>
          <w:color w:val="auto"/>
          <w:sz w:val="30"/>
          <w:szCs w:val="30"/>
          <w:lang w:val="en-US" w:eastAsia="zh-CN"/>
        </w:rPr>
        <w:t>商品和服务支出</w:t>
      </w:r>
      <w:r>
        <w:rPr>
          <w:rFonts w:hint="eastAsia" w:ascii="仿宋" w:hAnsi="仿宋" w:eastAsia="仿宋" w:cs="仿宋"/>
          <w:sz w:val="32"/>
          <w:szCs w:val="32"/>
          <w:lang w:val="en-US" w:eastAsia="zh-CN"/>
        </w:rPr>
        <w:t>1184.6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占预算总额的52.60%，</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180.6万元</w:t>
      </w:r>
      <w:r>
        <w:rPr>
          <w:rFonts w:hint="eastAsia" w:ascii="仿宋" w:hAnsi="仿宋" w:eastAsia="仿宋" w:cs="仿宋"/>
          <w:color w:val="auto"/>
          <w:sz w:val="30"/>
          <w:szCs w:val="30"/>
          <w:lang w:eastAsia="zh-CN"/>
        </w:rPr>
        <w:t>；</w:t>
      </w:r>
      <w:r>
        <w:rPr>
          <w:rFonts w:hint="eastAsia" w:ascii="仿宋" w:hAnsi="仿宋" w:eastAsia="仿宋" w:cs="仿宋"/>
          <w:color w:val="000000" w:themeColor="text1"/>
          <w:sz w:val="30"/>
          <w:szCs w:val="30"/>
          <w:lang w:val="en-US" w:eastAsia="zh-CN"/>
          <w14:textFill>
            <w14:solidFill>
              <w14:schemeClr w14:val="tx1"/>
            </w14:solidFill>
          </w14:textFill>
        </w:rPr>
        <w:t xml:space="preserve"> 对个人和家庭的补助 0</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，占支出预算总额的</w:t>
      </w:r>
      <w:r>
        <w:rPr>
          <w:rFonts w:hint="eastAsia" w:ascii="仿宋" w:hAnsi="仿宋" w:eastAsia="仿宋" w:cs="仿宋"/>
          <w:color w:val="000000" w:themeColor="text1"/>
          <w:sz w:val="30"/>
          <w:szCs w:val="30"/>
          <w:lang w:val="en-US" w:eastAsia="zh-CN"/>
          <w14:textFill>
            <w14:solidFill>
              <w14:schemeClr w14:val="tx1"/>
            </w14:solidFill>
          </w14:textFill>
        </w:rPr>
        <w:t>0%，较上年预算安排减少0万元；资本性支出</w:t>
      </w:r>
      <w:r>
        <w:rPr>
          <w:rFonts w:hint="eastAsia" w:ascii="仿宋" w:hAnsi="仿宋" w:eastAsia="仿宋" w:cs="仿宋"/>
          <w:color w:val="000000" w:themeColor="text1"/>
          <w:sz w:val="32"/>
          <w:szCs w:val="32"/>
          <w:lang w:val="en-US" w:eastAsia="zh-CN"/>
          <w14:textFill>
            <w14:solidFill>
              <w14:schemeClr w14:val="tx1"/>
            </w14:solidFill>
          </w14:textFill>
        </w:rPr>
        <w:t>332.05</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占预算总额的14.75%</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eastAsia="zh-CN"/>
          <w14:textFill>
            <w14:solidFill>
              <w14:schemeClr w14:val="tx1"/>
            </w14:solidFill>
          </w14:textFill>
        </w:rPr>
        <w:t>减少</w:t>
      </w:r>
      <w:r>
        <w:rPr>
          <w:rFonts w:hint="eastAsia" w:ascii="仿宋" w:hAnsi="仿宋" w:eastAsia="仿宋" w:cs="仿宋"/>
          <w:color w:val="000000" w:themeColor="text1"/>
          <w:sz w:val="32"/>
          <w:szCs w:val="32"/>
          <w:lang w:val="en-US" w:eastAsia="zh-CN"/>
          <w14:textFill>
            <w14:solidFill>
              <w14:schemeClr w14:val="tx1"/>
            </w14:solidFill>
          </w14:textFill>
        </w:rPr>
        <w:t>703.63万元</w:t>
      </w:r>
      <w:r>
        <w:rPr>
          <w:rFonts w:hint="eastAsia" w:ascii="仿宋" w:hAnsi="仿宋" w:eastAsia="仿宋" w:cs="仿宋"/>
          <w:color w:val="000000" w:themeColor="text1"/>
          <w:sz w:val="30"/>
          <w:szCs w:val="30"/>
          <w:lang w:eastAsia="zh-CN"/>
          <w14:textFill>
            <w14:solidFill>
              <w14:schemeClr w14:val="tx1"/>
            </w14:solidFill>
          </w14:textFill>
        </w:rPr>
        <w:t>；项目支出</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w:t>
      </w:r>
      <w:r>
        <w:rPr>
          <w:rFonts w:hint="eastAsia" w:ascii="仿宋" w:hAnsi="仿宋" w:eastAsia="仿宋" w:cs="仿宋"/>
          <w:color w:val="auto"/>
          <w:sz w:val="32"/>
          <w:szCs w:val="32"/>
        </w:rPr>
        <w:t>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53.71</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占预算总额的2.38%</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31.19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乡镇卫生院2198.1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59.93</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占预算总额97.62%</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2022年本单位财政拨款（补助）支出预算306.18万元，占本年支出预算总额的13.59%，较上年预算安排增加86.56万元，增加39.41%。增减变化主要原因是：人员经费和公共卫生资金资金。具体为：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按支出经济分类科目划分：基本支出306.18万元，较上年预算安排增加86.56万元，其中：工资福利支出306.18万元，</w:t>
      </w:r>
      <w:r>
        <w:rPr>
          <w:rFonts w:hint="eastAsia" w:ascii="仿宋" w:hAnsi="仿宋" w:eastAsia="仿宋" w:cs="仿宋"/>
          <w:color w:val="auto"/>
          <w:sz w:val="30"/>
          <w:szCs w:val="30"/>
          <w:lang w:val="en-US" w:eastAsia="zh-CN"/>
        </w:rPr>
        <w:t>占财政拨款总额的100%，</w:t>
      </w:r>
      <w:r>
        <w:rPr>
          <w:rFonts w:hint="eastAsia" w:ascii="仿宋" w:hAnsi="仿宋" w:eastAsia="仿宋" w:cs="仿宋"/>
          <w:color w:val="auto"/>
          <w:sz w:val="32"/>
          <w:szCs w:val="32"/>
          <w:lang w:val="en-US" w:eastAsia="zh-CN"/>
        </w:rPr>
        <w:t>较上年预算安排增加86.56万元；项目支出0万元，较上年预算安排增加0万元。</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38.86</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占预算总额的12.69%</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加10.94</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乡镇卫生院267.32</w:t>
      </w:r>
      <w:r>
        <w:rPr>
          <w:rFonts w:hint="eastAsia" w:ascii="仿宋" w:hAnsi="仿宋" w:eastAsia="仿宋" w:cs="仿宋"/>
          <w:color w:val="auto"/>
          <w:sz w:val="30"/>
          <w:szCs w:val="30"/>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lang w:val="en-US" w:eastAsia="zh-CN"/>
        </w:rPr>
        <w:t>占预算总额的87.31%</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75.62</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widowControl/>
        <w:suppressLineNumbers w:val="0"/>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w:t>
      </w:r>
    </w:p>
    <w:p>
      <w:pPr>
        <w:keepNext w:val="0"/>
        <w:keepLines w:val="0"/>
        <w:widowControl/>
        <w:suppressLineNumbers w:val="0"/>
        <w:ind w:firstLine="622" w:firstLineChars="200"/>
        <w:jc w:val="left"/>
      </w:pPr>
      <w:r>
        <w:rPr>
          <w:rFonts w:ascii="仿宋" w:hAnsi="仿宋" w:eastAsia="仿宋" w:cs="仿宋"/>
          <w:b/>
          <w:bCs/>
          <w:color w:val="000000"/>
          <w:kern w:val="0"/>
          <w:sz w:val="31"/>
          <w:szCs w:val="31"/>
          <w:lang w:val="en-US" w:eastAsia="zh-CN" w:bidi="ar"/>
        </w:rPr>
        <w:t xml:space="preserve">（五）国有资本经营情况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2022 年本单位国有资本经营支出预算为 0 万元，本单位 </w:t>
      </w:r>
    </w:p>
    <w:p>
      <w:pPr>
        <w:keepNext w:val="0"/>
        <w:keepLines w:val="0"/>
        <w:widowControl/>
        <w:suppressLineNumbers w:val="0"/>
        <w:jc w:val="left"/>
        <w:rPr>
          <w:rFonts w:hint="eastAsia" w:ascii="仿宋" w:hAnsi="仿宋" w:eastAsia="仿宋" w:cs="仿宋"/>
          <w:color w:val="auto"/>
          <w:sz w:val="24"/>
          <w:szCs w:val="24"/>
        </w:rPr>
      </w:pPr>
      <w:r>
        <w:rPr>
          <w:rFonts w:hint="eastAsia" w:ascii="仿宋" w:hAnsi="仿宋" w:eastAsia="仿宋" w:cs="仿宋"/>
          <w:color w:val="000000"/>
          <w:kern w:val="0"/>
          <w:sz w:val="31"/>
          <w:szCs w:val="31"/>
          <w:lang w:val="en-US" w:eastAsia="zh-CN" w:bidi="ar"/>
        </w:rPr>
        <w:t>无国有资本经营预算收入。</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年单位政府采购总额</w:t>
      </w:r>
      <w:r>
        <w:rPr>
          <w:rFonts w:hint="eastAsia" w:ascii="仿宋" w:hAnsi="仿宋" w:eastAsia="仿宋" w:cs="仿宋"/>
          <w:color w:val="auto"/>
          <w:sz w:val="32"/>
          <w:szCs w:val="32"/>
          <w:u w:val="none"/>
          <w:lang w:val="en-US" w:eastAsia="zh-CN"/>
        </w:rPr>
        <w:t>332.05</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332.05</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2022年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特殊用途车3辆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rPr>
        <w:t>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bidi w:val="0"/>
        <w:jc w:val="left"/>
        <w:rPr>
          <w:rFonts w:hint="eastAsia"/>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古龙岗镇中心</w:t>
      </w:r>
      <w:r>
        <w:rPr>
          <w:rFonts w:hint="eastAsia" w:ascii="黑体" w:hAnsi="黑体" w:eastAsia="黑体" w:cs="黑体"/>
          <w:b w:val="0"/>
          <w:bCs w:val="0"/>
          <w:color w:val="auto"/>
          <w:sz w:val="32"/>
          <w:szCs w:val="32"/>
          <w:lang w:val="en-US" w:eastAsia="zh-CN"/>
        </w:rPr>
        <w:t>卫生院2022年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rPr>
      </w:pPr>
    </w:p>
    <w:p>
      <w:pPr>
        <w:pStyle w:val="2"/>
        <w:rPr>
          <w:rFonts w:hint="eastAsia"/>
        </w:rPr>
        <w:sectPr>
          <w:pgSz w:w="16838" w:h="11906" w:orient="landscape"/>
          <w:pgMar w:top="1800" w:right="1440" w:bottom="1800" w:left="1440" w:header="851" w:footer="992" w:gutter="0"/>
          <w:cols w:space="425" w:num="1"/>
          <w:docGrid w:type="lines" w:linePitch="312" w:charSpace="0"/>
        </w:sectPr>
      </w:pPr>
      <w:r>
        <w:drawing>
          <wp:inline distT="0" distB="0" distL="114300" distR="114300">
            <wp:extent cx="8855075" cy="3620770"/>
            <wp:effectExtent l="0" t="0" r="3175" b="1778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4"/>
                    <a:stretch>
                      <a:fillRect/>
                    </a:stretch>
                  </pic:blipFill>
                  <pic:spPr>
                    <a:xfrm>
                      <a:off x="0" y="0"/>
                      <a:ext cx="8855075" cy="3620770"/>
                    </a:xfrm>
                    <a:prstGeom prst="rect">
                      <a:avLst/>
                    </a:prstGeom>
                    <a:noFill/>
                    <a:ln>
                      <a:noFill/>
                    </a:ln>
                  </pic:spPr>
                </pic:pic>
              </a:graphicData>
            </a:graphic>
          </wp:inline>
        </w:drawing>
      </w:r>
    </w:p>
    <w:p>
      <w:pPr>
        <w:pStyle w:val="2"/>
        <w:numPr>
          <w:ilvl w:val="0"/>
          <w:numId w:val="2"/>
        </w:numPr>
        <w:ind w:left="840" w:leftChars="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widowControl w:val="0"/>
        <w:numPr>
          <w:ilvl w:val="0"/>
          <w:numId w:val="0"/>
        </w:numPr>
        <w:jc w:val="both"/>
        <w:rPr>
          <w:rFonts w:hint="eastAsia" w:ascii="仿宋" w:hAnsi="仿宋" w:eastAsia="仿宋" w:cs="仿宋"/>
          <w:color w:val="auto"/>
          <w:sz w:val="32"/>
          <w:szCs w:val="32"/>
        </w:rPr>
      </w:pPr>
      <w:r>
        <w:drawing>
          <wp:inline distT="0" distB="0" distL="114300" distR="114300">
            <wp:extent cx="9777730" cy="4084955"/>
            <wp:effectExtent l="0" t="0" r="13970" b="1079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5"/>
                    <a:stretch>
                      <a:fillRect/>
                    </a:stretch>
                  </pic:blipFill>
                  <pic:spPr>
                    <a:xfrm>
                      <a:off x="0" y="0"/>
                      <a:ext cx="9777730" cy="4084955"/>
                    </a:xfrm>
                    <a:prstGeom prst="rect">
                      <a:avLst/>
                    </a:prstGeom>
                    <a:noFill/>
                    <a:ln>
                      <a:noFill/>
                    </a:ln>
                  </pic:spPr>
                </pic:pic>
              </a:graphicData>
            </a:graphic>
          </wp:inline>
        </w:drawing>
      </w:r>
    </w:p>
    <w:p>
      <w:pPr>
        <w:pStyle w:val="2"/>
        <w:widowControl w:val="0"/>
        <w:numPr>
          <w:ilvl w:val="0"/>
          <w:numId w:val="0"/>
        </w:numPr>
        <w:jc w:val="both"/>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840" w:leftChars="0"/>
        <w:rPr>
          <w:rFonts w:hint="eastAsia" w:ascii="仿宋" w:hAnsi="仿宋" w:eastAsia="仿宋" w:cs="仿宋"/>
          <w:color w:val="auto"/>
          <w:sz w:val="32"/>
          <w:szCs w:val="32"/>
        </w:rPr>
      </w:pPr>
    </w:p>
    <w:p>
      <w:pPr>
        <w:numPr>
          <w:ilvl w:val="0"/>
          <w:numId w:val="0"/>
        </w:numPr>
        <w:spacing w:line="560" w:lineRule="exact"/>
        <w:ind w:left="840" w:leftChars="0"/>
        <w:rPr>
          <w:rFonts w:hint="eastAsia" w:ascii="仿宋" w:hAnsi="仿宋" w:eastAsia="仿宋" w:cs="仿宋"/>
          <w:color w:val="auto"/>
          <w:sz w:val="32"/>
          <w:szCs w:val="32"/>
        </w:rPr>
      </w:pPr>
    </w:p>
    <w:p>
      <w:pPr>
        <w:numPr>
          <w:ilvl w:val="0"/>
          <w:numId w:val="0"/>
        </w:numPr>
        <w:spacing w:line="560" w:lineRule="exact"/>
        <w:ind w:left="840" w:leftChars="0"/>
        <w:rPr>
          <w:rFonts w:hint="eastAsia" w:ascii="仿宋" w:hAnsi="仿宋" w:eastAsia="仿宋" w:cs="仿宋"/>
          <w:color w:val="auto"/>
          <w:sz w:val="32"/>
          <w:szCs w:val="32"/>
        </w:rPr>
      </w:pPr>
    </w:p>
    <w:p>
      <w:pPr>
        <w:numPr>
          <w:ilvl w:val="0"/>
          <w:numId w:val="0"/>
        </w:num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p>
    <w:p>
      <w:pPr>
        <w:pStyle w:val="2"/>
        <w:rPr>
          <w:rFonts w:hint="eastAsia" w:ascii="仿宋" w:hAnsi="仿宋" w:eastAsia="仿宋" w:cs="仿宋"/>
          <w:color w:val="auto"/>
          <w:sz w:val="32"/>
          <w:szCs w:val="32"/>
        </w:rPr>
      </w:pPr>
      <w:r>
        <w:drawing>
          <wp:inline distT="0" distB="0" distL="114300" distR="114300">
            <wp:extent cx="9774555" cy="6026785"/>
            <wp:effectExtent l="0" t="0" r="17145" b="1206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6"/>
                    <a:stretch>
                      <a:fillRect/>
                    </a:stretch>
                  </pic:blipFill>
                  <pic:spPr>
                    <a:xfrm>
                      <a:off x="0" y="0"/>
                      <a:ext cx="9774555" cy="6026785"/>
                    </a:xfrm>
                    <a:prstGeom prst="rect">
                      <a:avLst/>
                    </a:prstGeom>
                    <a:noFill/>
                    <a:ln>
                      <a:noFill/>
                    </a:ln>
                  </pic:spPr>
                </pic:pic>
              </a:graphicData>
            </a:graphic>
          </wp:inline>
        </w:drawing>
      </w:r>
    </w:p>
    <w:p>
      <w:pPr>
        <w:numPr>
          <w:ilvl w:val="0"/>
          <w:numId w:val="0"/>
        </w:num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p>
    <w:p>
      <w:pPr>
        <w:pStyle w:val="2"/>
        <w:rPr>
          <w:rFonts w:hint="eastAsia"/>
        </w:rPr>
      </w:pPr>
      <w:r>
        <w:drawing>
          <wp:inline distT="0" distB="0" distL="114300" distR="114300">
            <wp:extent cx="9770110" cy="2912110"/>
            <wp:effectExtent l="0" t="0" r="2540" b="254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7"/>
                    <a:stretch>
                      <a:fillRect/>
                    </a:stretch>
                  </pic:blipFill>
                  <pic:spPr>
                    <a:xfrm>
                      <a:off x="0" y="0"/>
                      <a:ext cx="9770110" cy="2912110"/>
                    </a:xfrm>
                    <a:prstGeom prst="rect">
                      <a:avLst/>
                    </a:prstGeom>
                    <a:noFill/>
                    <a:ln>
                      <a:noFill/>
                    </a:ln>
                  </pic:spPr>
                </pic:pic>
              </a:graphicData>
            </a:graphic>
          </wp:inline>
        </w:drawing>
      </w: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840" w:leftChars="0"/>
        <w:rPr>
          <w:rFonts w:hint="eastAsia" w:ascii="仿宋" w:hAnsi="仿宋" w:eastAsia="仿宋" w:cs="仿宋"/>
          <w:color w:val="auto"/>
          <w:sz w:val="32"/>
          <w:szCs w:val="32"/>
        </w:rPr>
      </w:pPr>
    </w:p>
    <w:p>
      <w:pPr>
        <w:numPr>
          <w:ilvl w:val="0"/>
          <w:numId w:val="0"/>
        </w:numPr>
        <w:spacing w:line="560" w:lineRule="exact"/>
        <w:ind w:left="840"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p>
    <w:p>
      <w:pPr>
        <w:pStyle w:val="2"/>
        <w:rPr>
          <w:rFonts w:hint="eastAsia"/>
        </w:rPr>
      </w:pPr>
      <w:r>
        <w:drawing>
          <wp:inline distT="0" distB="0" distL="114300" distR="114300">
            <wp:extent cx="9763125" cy="5324475"/>
            <wp:effectExtent l="0" t="0" r="9525" b="9525"/>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8"/>
                    <a:stretch>
                      <a:fillRect/>
                    </a:stretch>
                  </pic:blipFill>
                  <pic:spPr>
                    <a:xfrm>
                      <a:off x="0" y="0"/>
                      <a:ext cx="9763125" cy="5324475"/>
                    </a:xfrm>
                    <a:prstGeom prst="rect">
                      <a:avLst/>
                    </a:prstGeom>
                    <a:noFill/>
                    <a:ln>
                      <a:noFill/>
                    </a:ln>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0"/>
        </w:numPr>
        <w:spacing w:line="560" w:lineRule="exact"/>
        <w:ind w:left="840"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p>
    <w:p>
      <w:pPr>
        <w:pStyle w:val="2"/>
        <w:rPr>
          <w:color w:val="auto"/>
        </w:rPr>
      </w:pPr>
    </w:p>
    <w:p>
      <w:pPr>
        <w:pStyle w:val="2"/>
        <w:rPr>
          <w:color w:val="auto"/>
        </w:rPr>
      </w:pPr>
      <w:r>
        <w:drawing>
          <wp:inline distT="0" distB="0" distL="114300" distR="114300">
            <wp:extent cx="9775190" cy="3987800"/>
            <wp:effectExtent l="0" t="0" r="16510" b="1270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9775190" cy="3987800"/>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840"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p>
    <w:p>
      <w:pPr>
        <w:pStyle w:val="2"/>
        <w:rPr>
          <w:rFonts w:hint="eastAsia" w:ascii="仿宋" w:hAnsi="仿宋" w:eastAsia="仿宋" w:cs="仿宋"/>
          <w:color w:val="auto"/>
          <w:sz w:val="32"/>
          <w:szCs w:val="32"/>
          <w:lang w:eastAsia="zh-CN"/>
        </w:rPr>
      </w:pPr>
      <w:r>
        <w:drawing>
          <wp:inline distT="0" distB="0" distL="114300" distR="114300">
            <wp:extent cx="9448800" cy="23145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9448800" cy="2314575"/>
                    </a:xfrm>
                    <a:prstGeom prst="rect">
                      <a:avLst/>
                    </a:prstGeom>
                    <a:noFill/>
                    <a:ln>
                      <a:noFill/>
                    </a:ln>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840"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p>
    <w:p>
      <w:pPr>
        <w:pStyle w:val="2"/>
        <w:rPr>
          <w:color w:val="auto"/>
        </w:rPr>
      </w:pP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98"/>
        <w:gridCol w:w="4890"/>
        <w:gridCol w:w="3147"/>
        <w:gridCol w:w="5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19" w:type="pct"/>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注：若为空表，则为该部门（单位）无政府性基金收支</w:t>
            </w:r>
          </w:p>
        </w:tc>
      </w:tr>
    </w:tbl>
    <w:p>
      <w:pPr>
        <w:pStyle w:val="2"/>
        <w:rPr>
          <w:color w:val="auto"/>
        </w:rPr>
      </w:pPr>
      <w:r>
        <w:drawing>
          <wp:inline distT="0" distB="0" distL="114300" distR="114300">
            <wp:extent cx="9776460" cy="2243455"/>
            <wp:effectExtent l="0" t="0" r="1524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9776460" cy="2243455"/>
                    </a:xfrm>
                    <a:prstGeom prst="rect">
                      <a:avLst/>
                    </a:prstGeom>
                    <a:noFill/>
                    <a:ln>
                      <a:noFill/>
                    </a:ln>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r>
        <w:drawing>
          <wp:inline distT="0" distB="0" distL="114300" distR="114300">
            <wp:extent cx="9772650" cy="2353310"/>
            <wp:effectExtent l="0" t="0" r="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9772650" cy="2353310"/>
                    </a:xfrm>
                    <a:prstGeom prst="rect">
                      <a:avLst/>
                    </a:prstGeom>
                    <a:noFill/>
                    <a:ln>
                      <a:noFill/>
                    </a:ln>
                  </pic:spPr>
                </pic:pic>
              </a:graphicData>
            </a:graphic>
          </wp:inline>
        </w:drawing>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0"/>
        </w:numPr>
        <w:spacing w:line="560" w:lineRule="exact"/>
        <w:ind w:left="840" w:leftChars="0"/>
        <w:rPr>
          <w:rFonts w:hint="eastAsia" w:ascii="仿宋" w:hAnsi="仿宋" w:eastAsia="仿宋" w:cs="仿宋"/>
          <w:color w:val="auto"/>
          <w:sz w:val="32"/>
          <w:szCs w:val="32"/>
        </w:rPr>
      </w:pPr>
    </w:p>
    <w:p>
      <w:pPr>
        <w:numPr>
          <w:ilvl w:val="0"/>
          <w:numId w:val="0"/>
        </w:numPr>
        <w:spacing w:line="560" w:lineRule="exact"/>
        <w:ind w:left="840" w:leftChars="0"/>
        <w:rPr>
          <w:rFonts w:hint="eastAsia" w:ascii="仿宋" w:hAnsi="仿宋" w:eastAsia="仿宋" w:cs="仿宋"/>
          <w:color w:val="auto"/>
          <w:sz w:val="32"/>
          <w:szCs w:val="32"/>
        </w:rPr>
      </w:pPr>
    </w:p>
    <w:p>
      <w:pPr>
        <w:numPr>
          <w:ilvl w:val="0"/>
          <w:numId w:val="0"/>
        </w:numPr>
        <w:spacing w:line="560" w:lineRule="exact"/>
        <w:ind w:left="840"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0"/>
        </w:numPr>
        <w:spacing w:line="560" w:lineRule="exact"/>
        <w:ind w:left="840"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十一、</w:t>
      </w: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bookmarkStart w:id="0" w:name="_GoBack"/>
      <w:bookmarkEnd w:id="0"/>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pPr>
        <w:ind w:left="840"/>
      </w:pPr>
      <w:rPr>
        <w:rFonts w:hint="eastAsia"/>
      </w:rPr>
    </w:lvl>
  </w:abstractNum>
  <w:abstractNum w:abstractNumId="1">
    <w:nsid w:val="523D3E4E"/>
    <w:multiLevelType w:val="singleLevel"/>
    <w:tmpl w:val="523D3E4E"/>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1DB2D9A"/>
    <w:rsid w:val="033F65AC"/>
    <w:rsid w:val="04AA47FB"/>
    <w:rsid w:val="05033781"/>
    <w:rsid w:val="06913258"/>
    <w:rsid w:val="06EB2968"/>
    <w:rsid w:val="0774295E"/>
    <w:rsid w:val="09C73CC8"/>
    <w:rsid w:val="0AC76D85"/>
    <w:rsid w:val="0B462F13"/>
    <w:rsid w:val="0C5D030A"/>
    <w:rsid w:val="0C9F0180"/>
    <w:rsid w:val="0CC7558C"/>
    <w:rsid w:val="0DFC3E81"/>
    <w:rsid w:val="0F305284"/>
    <w:rsid w:val="0F981BA6"/>
    <w:rsid w:val="0FF7412C"/>
    <w:rsid w:val="1165756B"/>
    <w:rsid w:val="116B728B"/>
    <w:rsid w:val="120E39AF"/>
    <w:rsid w:val="12413D84"/>
    <w:rsid w:val="128B4058"/>
    <w:rsid w:val="130C7119"/>
    <w:rsid w:val="157E0E4B"/>
    <w:rsid w:val="16247C45"/>
    <w:rsid w:val="16E3540A"/>
    <w:rsid w:val="174F484D"/>
    <w:rsid w:val="175E2CE2"/>
    <w:rsid w:val="17850B4F"/>
    <w:rsid w:val="18187335"/>
    <w:rsid w:val="181C2B4F"/>
    <w:rsid w:val="19153875"/>
    <w:rsid w:val="194505FE"/>
    <w:rsid w:val="1A9D669C"/>
    <w:rsid w:val="1AC07BCE"/>
    <w:rsid w:val="1AC92B69"/>
    <w:rsid w:val="1AD35795"/>
    <w:rsid w:val="1B7F0948"/>
    <w:rsid w:val="1BCE1278"/>
    <w:rsid w:val="1C6C108F"/>
    <w:rsid w:val="1D1F2F14"/>
    <w:rsid w:val="1F5922CD"/>
    <w:rsid w:val="20607ACB"/>
    <w:rsid w:val="21006EE6"/>
    <w:rsid w:val="21FC1A76"/>
    <w:rsid w:val="220A4192"/>
    <w:rsid w:val="22AC524A"/>
    <w:rsid w:val="23623B5A"/>
    <w:rsid w:val="24977834"/>
    <w:rsid w:val="25172CD9"/>
    <w:rsid w:val="271E6A5F"/>
    <w:rsid w:val="27AB1CB6"/>
    <w:rsid w:val="282F2AF8"/>
    <w:rsid w:val="28387C61"/>
    <w:rsid w:val="28416434"/>
    <w:rsid w:val="293B2E83"/>
    <w:rsid w:val="29C56BF1"/>
    <w:rsid w:val="2A597E09"/>
    <w:rsid w:val="2A833419"/>
    <w:rsid w:val="2AC800C8"/>
    <w:rsid w:val="2C6C77F8"/>
    <w:rsid w:val="2C8E3C12"/>
    <w:rsid w:val="2D2347EC"/>
    <w:rsid w:val="2D7D50EB"/>
    <w:rsid w:val="2E7F1A64"/>
    <w:rsid w:val="2EB060C2"/>
    <w:rsid w:val="2F154177"/>
    <w:rsid w:val="2FB219C5"/>
    <w:rsid w:val="2FD8767E"/>
    <w:rsid w:val="31C93669"/>
    <w:rsid w:val="32700042"/>
    <w:rsid w:val="33DA3717"/>
    <w:rsid w:val="343C3F54"/>
    <w:rsid w:val="346C4839"/>
    <w:rsid w:val="34DA3D52"/>
    <w:rsid w:val="354E03E2"/>
    <w:rsid w:val="360A4309"/>
    <w:rsid w:val="38037262"/>
    <w:rsid w:val="388D1D36"/>
    <w:rsid w:val="393A4831"/>
    <w:rsid w:val="3D544CB7"/>
    <w:rsid w:val="3E175992"/>
    <w:rsid w:val="3F0C7A11"/>
    <w:rsid w:val="40D45C40"/>
    <w:rsid w:val="40E35E83"/>
    <w:rsid w:val="40E84D51"/>
    <w:rsid w:val="426004B3"/>
    <w:rsid w:val="42CB4E20"/>
    <w:rsid w:val="438F22F2"/>
    <w:rsid w:val="44801C3A"/>
    <w:rsid w:val="44F227B7"/>
    <w:rsid w:val="45010FCD"/>
    <w:rsid w:val="460F771A"/>
    <w:rsid w:val="46873754"/>
    <w:rsid w:val="47EA6595"/>
    <w:rsid w:val="49D97E23"/>
    <w:rsid w:val="4A857FAB"/>
    <w:rsid w:val="4D2B3305"/>
    <w:rsid w:val="4E6F02EF"/>
    <w:rsid w:val="4F9C55BF"/>
    <w:rsid w:val="50CB7DCA"/>
    <w:rsid w:val="51031C29"/>
    <w:rsid w:val="51840FBC"/>
    <w:rsid w:val="51CB6BEB"/>
    <w:rsid w:val="51F22534"/>
    <w:rsid w:val="52681863"/>
    <w:rsid w:val="52D01FDF"/>
    <w:rsid w:val="53A042C7"/>
    <w:rsid w:val="54617806"/>
    <w:rsid w:val="54CB0CB0"/>
    <w:rsid w:val="553C0616"/>
    <w:rsid w:val="554F368F"/>
    <w:rsid w:val="55D3606E"/>
    <w:rsid w:val="56044479"/>
    <w:rsid w:val="56811F6E"/>
    <w:rsid w:val="57061740"/>
    <w:rsid w:val="58AC6244"/>
    <w:rsid w:val="58BC2EB0"/>
    <w:rsid w:val="58F5279F"/>
    <w:rsid w:val="594159E5"/>
    <w:rsid w:val="5ABC3575"/>
    <w:rsid w:val="5BFD0408"/>
    <w:rsid w:val="5C190553"/>
    <w:rsid w:val="5C723E7A"/>
    <w:rsid w:val="5EA600B9"/>
    <w:rsid w:val="5F693DE4"/>
    <w:rsid w:val="60587E80"/>
    <w:rsid w:val="61642270"/>
    <w:rsid w:val="63536A40"/>
    <w:rsid w:val="64D11D53"/>
    <w:rsid w:val="65E322FD"/>
    <w:rsid w:val="66E005EB"/>
    <w:rsid w:val="672A7E5E"/>
    <w:rsid w:val="685360F8"/>
    <w:rsid w:val="6AFF7CB3"/>
    <w:rsid w:val="6C0C592B"/>
    <w:rsid w:val="6D0B14CF"/>
    <w:rsid w:val="6D8819DC"/>
    <w:rsid w:val="6DB91B96"/>
    <w:rsid w:val="6DCB5401"/>
    <w:rsid w:val="6E9879FD"/>
    <w:rsid w:val="706E4EB9"/>
    <w:rsid w:val="712C09DD"/>
    <w:rsid w:val="72007D93"/>
    <w:rsid w:val="726B5B54"/>
    <w:rsid w:val="73C82B32"/>
    <w:rsid w:val="75153B55"/>
    <w:rsid w:val="75AB6156"/>
    <w:rsid w:val="76514C17"/>
    <w:rsid w:val="773109EF"/>
    <w:rsid w:val="77476464"/>
    <w:rsid w:val="78574485"/>
    <w:rsid w:val="78A83695"/>
    <w:rsid w:val="78B43685"/>
    <w:rsid w:val="7A074F0E"/>
    <w:rsid w:val="7ADE49EA"/>
    <w:rsid w:val="7B947027"/>
    <w:rsid w:val="7BE81275"/>
    <w:rsid w:val="7E0A3481"/>
    <w:rsid w:val="7E227E81"/>
    <w:rsid w:val="7E485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2838</Words>
  <Characters>3130</Characters>
  <Lines>0</Lines>
  <Paragraphs>0</Paragraphs>
  <TotalTime>1</TotalTime>
  <ScaleCrop>false</ScaleCrop>
  <LinksUpToDate>false</LinksUpToDate>
  <CharactersWithSpaces>3155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2023-06-19T04:06:55Z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ACEFEAB4DD204F1C88A33D1D417BCEE1_13</vt:lpwstr>
  </property>
</Properties>
</file>