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2" w:line="224" w:lineRule="auto"/>
        <w:ind w:left="68"/>
        <w:rPr>
          <w:rFonts w:hint="eastAsia" w:ascii="黑体" w:hAnsi="黑体" w:eastAsia="黑体" w:cs="黑体"/>
          <w:b/>
          <w:bCs/>
          <w:color w:val="auto"/>
          <w:spacing w:val="-19"/>
          <w:sz w:val="25"/>
          <w:szCs w:val="25"/>
          <w:lang w:val="en-US" w:eastAsia="zh-CN"/>
        </w:rPr>
      </w:pPr>
      <w:r>
        <w:rPr>
          <w:rFonts w:hint="eastAsia" w:ascii="黑体" w:hAnsi="黑体" w:eastAsia="黑体" w:cs="黑体"/>
          <w:b/>
          <w:bCs/>
          <w:color w:val="auto"/>
          <w:spacing w:val="-19"/>
          <w:sz w:val="25"/>
          <w:szCs w:val="25"/>
          <w:lang w:eastAsia="zh-CN"/>
        </w:rPr>
        <w:t>附件</w:t>
      </w:r>
      <w:r>
        <w:rPr>
          <w:rFonts w:hint="eastAsia" w:ascii="黑体" w:hAnsi="黑体" w:eastAsia="黑体" w:cs="黑体"/>
          <w:b/>
          <w:bCs/>
          <w:color w:val="auto"/>
          <w:spacing w:val="-19"/>
          <w:sz w:val="25"/>
          <w:szCs w:val="25"/>
          <w:lang w:val="en-US" w:eastAsia="zh-CN"/>
        </w:rPr>
        <w:t>2</w:t>
      </w:r>
    </w:p>
    <w:p>
      <w:pPr>
        <w:pStyle w:val="2"/>
        <w:rPr>
          <w:rFonts w:hint="eastAsia"/>
          <w:lang w:val="en-US" w:eastAsia="zh-CN"/>
        </w:rPr>
      </w:pP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val="en-US" w:eastAsia="zh-CN"/>
        </w:rPr>
        <w:t>兴国县隆坪乡卫生院2022年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预算编制说明</w:t>
      </w: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隆坪乡卫生院</w:t>
      </w:r>
      <w:r>
        <w:rPr>
          <w:rFonts w:hint="eastAsia" w:ascii="仿宋" w:hAnsi="仿宋" w:eastAsia="仿宋" w:cs="仿宋"/>
          <w:b/>
          <w:bCs/>
          <w:color w:val="auto"/>
          <w:sz w:val="32"/>
          <w:szCs w:val="32"/>
          <w:lang w:eastAsia="zh-CN"/>
        </w:rPr>
        <w:t>单位</w:t>
      </w:r>
      <w:r>
        <w:rPr>
          <w:rFonts w:hint="eastAsia" w:ascii="仿宋" w:hAnsi="仿宋" w:eastAsia="仿宋" w:cs="仿宋"/>
          <w:b/>
          <w:bCs/>
          <w:color w:val="auto"/>
          <w:sz w:val="32"/>
          <w:szCs w:val="32"/>
        </w:rPr>
        <w:t>概况</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numPr>
          <w:ilvl w:val="0"/>
          <w:numId w:val="1"/>
        </w:num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隆坪乡卫生院</w:t>
      </w:r>
      <w:r>
        <w:rPr>
          <w:rFonts w:hint="eastAsia" w:ascii="仿宋" w:hAnsi="仿宋" w:eastAsia="仿宋" w:cs="仿宋"/>
          <w:b/>
          <w:bCs/>
          <w:color w:val="auto"/>
          <w:sz w:val="32"/>
          <w:szCs w:val="32"/>
        </w:rPr>
        <w:t>单位预算情况说明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2022年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隆坪乡卫生院</w:t>
      </w:r>
      <w:r>
        <w:rPr>
          <w:rFonts w:hint="eastAsia" w:ascii="仿宋" w:hAnsi="仿宋" w:eastAsia="仿宋" w:cs="仿宋"/>
          <w:b/>
          <w:bCs/>
          <w:color w:val="auto"/>
          <w:sz w:val="32"/>
          <w:szCs w:val="32"/>
        </w:rPr>
        <w:t>单位预算表</w:t>
      </w:r>
    </w:p>
    <w:p>
      <w:pPr>
        <w:numPr>
          <w:ilvl w:val="0"/>
          <w:numId w:val="0"/>
        </w:numPr>
        <w:spacing w:line="560" w:lineRule="exact"/>
        <w:ind w:leftChars="272"/>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《收支预算总表》</w:t>
      </w:r>
    </w:p>
    <w:p>
      <w:pPr>
        <w:numPr>
          <w:ilvl w:val="0"/>
          <w:numId w:val="0"/>
        </w:numPr>
        <w:spacing w:line="560" w:lineRule="exact"/>
        <w:ind w:leftChars="272"/>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《部门收入总表》</w:t>
      </w:r>
    </w:p>
    <w:p>
      <w:pPr>
        <w:numPr>
          <w:ilvl w:val="0"/>
          <w:numId w:val="0"/>
        </w:num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《部门支出总表》</w:t>
      </w:r>
    </w:p>
    <w:p>
      <w:pPr>
        <w:numPr>
          <w:ilvl w:val="0"/>
          <w:numId w:val="0"/>
        </w:num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《财政拨款收支总表》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numPr>
          <w:ilvl w:val="0"/>
          <w:numId w:val="0"/>
        </w:numPr>
        <w:spacing w:line="560" w:lineRule="exact"/>
        <w:ind w:firstLine="64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p>
      <w:pPr>
        <w:numPr>
          <w:ilvl w:val="0"/>
          <w:numId w:val="0"/>
        </w:numPr>
        <w:spacing w:line="560" w:lineRule="exact"/>
        <w:ind w:firstLine="64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《部门整体支出绩效目标表》</w:t>
      </w:r>
    </w:p>
    <w:p>
      <w:pPr>
        <w:pStyle w:val="2"/>
        <w:rPr>
          <w:rFonts w:hint="default" w:eastAsia="仿宋"/>
          <w:lang w:val="en-US" w:eastAsia="zh-CN"/>
        </w:rPr>
      </w:pPr>
      <w:r>
        <w:rPr>
          <w:rFonts w:hint="eastAsia" w:ascii="仿宋" w:hAnsi="仿宋" w:eastAsia="仿宋" w:cs="仿宋"/>
          <w:color w:val="auto"/>
          <w:sz w:val="32"/>
          <w:szCs w:val="32"/>
          <w:lang w:val="en-US" w:eastAsia="zh-CN"/>
        </w:rPr>
        <w:t xml:space="preserve">    十一、</w:t>
      </w:r>
      <w:r>
        <w:rPr>
          <w:rFonts w:hint="eastAsia" w:ascii="仿宋" w:hAnsi="仿宋" w:eastAsia="仿宋" w:cs="仿宋"/>
          <w:color w:val="auto"/>
          <w:sz w:val="32"/>
          <w:szCs w:val="32"/>
        </w:rPr>
        <w:t>《项目支出绩效目标表》</w:t>
      </w:r>
    </w:p>
    <w:p>
      <w:pPr>
        <w:numPr>
          <w:ilvl w:val="0"/>
          <w:numId w:val="0"/>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仿宋" w:hAnsi="仿宋" w:eastAsia="仿宋" w:cs="仿宋"/>
          <w:b/>
          <w:bCs/>
          <w:color w:val="auto"/>
          <w:sz w:val="32"/>
          <w:szCs w:val="32"/>
          <w:lang w:val="en-US" w:eastAsia="zh-CN"/>
        </w:rPr>
        <w:t>隆坪乡卫生院</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部门概况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单位</w:t>
      </w:r>
      <w:r>
        <w:rPr>
          <w:rFonts w:hint="eastAsia" w:ascii="楷体" w:hAnsi="楷体" w:eastAsia="楷体" w:cs="楷体"/>
          <w:b/>
          <w:bCs/>
          <w:color w:val="auto"/>
          <w:sz w:val="32"/>
          <w:szCs w:val="32"/>
        </w:rPr>
        <w:t>主要职责</w:t>
      </w:r>
    </w:p>
    <w:p>
      <w:pPr>
        <w:spacing w:line="560" w:lineRule="exact"/>
        <w:ind w:firstLine="640" w:firstLineChars="200"/>
        <w:rPr>
          <w:rFonts w:ascii="仿宋" w:hAnsi="仿宋" w:eastAsia="仿宋" w:cs="仿宋"/>
          <w:color w:val="auto"/>
          <w:sz w:val="24"/>
          <w:szCs w:val="24"/>
        </w:rPr>
      </w:pPr>
      <w:r>
        <w:rPr>
          <w:rFonts w:hint="eastAsia" w:ascii="仿宋" w:hAnsi="仿宋" w:eastAsia="仿宋" w:cs="仿宋"/>
          <w:sz w:val="32"/>
          <w:szCs w:val="32"/>
        </w:rPr>
        <w:t>兴国县</w:t>
      </w:r>
      <w:r>
        <w:rPr>
          <w:rFonts w:hint="eastAsia" w:ascii="仿宋" w:hAnsi="仿宋" w:eastAsia="仿宋" w:cs="仿宋"/>
          <w:sz w:val="32"/>
          <w:szCs w:val="32"/>
          <w:lang w:val="en-US" w:eastAsia="zh-CN"/>
        </w:rPr>
        <w:t>隆坪</w:t>
      </w:r>
      <w:r>
        <w:rPr>
          <w:rFonts w:hint="eastAsia" w:ascii="仿宋" w:hAnsi="仿宋" w:eastAsia="仿宋" w:cs="仿宋"/>
          <w:sz w:val="32"/>
          <w:szCs w:val="32"/>
          <w:lang w:eastAsia="zh-CN"/>
        </w:rPr>
        <w:t>乡卫生</w:t>
      </w:r>
      <w:r>
        <w:rPr>
          <w:rFonts w:hint="eastAsia" w:ascii="仿宋" w:hAnsi="仿宋" w:eastAsia="仿宋" w:cs="仿宋"/>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val="en-US" w:eastAsia="zh-CN"/>
        </w:rPr>
        <w:t>乡</w:t>
      </w:r>
      <w:r>
        <w:rPr>
          <w:rFonts w:hint="eastAsia" w:ascii="仿宋" w:hAnsi="仿宋" w:eastAsia="仿宋" w:cs="仿宋"/>
          <w:sz w:val="32"/>
          <w:szCs w:val="32"/>
        </w:rPr>
        <w:t>卫生院应承担本</w:t>
      </w:r>
      <w:r>
        <w:rPr>
          <w:rFonts w:hint="eastAsia" w:ascii="仿宋" w:hAnsi="仿宋" w:eastAsia="仿宋" w:cs="仿宋"/>
          <w:sz w:val="32"/>
          <w:szCs w:val="32"/>
          <w:lang w:eastAsia="zh-CN"/>
        </w:rPr>
        <w:t>乡</w:t>
      </w:r>
      <w:r>
        <w:rPr>
          <w:rFonts w:hint="eastAsia" w:ascii="仿宋" w:hAnsi="仿宋" w:eastAsia="仿宋" w:cs="仿宋"/>
          <w:sz w:val="32"/>
          <w:szCs w:val="32"/>
        </w:rPr>
        <w:t>的各项医疗卫生服务和一定的卫生行政管理工作</w:t>
      </w:r>
      <w:r>
        <w:rPr>
          <w:rFonts w:hint="eastAsia" w:ascii="仿宋" w:hAnsi="仿宋" w:eastAsia="仿宋" w:cs="仿宋"/>
          <w:color w:val="000000"/>
          <w:sz w:val="32"/>
          <w:szCs w:val="32"/>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 w:hAnsi="仿宋" w:eastAsia="仿宋" w:cs="仿宋"/>
          <w:color w:val="auto"/>
          <w:sz w:val="24"/>
          <w:szCs w:val="24"/>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b w:val="0"/>
          <w:bCs w:val="0"/>
          <w:color w:val="auto"/>
          <w:sz w:val="32"/>
          <w:szCs w:val="32"/>
          <w:lang w:val="en-US" w:eastAsia="zh-CN"/>
        </w:rPr>
        <w:t>隆坪乡卫生院</w:t>
      </w:r>
      <w:r>
        <w:rPr>
          <w:rFonts w:hint="eastAsia" w:ascii="仿宋" w:hAnsi="仿宋" w:eastAsia="仿宋"/>
          <w:color w:val="auto"/>
          <w:sz w:val="32"/>
          <w:szCs w:val="32"/>
          <w:lang w:eastAsia="zh-CN"/>
        </w:rPr>
        <w:t>单位内设</w:t>
      </w:r>
      <w:r>
        <w:rPr>
          <w:rFonts w:hint="eastAsia" w:ascii="仿宋" w:hAnsi="仿宋" w:eastAsia="仿宋"/>
          <w:color w:val="auto"/>
          <w:sz w:val="32"/>
          <w:szCs w:val="32"/>
          <w:lang w:val="en-US" w:eastAsia="zh-CN"/>
        </w:rPr>
        <w:t>科室</w:t>
      </w:r>
      <w:r>
        <w:rPr>
          <w:rFonts w:hint="eastAsia" w:ascii="仿宋" w:hAnsi="仿宋" w:eastAsia="仿宋"/>
          <w:color w:val="auto"/>
          <w:sz w:val="32"/>
          <w:szCs w:val="32"/>
          <w:u w:val="none"/>
          <w:lang w:val="en-US" w:eastAsia="zh-CN"/>
        </w:rPr>
        <w:t>13</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olor w:val="auto"/>
          <w:sz w:val="32"/>
          <w:szCs w:val="32"/>
          <w:lang w:val="en-US" w:eastAsia="zh-CN"/>
        </w:rPr>
        <w:t>内外科、妇产科、中医馆、药剂科、收费室、化验室、护理组、B超室、DR室、心电图室、财务室、公卫科、办公室。</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olor w:val="auto"/>
          <w:sz w:val="32"/>
          <w:szCs w:val="32"/>
          <w:lang w:val="en-US" w:eastAsia="zh-CN"/>
        </w:rPr>
        <w:t>15</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u w:val="none"/>
          <w:lang w:val="en-US" w:eastAsia="zh-CN"/>
        </w:rPr>
        <w:t>0</w:t>
      </w:r>
      <w:r>
        <w:rPr>
          <w:rFonts w:ascii="仿宋" w:hAnsi="仿宋" w:eastAsia="仿宋"/>
          <w:color w:val="auto"/>
          <w:sz w:val="32"/>
          <w:szCs w:val="32"/>
        </w:rPr>
        <w:t>人,参照公务员管理的事业编制人数</w:t>
      </w:r>
      <w:r>
        <w:rPr>
          <w:rFonts w:hint="eastAsia" w:ascii="仿宋" w:hAnsi="仿宋" w:eastAsia="仿宋"/>
          <w:color w:val="auto"/>
          <w:sz w:val="32"/>
          <w:szCs w:val="32"/>
          <w:lang w:val="en-US" w:eastAsia="zh-CN"/>
        </w:rPr>
        <w:t>0</w:t>
      </w:r>
      <w:r>
        <w:rPr>
          <w:rFonts w:ascii="仿宋" w:hAnsi="仿宋" w:eastAsia="仿宋"/>
          <w:color w:val="auto"/>
          <w:sz w:val="32"/>
          <w:szCs w:val="32"/>
        </w:rPr>
        <w:t>人,</w:t>
      </w:r>
      <w:r>
        <w:rPr>
          <w:rFonts w:hint="eastAsia" w:ascii="仿宋" w:hAnsi="仿宋" w:eastAsia="仿宋"/>
          <w:color w:val="auto"/>
          <w:sz w:val="32"/>
          <w:szCs w:val="32"/>
          <w:lang w:val="en-US" w:eastAsia="zh-CN"/>
        </w:rPr>
        <w:t>差额拨款</w:t>
      </w:r>
      <w:r>
        <w:rPr>
          <w:rFonts w:ascii="仿宋" w:hAnsi="仿宋" w:eastAsia="仿宋"/>
          <w:color w:val="auto"/>
          <w:sz w:val="32"/>
          <w:szCs w:val="32"/>
        </w:rPr>
        <w:t>事业编制人数</w:t>
      </w:r>
      <w:r>
        <w:rPr>
          <w:rFonts w:hint="eastAsia" w:ascii="仿宋" w:hAnsi="仿宋" w:eastAsia="仿宋"/>
          <w:color w:val="auto"/>
          <w:sz w:val="32"/>
          <w:szCs w:val="32"/>
          <w:lang w:val="en-US" w:eastAsia="zh-CN"/>
        </w:rPr>
        <w:t>15</w:t>
      </w:r>
      <w:r>
        <w:rPr>
          <w:rFonts w:ascii="仿宋" w:hAnsi="仿宋" w:eastAsia="仿宋"/>
          <w:color w:val="auto"/>
          <w:sz w:val="32"/>
          <w:szCs w:val="32"/>
        </w:rPr>
        <w:t>人,自收自支编制人数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olor w:val="auto"/>
          <w:sz w:val="32"/>
          <w:szCs w:val="32"/>
          <w:lang w:val="en-US" w:eastAsia="zh-CN"/>
        </w:rPr>
        <w:t>18</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olor w:val="auto"/>
          <w:sz w:val="32"/>
          <w:szCs w:val="32"/>
          <w:lang w:val="en-US" w:eastAsia="zh-CN"/>
        </w:rPr>
        <w:t>31</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rFonts w:hint="eastAsia" w:ascii="仿宋" w:hAnsi="仿宋" w:eastAsia="仿宋"/>
          <w:color w:val="auto"/>
          <w:sz w:val="32"/>
          <w:szCs w:val="32"/>
          <w:lang w:val="en-US" w:eastAsia="zh-CN"/>
        </w:rPr>
        <w:t>差额拨款</w:t>
      </w:r>
      <w:r>
        <w:rPr>
          <w:rFonts w:ascii="仿宋" w:hAnsi="仿宋" w:eastAsia="仿宋"/>
          <w:color w:val="auto"/>
          <w:sz w:val="32"/>
          <w:szCs w:val="32"/>
        </w:rPr>
        <w:t>事业在职人数</w:t>
      </w:r>
      <w:r>
        <w:rPr>
          <w:rFonts w:hint="eastAsia" w:ascii="仿宋" w:hAnsi="仿宋" w:eastAsia="仿宋" w:cs="Times New Roman"/>
          <w:color w:val="auto"/>
          <w:kern w:val="0"/>
          <w:sz w:val="32"/>
          <w:szCs w:val="32"/>
          <w:lang w:val="en-US" w:eastAsia="zh-CN"/>
        </w:rPr>
        <w:t>18</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人,退休人数小计</w:t>
      </w:r>
      <w:r>
        <w:rPr>
          <w:rFonts w:hint="eastAsia" w:ascii="仿宋" w:hAnsi="仿宋" w:eastAsia="仿宋"/>
          <w:color w:val="auto"/>
          <w:sz w:val="32"/>
          <w:szCs w:val="32"/>
          <w:lang w:val="en-US" w:eastAsia="zh-CN"/>
        </w:rPr>
        <w:t>1</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p>
    <w:p>
      <w:pPr>
        <w:spacing w:line="560" w:lineRule="exact"/>
        <w:rPr>
          <w:rFonts w:ascii="仿宋" w:hAnsi="仿宋" w:eastAsia="仿宋" w:cs="仿宋"/>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仿宋" w:hAnsi="仿宋" w:eastAsia="仿宋" w:cs="仿宋"/>
          <w:b/>
          <w:bCs/>
          <w:color w:val="auto"/>
          <w:sz w:val="32"/>
          <w:szCs w:val="32"/>
          <w:lang w:val="en-US" w:eastAsia="zh-CN"/>
        </w:rPr>
        <w:t>隆坪乡卫生院</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2022</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本单位收入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sz w:val="32"/>
          <w:szCs w:val="32"/>
          <w:lang w:val="en-US" w:eastAsia="zh-CN"/>
        </w:rPr>
        <w:t>669.18</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27.33</w:t>
      </w:r>
      <w:r>
        <w:rPr>
          <w:rFonts w:hint="eastAsia" w:ascii="仿宋" w:hAnsi="仿宋" w:eastAsia="仿宋" w:cs="仿宋"/>
          <w:color w:val="auto"/>
          <w:sz w:val="32"/>
          <w:szCs w:val="32"/>
          <w:lang w:eastAsia="zh-CN"/>
        </w:rPr>
        <w:t>万元，减少</w:t>
      </w:r>
      <w:r>
        <w:rPr>
          <w:rFonts w:hint="eastAsia" w:ascii="仿宋" w:hAnsi="仿宋" w:eastAsia="仿宋" w:cs="仿宋"/>
          <w:color w:val="auto"/>
          <w:sz w:val="32"/>
          <w:szCs w:val="32"/>
          <w:lang w:val="en-US" w:eastAsia="zh-CN"/>
        </w:rPr>
        <w:t>3.9%</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职工人员减少</w:t>
      </w:r>
      <w:r>
        <w:rPr>
          <w:rFonts w:hint="eastAsia" w:ascii="仿宋" w:hAnsi="仿宋" w:eastAsia="仿宋" w:cs="仿宋"/>
          <w:color w:val="auto"/>
          <w:sz w:val="32"/>
          <w:szCs w:val="32"/>
          <w:lang w:eastAsia="zh-CN"/>
        </w:rPr>
        <w:t>。</w:t>
      </w:r>
    </w:p>
    <w:p>
      <w:pPr>
        <w:spacing w:line="560" w:lineRule="exact"/>
        <w:ind w:firstLine="600" w:firstLineChars="200"/>
        <w:rPr>
          <w:rFonts w:hint="default"/>
          <w:lang w:val="en-US" w:eastAsia="zh-CN"/>
        </w:rPr>
      </w:pPr>
      <w:r>
        <w:rPr>
          <w:rFonts w:hint="eastAsia" w:ascii="仿宋" w:hAnsi="仿宋" w:eastAsia="仿宋" w:cs="仿宋"/>
          <w:color w:val="auto"/>
          <w:sz w:val="30"/>
          <w:szCs w:val="30"/>
        </w:rPr>
        <w:t>具体为：</w:t>
      </w:r>
      <w:r>
        <w:rPr>
          <w:rFonts w:hint="eastAsia" w:ascii="仿宋" w:hAnsi="仿宋" w:eastAsia="仿宋" w:cs="仿宋"/>
          <w:color w:val="auto"/>
          <w:sz w:val="30"/>
          <w:szCs w:val="30"/>
          <w:lang w:val="en-US" w:eastAsia="zh-CN"/>
        </w:rPr>
        <w:t>财政拨款收入</w:t>
      </w:r>
      <w:r>
        <w:rPr>
          <w:rFonts w:hint="eastAsia" w:ascii="仿宋" w:hAnsi="仿宋" w:eastAsia="仿宋" w:cs="仿宋"/>
          <w:sz w:val="32"/>
          <w:szCs w:val="32"/>
          <w:lang w:val="en-US" w:eastAsia="zh-CN"/>
        </w:rPr>
        <w:t>88.73</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，占收入预算总额的</w:t>
      </w:r>
      <w:r>
        <w:rPr>
          <w:rFonts w:hint="eastAsia" w:ascii="仿宋" w:hAnsi="仿宋" w:eastAsia="仿宋" w:cs="仿宋"/>
          <w:color w:val="auto"/>
          <w:sz w:val="30"/>
          <w:szCs w:val="30"/>
          <w:lang w:val="en-US" w:eastAsia="zh-CN"/>
        </w:rPr>
        <w:t>13.26%，</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26.79万元；事业收入</w:t>
      </w:r>
      <w:r>
        <w:rPr>
          <w:rFonts w:hint="eastAsia" w:ascii="仿宋" w:hAnsi="仿宋" w:eastAsia="仿宋" w:cs="仿宋"/>
          <w:color w:val="000000"/>
          <w:sz w:val="32"/>
          <w:szCs w:val="32"/>
          <w:lang w:val="en-US" w:eastAsia="zh-CN"/>
        </w:rPr>
        <w:t>580.45</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，占收入预算总额的</w:t>
      </w:r>
      <w:r>
        <w:rPr>
          <w:rFonts w:hint="eastAsia" w:ascii="仿宋" w:hAnsi="仿宋" w:eastAsia="仿宋" w:cs="仿宋"/>
          <w:color w:val="auto"/>
          <w:sz w:val="30"/>
          <w:szCs w:val="30"/>
          <w:lang w:val="en-US" w:eastAsia="zh-CN"/>
        </w:rPr>
        <w:t>86.74%，</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0.54万元。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本单位</w:t>
      </w:r>
      <w:r>
        <w:rPr>
          <w:rFonts w:hint="eastAsia" w:ascii="仿宋" w:hAnsi="仿宋" w:eastAsia="仿宋" w:cs="仿宋"/>
          <w:color w:val="auto"/>
          <w:sz w:val="30"/>
          <w:szCs w:val="30"/>
        </w:rPr>
        <w:t>支出预算</w:t>
      </w:r>
      <w:r>
        <w:rPr>
          <w:rFonts w:hint="eastAsia" w:ascii="仿宋" w:hAnsi="仿宋" w:eastAsia="仿宋" w:cs="仿宋"/>
          <w:color w:val="auto"/>
          <w:sz w:val="30"/>
          <w:szCs w:val="30"/>
          <w:lang w:eastAsia="zh-CN"/>
        </w:rPr>
        <w:t>总额</w:t>
      </w:r>
      <w:r>
        <w:rPr>
          <w:rFonts w:hint="eastAsia" w:ascii="仿宋" w:hAnsi="仿宋" w:eastAsia="仿宋" w:cs="仿宋"/>
          <w:sz w:val="32"/>
          <w:szCs w:val="32"/>
          <w:lang w:val="en-US" w:eastAsia="zh-CN"/>
        </w:rPr>
        <w:t>669.18</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27.33</w:t>
      </w:r>
      <w:r>
        <w:rPr>
          <w:rFonts w:hint="eastAsia" w:ascii="仿宋" w:hAnsi="仿宋" w:eastAsia="仿宋" w:cs="仿宋"/>
          <w:color w:val="auto"/>
          <w:sz w:val="32"/>
          <w:szCs w:val="32"/>
          <w:lang w:eastAsia="zh-CN"/>
        </w:rPr>
        <w:t>万元，减少</w:t>
      </w:r>
      <w:r>
        <w:rPr>
          <w:rFonts w:hint="eastAsia" w:ascii="仿宋" w:hAnsi="仿宋" w:eastAsia="仿宋" w:cs="仿宋"/>
          <w:color w:val="auto"/>
          <w:sz w:val="32"/>
          <w:szCs w:val="32"/>
          <w:lang w:val="en-US" w:eastAsia="zh-CN"/>
        </w:rPr>
        <w:t>3.91%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增减变化主要原因是：财政拨款</w:t>
      </w:r>
      <w:r>
        <w:rPr>
          <w:rFonts w:hint="eastAsia" w:ascii="仿宋" w:hAnsi="仿宋" w:eastAsia="仿宋" w:cs="仿宋"/>
          <w:color w:val="auto"/>
          <w:sz w:val="32"/>
          <w:szCs w:val="32"/>
          <w:lang w:val="en-US" w:eastAsia="zh-CN"/>
        </w:rPr>
        <w:t>收入减少</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rPr>
        <w:t>具体为：</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z w:val="30"/>
          <w:szCs w:val="30"/>
          <w:lang w:val="en-US" w:eastAsia="zh-CN"/>
        </w:rPr>
        <w:t>669.18</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27.33</w:t>
      </w:r>
      <w:r>
        <w:rPr>
          <w:rFonts w:hint="eastAsia" w:ascii="仿宋" w:hAnsi="仿宋" w:eastAsia="仿宋" w:cs="仿宋"/>
          <w:color w:val="auto"/>
          <w:sz w:val="32"/>
          <w:szCs w:val="32"/>
          <w:lang w:eastAsia="zh-CN"/>
        </w:rPr>
        <w:t>万元，减少</w:t>
      </w:r>
      <w:r>
        <w:rPr>
          <w:rFonts w:hint="eastAsia" w:ascii="仿宋" w:hAnsi="仿宋" w:eastAsia="仿宋" w:cs="仿宋"/>
          <w:color w:val="auto"/>
          <w:sz w:val="32"/>
          <w:szCs w:val="32"/>
          <w:lang w:val="en-US" w:eastAsia="zh-CN"/>
        </w:rPr>
        <w:t>3.91%</w:t>
      </w:r>
      <w:r>
        <w:rPr>
          <w:rFonts w:hint="eastAsia" w:ascii="仿宋" w:hAnsi="仿宋" w:eastAsia="仿宋" w:cs="仿宋"/>
          <w:color w:val="auto"/>
          <w:sz w:val="32"/>
          <w:szCs w:val="32"/>
        </w:rPr>
        <w:t>。</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203.28</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占预算总额的30.38%，</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5.26万元；</w:t>
      </w:r>
      <w:r>
        <w:rPr>
          <w:rFonts w:hint="eastAsia" w:ascii="仿宋" w:hAnsi="仿宋" w:eastAsia="仿宋" w:cs="仿宋"/>
          <w:color w:val="auto"/>
          <w:sz w:val="30"/>
          <w:szCs w:val="30"/>
          <w:lang w:val="en-US" w:eastAsia="zh-CN"/>
        </w:rPr>
        <w:t>商品和服务支出</w:t>
      </w:r>
      <w:r>
        <w:rPr>
          <w:rFonts w:hint="eastAsia" w:ascii="仿宋" w:hAnsi="仿宋" w:eastAsia="仿宋" w:cs="仿宋"/>
          <w:sz w:val="32"/>
          <w:szCs w:val="32"/>
          <w:lang w:val="en-US" w:eastAsia="zh-CN"/>
        </w:rPr>
        <w:t>394.40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占预算总额的58.93%，</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1.39万元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 xml:space="preserve"> 对个人和家庭的补助 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资本性支出</w:t>
      </w:r>
      <w:r>
        <w:rPr>
          <w:rFonts w:hint="eastAsia" w:ascii="仿宋" w:hAnsi="仿宋" w:eastAsia="仿宋" w:cs="仿宋"/>
          <w:sz w:val="32"/>
          <w:szCs w:val="32"/>
          <w:lang w:val="en-US" w:eastAsia="zh-CN"/>
        </w:rPr>
        <w:t>71.50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占预算总额的10.69%</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33.98万元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lang w:eastAsia="zh-CN"/>
        </w:rPr>
        <w:t>按支出功能分类科目划分：</w:t>
      </w:r>
      <w:r>
        <w:rPr>
          <w:rFonts w:hint="eastAsia" w:ascii="仿宋" w:hAnsi="仿宋" w:eastAsia="仿宋" w:cs="仿宋"/>
          <w:sz w:val="32"/>
          <w:szCs w:val="32"/>
        </w:rPr>
        <w:t>社会保障和就业</w:t>
      </w:r>
      <w:r>
        <w:rPr>
          <w:rFonts w:hint="eastAsia" w:ascii="仿宋" w:hAnsi="仿宋" w:eastAsia="仿宋" w:cs="仿宋"/>
          <w:sz w:val="32"/>
          <w:szCs w:val="32"/>
          <w:lang w:val="en-US" w:eastAsia="zh-CN"/>
        </w:rPr>
        <w:t>18.93</w:t>
      </w:r>
      <w:r>
        <w:rPr>
          <w:rFonts w:hint="eastAsia" w:ascii="仿宋" w:hAnsi="仿宋" w:eastAsia="仿宋" w:cs="仿宋"/>
          <w:sz w:val="32"/>
          <w:szCs w:val="32"/>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占预算总额的2.8%</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13.2</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乡镇卫生院650.25</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14.13</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val="en-US" w:eastAsia="zh-CN"/>
        </w:rPr>
        <w:t>占预算总额的97.2%</w:t>
      </w:r>
      <w:r>
        <w:rPr>
          <w:rFonts w:hint="eastAsia" w:ascii="仿宋" w:hAnsi="仿宋" w:eastAsia="仿宋" w:cs="仿宋"/>
          <w:color w:val="auto"/>
          <w:sz w:val="32"/>
          <w:szCs w:val="32"/>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2022年本单位财政拨款（补助）支出预算88.73万元，占本年支出预算总额的13.26%，较上年预算安排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26.79万元，减少23.19%。增减变化主要原因是：职工人员减少。</w:t>
      </w:r>
    </w:p>
    <w:p>
      <w:pPr>
        <w:spacing w:line="560" w:lineRule="exac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具体为：</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按支出经济分类科目划分：基本支出88.73万元，较上年预算安排减少26.79万元，其中：工资福利支出88.73万元，</w:t>
      </w:r>
      <w:r>
        <w:rPr>
          <w:rFonts w:hint="eastAsia" w:ascii="仿宋" w:hAnsi="仿宋" w:eastAsia="仿宋" w:cs="仿宋"/>
          <w:color w:val="auto"/>
          <w:sz w:val="30"/>
          <w:szCs w:val="30"/>
          <w:lang w:val="en-US" w:eastAsia="zh-CN"/>
        </w:rPr>
        <w:t>占财政拨款总额的100%，</w:t>
      </w:r>
      <w:r>
        <w:rPr>
          <w:rFonts w:hint="eastAsia" w:ascii="仿宋" w:hAnsi="仿宋" w:eastAsia="仿宋" w:cs="仿宋"/>
          <w:color w:val="auto"/>
          <w:sz w:val="32"/>
          <w:szCs w:val="32"/>
          <w:lang w:val="en-US" w:eastAsia="zh-CN"/>
        </w:rPr>
        <w:t>较上年预算安排减少26.79万元；项目支出0万元，较上年预算安排增加0万元。</w:t>
      </w:r>
    </w:p>
    <w:p>
      <w:pPr>
        <w:spacing w:line="560" w:lineRule="exact"/>
        <w:ind w:firstLine="64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32"/>
          <w:szCs w:val="32"/>
          <w:lang w:val="en-US" w:eastAsia="zh-CN"/>
        </w:rPr>
        <w:t>按支出功能分类科目划分：</w:t>
      </w:r>
      <w:r>
        <w:rPr>
          <w:rFonts w:hint="eastAsia" w:ascii="仿宋" w:hAnsi="仿宋" w:eastAsia="仿宋" w:cs="仿宋"/>
          <w:sz w:val="32"/>
          <w:szCs w:val="32"/>
        </w:rPr>
        <w:t>社会保障和就业</w:t>
      </w:r>
      <w:r>
        <w:rPr>
          <w:rFonts w:hint="eastAsia" w:ascii="仿宋" w:hAnsi="仿宋" w:eastAsia="仿宋" w:cs="仿宋"/>
          <w:sz w:val="32"/>
          <w:szCs w:val="32"/>
          <w:lang w:val="en-US" w:eastAsia="zh-CN"/>
        </w:rPr>
        <w:t>11.27</w:t>
      </w:r>
      <w:r>
        <w:rPr>
          <w:rFonts w:hint="eastAsia" w:ascii="仿宋" w:hAnsi="仿宋" w:eastAsia="仿宋" w:cs="仿宋"/>
          <w:sz w:val="32"/>
          <w:szCs w:val="32"/>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占预算总额的12.70%</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 xml:space="preserve">7.01 </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乡镇卫生院77.46</w:t>
      </w:r>
      <w:r>
        <w:rPr>
          <w:rFonts w:hint="eastAsia" w:ascii="仿宋" w:hAnsi="仿宋" w:eastAsia="仿宋" w:cs="仿宋"/>
          <w:color w:val="auto"/>
          <w:sz w:val="30"/>
          <w:szCs w:val="30"/>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lang w:val="en-US" w:eastAsia="zh-CN"/>
        </w:rPr>
        <w:t>占预算总额的87.3%</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19.78</w:t>
      </w:r>
      <w:r>
        <w:rPr>
          <w:rFonts w:hint="eastAsia" w:ascii="仿宋" w:hAnsi="仿宋" w:eastAsia="仿宋" w:cs="仿宋"/>
          <w:color w:val="auto"/>
          <w:sz w:val="32"/>
          <w:szCs w:val="32"/>
          <w:lang w:eastAsia="zh-CN"/>
        </w:rPr>
        <w:t>万元。</w:t>
      </w:r>
    </w:p>
    <w:p>
      <w:pPr>
        <w:numPr>
          <w:ilvl w:val="0"/>
          <w:numId w:val="2"/>
        </w:num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政府性基金情况</w:t>
      </w:r>
    </w:p>
    <w:p>
      <w:pPr>
        <w:pStyle w:val="2"/>
        <w:numPr>
          <w:ilvl w:val="0"/>
          <w:numId w:val="0"/>
        </w:numPr>
        <w:ind w:firstLine="640" w:firstLineChars="200"/>
        <w:rPr>
          <w:rFonts w:hint="eastAsia"/>
          <w:lang w:eastAsia="zh-CN"/>
        </w:rPr>
      </w:pPr>
      <w:r>
        <w:rPr>
          <w:rFonts w:hint="eastAsia"/>
          <w:lang w:eastAsia="zh-CN"/>
        </w:rPr>
        <w:t>无政府性基金预算拨款安排的支出</w:t>
      </w:r>
    </w:p>
    <w:p>
      <w:pPr>
        <w:numPr>
          <w:ilvl w:val="0"/>
          <w:numId w:val="2"/>
        </w:num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lang w:eastAsia="zh-CN"/>
        </w:rPr>
        <w:t>国有资本经营情况</w:t>
      </w:r>
    </w:p>
    <w:p>
      <w:pPr>
        <w:spacing w:line="560" w:lineRule="exact"/>
        <w:ind w:firstLine="640" w:firstLineChars="200"/>
        <w:rPr>
          <w:rFonts w:hint="eastAsia" w:ascii="仿宋" w:hAnsi="仿宋" w:eastAsia="仿宋" w:cs="仿宋"/>
          <w:color w:val="auto"/>
          <w:sz w:val="24"/>
          <w:szCs w:val="24"/>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本单位国有资本经营</w:t>
      </w:r>
      <w:r>
        <w:rPr>
          <w:rFonts w:hint="eastAsia" w:ascii="仿宋" w:hAnsi="仿宋" w:eastAsia="仿宋" w:cs="仿宋"/>
          <w:color w:val="auto"/>
          <w:sz w:val="32"/>
          <w:szCs w:val="32"/>
        </w:rPr>
        <w:t>支出</w:t>
      </w:r>
      <w:r>
        <w:rPr>
          <w:rFonts w:hint="eastAsia" w:ascii="仿宋" w:hAnsi="仿宋" w:eastAsia="仿宋" w:cs="仿宋"/>
          <w:color w:val="auto"/>
          <w:sz w:val="32"/>
          <w:szCs w:val="32"/>
          <w:lang w:eastAsia="zh-CN"/>
        </w:rPr>
        <w:t>预算为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万元，本单位无国有资本经营预算收入</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六</w:t>
      </w:r>
      <w:r>
        <w:rPr>
          <w:rFonts w:hint="eastAsia" w:ascii="仿宋" w:hAnsi="仿宋" w:eastAsia="仿宋" w:cs="仿宋"/>
          <w:b/>
          <w:bCs/>
          <w:color w:val="auto"/>
          <w:sz w:val="32"/>
          <w:szCs w:val="32"/>
        </w:rPr>
        <w:t>）机关运行经费等重要事项的说明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机关运行费预算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年预算增加</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rPr>
        <w:t>万元，增长</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七</w:t>
      </w:r>
      <w:r>
        <w:rPr>
          <w:rFonts w:hint="eastAsia" w:ascii="仿宋" w:hAnsi="仿宋" w:eastAsia="仿宋" w:cs="仿宋"/>
          <w:b/>
          <w:bCs/>
          <w:color w:val="auto"/>
          <w:sz w:val="32"/>
          <w:szCs w:val="32"/>
        </w:rPr>
        <w:t>）政府采购情况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2022</w:t>
      </w:r>
      <w:r>
        <w:rPr>
          <w:rFonts w:hint="eastAsia" w:ascii="仿宋" w:hAnsi="仿宋" w:eastAsia="仿宋" w:cs="仿宋"/>
          <w:color w:val="auto"/>
          <w:sz w:val="32"/>
          <w:szCs w:val="32"/>
          <w:u w:val="none"/>
        </w:rPr>
        <w:t>年单位政府采购总额</w:t>
      </w:r>
      <w:r>
        <w:rPr>
          <w:rFonts w:hint="eastAsia" w:ascii="仿宋" w:hAnsi="仿宋" w:eastAsia="仿宋" w:cs="仿宋"/>
          <w:color w:val="auto"/>
          <w:sz w:val="32"/>
          <w:szCs w:val="32"/>
          <w:u w:val="none"/>
          <w:lang w:val="en-US" w:eastAsia="zh-CN"/>
        </w:rPr>
        <w:t>71.5</w:t>
      </w:r>
      <w:r>
        <w:rPr>
          <w:rFonts w:hint="eastAsia" w:ascii="仿宋" w:hAnsi="仿宋" w:eastAsia="仿宋" w:cs="仿宋"/>
          <w:color w:val="auto"/>
          <w:sz w:val="32"/>
          <w:szCs w:val="32"/>
          <w:u w:val="none"/>
        </w:rPr>
        <w:t>万元，其中：政府采购货物预算</w:t>
      </w:r>
      <w:r>
        <w:rPr>
          <w:rFonts w:hint="eastAsia" w:ascii="仿宋" w:hAnsi="仿宋" w:eastAsia="仿宋" w:cs="仿宋"/>
          <w:color w:val="auto"/>
          <w:sz w:val="32"/>
          <w:szCs w:val="32"/>
          <w:u w:val="none"/>
          <w:lang w:val="en-US" w:eastAsia="zh-CN"/>
        </w:rPr>
        <w:t>71.50</w:t>
      </w:r>
      <w:r>
        <w:rPr>
          <w:rFonts w:hint="eastAsia" w:ascii="仿宋" w:hAnsi="仿宋" w:eastAsia="仿宋" w:cs="仿宋"/>
          <w:color w:val="auto"/>
          <w:sz w:val="32"/>
          <w:szCs w:val="32"/>
          <w:u w:val="none"/>
        </w:rPr>
        <w:t>万元、政府采购工程预算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万元、政府采购服务预算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w:t>
      </w:r>
    </w:p>
    <w:p>
      <w:pPr>
        <w:spacing w:line="560" w:lineRule="exact"/>
        <w:ind w:firstLine="643" w:firstLineChars="200"/>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eastAsia="zh-CN"/>
        </w:rPr>
        <w:t>八</w:t>
      </w:r>
      <w:r>
        <w:rPr>
          <w:rFonts w:hint="eastAsia" w:ascii="仿宋" w:hAnsi="仿宋" w:eastAsia="仿宋" w:cs="仿宋"/>
          <w:b/>
          <w:bCs/>
          <w:color w:val="auto"/>
          <w:sz w:val="32"/>
          <w:szCs w:val="32"/>
          <w:u w:val="none"/>
        </w:rPr>
        <w:t>）国有资产占有使用情况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2021年</w:t>
      </w:r>
      <w:r>
        <w:rPr>
          <w:rFonts w:hint="eastAsia" w:ascii="仿宋" w:hAnsi="仿宋" w:eastAsia="仿宋" w:cs="仿宋"/>
          <w:color w:val="auto"/>
          <w:sz w:val="32"/>
          <w:szCs w:val="32"/>
          <w:u w:val="none"/>
        </w:rPr>
        <w:t>12月31日</w:t>
      </w:r>
      <w:r>
        <w:rPr>
          <w:rFonts w:hint="eastAsia" w:ascii="仿宋" w:hAnsi="仿宋" w:eastAsia="仿宋" w:cs="仿宋"/>
          <w:color w:val="auto"/>
          <w:sz w:val="32"/>
          <w:szCs w:val="32"/>
          <w:u w:val="none"/>
          <w:lang w:eastAsia="zh-CN"/>
        </w:rPr>
        <w:t>本单位</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1</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特殊用途车1辆</w:t>
      </w:r>
      <w:r>
        <w:rPr>
          <w:rFonts w:hint="eastAsia" w:ascii="仿宋" w:hAnsi="仿宋" w:eastAsia="仿宋" w:cs="仿宋"/>
          <w:color w:val="auto"/>
          <w:sz w:val="32"/>
          <w:szCs w:val="32"/>
          <w:u w:val="none"/>
        </w:rPr>
        <w:t>。</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u w:val="none"/>
          <w:lang w:val="en-US" w:eastAsia="zh-CN"/>
        </w:rPr>
        <w:t>2022年本</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rPr>
        <w:t>安排购置单位价值200万元以上大型设备具为：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九</w:t>
      </w:r>
      <w:r>
        <w:rPr>
          <w:rFonts w:hint="eastAsia" w:ascii="仿宋" w:hAnsi="仿宋" w:eastAsia="仿宋" w:cs="仿宋"/>
          <w:b/>
          <w:bCs/>
          <w:color w:val="auto"/>
          <w:sz w:val="32"/>
          <w:szCs w:val="32"/>
        </w:rPr>
        <w:t>）绩效目标设置情况</w:t>
      </w:r>
    </w:p>
    <w:p>
      <w:pPr>
        <w:spacing w:line="560" w:lineRule="exact"/>
        <w:ind w:left="634" w:leftChars="284" w:hanging="38" w:hangingChars="12"/>
        <w:rPr>
          <w:color w:val="auto"/>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2022年</w:t>
      </w:r>
      <w:r>
        <w:rPr>
          <w:rFonts w:hint="eastAsia" w:ascii="楷体" w:hAnsi="楷体" w:eastAsia="楷体" w:cs="楷体"/>
          <w:b/>
          <w:bCs/>
          <w:color w:val="auto"/>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万元。其中：</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w:t>
      </w:r>
    </w:p>
    <w:p>
      <w:pPr>
        <w:spacing w:line="560" w:lineRule="exact"/>
        <w:ind w:firstLine="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bidi w:val="0"/>
        <w:jc w:val="left"/>
        <w:rPr>
          <w:rFonts w:hint="eastAsia"/>
        </w:rPr>
        <w:sectPr>
          <w:pgSz w:w="11906" w:h="16838"/>
          <w:pgMar w:top="1440" w:right="1800" w:bottom="1440" w:left="1800" w:header="851" w:footer="992" w:gutter="0"/>
          <w:cols w:space="425" w:num="1"/>
          <w:docGrid w:type="lines" w:linePitch="312" w:charSpace="0"/>
        </w:sect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隆坪乡卫生院2022年</w:t>
      </w:r>
      <w:r>
        <w:rPr>
          <w:rFonts w:hint="eastAsia" w:ascii="黑体" w:hAnsi="黑体" w:eastAsia="黑体" w:cs="黑体"/>
          <w:b w:val="0"/>
          <w:bCs w:val="0"/>
          <w:color w:val="auto"/>
          <w:sz w:val="32"/>
          <w:szCs w:val="32"/>
        </w:rPr>
        <w:t>预算表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p>
      <w:pPr>
        <w:pStyle w:val="2"/>
        <w:rPr>
          <w:rFonts w:hint="eastAsia" w:eastAsia="仿宋"/>
          <w:lang w:eastAsia="zh-CN"/>
        </w:rPr>
      </w:pPr>
      <w:r>
        <w:drawing>
          <wp:inline distT="0" distB="0" distL="114300" distR="114300">
            <wp:extent cx="9768840" cy="4347845"/>
            <wp:effectExtent l="0" t="0" r="3810" b="146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9768840" cy="4347845"/>
                    </a:xfrm>
                    <a:prstGeom prst="rect">
                      <a:avLst/>
                    </a:prstGeom>
                    <a:noFill/>
                    <a:ln>
                      <a:noFill/>
                    </a:ln>
                  </pic:spPr>
                </pic:pic>
              </a:graphicData>
            </a:graphic>
          </wp:inline>
        </w:drawing>
      </w: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《部门收入总表》</w:t>
      </w:r>
    </w:p>
    <w:p>
      <w:pPr>
        <w:pStyle w:val="2"/>
        <w:rPr>
          <w:rFonts w:hint="eastAsia" w:eastAsia="仿宋"/>
          <w:lang w:eastAsia="zh-CN"/>
        </w:rPr>
      </w:pPr>
      <w:r>
        <w:rPr>
          <w:rFonts w:hint="eastAsia" w:eastAsia="仿宋"/>
          <w:lang w:eastAsia="zh-CN"/>
        </w:rPr>
        <w:drawing>
          <wp:inline distT="0" distB="0" distL="114300" distR="114300">
            <wp:extent cx="9773920" cy="5615940"/>
            <wp:effectExtent l="0" t="0" r="17780" b="3810"/>
            <wp:docPr id="4" name="图片 4" descr="398c925136e7f803e987c5ad5709c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98c925136e7f803e987c5ad5709c62"/>
                    <pic:cNvPicPr>
                      <a:picLocks noChangeAspect="1"/>
                    </pic:cNvPicPr>
                  </pic:nvPicPr>
                  <pic:blipFill>
                    <a:blip r:embed="rId5"/>
                    <a:stretch>
                      <a:fillRect/>
                    </a:stretch>
                  </pic:blipFill>
                  <pic:spPr>
                    <a:xfrm>
                      <a:off x="0" y="0"/>
                      <a:ext cx="9773920" cy="5615940"/>
                    </a:xfrm>
                    <a:prstGeom prst="rect">
                      <a:avLst/>
                    </a:prstGeom>
                  </pic:spPr>
                </pic:pic>
              </a:graphicData>
            </a:graphic>
          </wp:inline>
        </w:drawing>
      </w:r>
    </w:p>
    <w:p>
      <w:pPr>
        <w:pStyle w:val="2"/>
        <w:rPr>
          <w:rFonts w:hint="eastAsia" w:eastAsia="仿宋"/>
          <w:lang w:eastAsia="zh-CN"/>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《部门支出总表》</w:t>
      </w:r>
    </w:p>
    <w:p>
      <w:pPr>
        <w:pStyle w:val="2"/>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drawing>
          <wp:inline distT="0" distB="0" distL="114300" distR="114300">
            <wp:extent cx="8515350" cy="5276850"/>
            <wp:effectExtent l="0" t="0" r="0" b="0"/>
            <wp:docPr id="5" name="图片 5" descr="3f38cb3f58a351577034a9ce39de9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3f38cb3f58a351577034a9ce39de9cb"/>
                    <pic:cNvPicPr>
                      <a:picLocks noChangeAspect="1"/>
                    </pic:cNvPicPr>
                  </pic:nvPicPr>
                  <pic:blipFill>
                    <a:blip r:embed="rId6"/>
                    <a:stretch>
                      <a:fillRect/>
                    </a:stretch>
                  </pic:blipFill>
                  <pic:spPr>
                    <a:xfrm>
                      <a:off x="0" y="0"/>
                      <a:ext cx="8515350" cy="5276850"/>
                    </a:xfrm>
                    <a:prstGeom prst="rect">
                      <a:avLst/>
                    </a:prstGeom>
                  </pic:spPr>
                </pic:pic>
              </a:graphicData>
            </a:graphic>
          </wp:inline>
        </w:drawing>
      </w: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《财政拨款收支总表》</w:t>
      </w:r>
    </w:p>
    <w:p>
      <w:pPr>
        <w:pStyle w:val="2"/>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drawing>
          <wp:inline distT="0" distB="0" distL="114300" distR="114300">
            <wp:extent cx="9505950" cy="2790825"/>
            <wp:effectExtent l="0" t="0" r="0" b="9525"/>
            <wp:docPr id="6" name="图片 6" descr="7fec819f2dcb49bc8ad8bab0b537c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7fec819f2dcb49bc8ad8bab0b537c1d"/>
                    <pic:cNvPicPr>
                      <a:picLocks noChangeAspect="1"/>
                    </pic:cNvPicPr>
                  </pic:nvPicPr>
                  <pic:blipFill>
                    <a:blip r:embed="rId7"/>
                    <a:stretch>
                      <a:fillRect/>
                    </a:stretch>
                  </pic:blipFill>
                  <pic:spPr>
                    <a:xfrm>
                      <a:off x="0" y="0"/>
                      <a:ext cx="9505950" cy="2790825"/>
                    </a:xfrm>
                    <a:prstGeom prst="rect">
                      <a:avLst/>
                    </a:prstGeom>
                  </pic:spPr>
                </pic:pic>
              </a:graphicData>
            </a:graphic>
          </wp:inline>
        </w:drawing>
      </w: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《一般公共预算支出表》</w:t>
      </w:r>
    </w:p>
    <w:p>
      <w:pPr>
        <w:pStyle w:val="2"/>
        <w:rPr>
          <w:rFonts w:hint="eastAsia"/>
        </w:rPr>
      </w:pPr>
      <w:r>
        <w:drawing>
          <wp:inline distT="0" distB="0" distL="114300" distR="114300">
            <wp:extent cx="9763125" cy="5695950"/>
            <wp:effectExtent l="0" t="0" r="9525" b="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8"/>
                    <a:stretch>
                      <a:fillRect/>
                    </a:stretch>
                  </pic:blipFill>
                  <pic:spPr>
                    <a:xfrm>
                      <a:off x="0" y="0"/>
                      <a:ext cx="9763125" cy="5695950"/>
                    </a:xfrm>
                    <a:prstGeom prst="rect">
                      <a:avLst/>
                    </a:prstGeom>
                    <a:noFill/>
                    <a:ln>
                      <a:noFill/>
                    </a:ln>
                  </pic:spPr>
                </pic:pic>
              </a:graphicData>
            </a:graphic>
          </wp:inline>
        </w:drawing>
      </w: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《一般公共预算基本支出表》</w:t>
      </w:r>
    </w:p>
    <w:p>
      <w:pPr>
        <w:pStyle w:val="2"/>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drawing>
          <wp:inline distT="0" distB="0" distL="114300" distR="114300">
            <wp:extent cx="9770745" cy="5894705"/>
            <wp:effectExtent l="0" t="0" r="1905" b="10795"/>
            <wp:docPr id="8" name="图片 8" descr="1caaa9b8213d4e9be1f69676a061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caaa9b8213d4e9be1f69676a061123"/>
                    <pic:cNvPicPr>
                      <a:picLocks noChangeAspect="1"/>
                    </pic:cNvPicPr>
                  </pic:nvPicPr>
                  <pic:blipFill>
                    <a:blip r:embed="rId9"/>
                    <a:stretch>
                      <a:fillRect/>
                    </a:stretch>
                  </pic:blipFill>
                  <pic:spPr>
                    <a:xfrm>
                      <a:off x="0" y="0"/>
                      <a:ext cx="9770745" cy="5894705"/>
                    </a:xfrm>
                    <a:prstGeom prst="rect">
                      <a:avLst/>
                    </a:prstGeom>
                  </pic:spPr>
                </pic:pic>
              </a:graphicData>
            </a:graphic>
          </wp:inline>
        </w:drawing>
      </w:r>
    </w:p>
    <w:p>
      <w:pPr>
        <w:pStyle w:val="2"/>
        <w:rPr>
          <w:color w:val="auto"/>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《一般公共预算“三公”经费支出表》</w:t>
      </w:r>
    </w:p>
    <w:p>
      <w:pPr>
        <w:pStyle w:val="2"/>
        <w:rPr>
          <w:rFonts w:hint="eastAsia" w:ascii="仿宋" w:hAnsi="仿宋" w:eastAsia="仿宋" w:cs="仿宋"/>
          <w:color w:val="auto"/>
          <w:sz w:val="32"/>
          <w:szCs w:val="32"/>
          <w:lang w:eastAsia="zh-CN"/>
        </w:rPr>
      </w:pPr>
      <w:r>
        <w:drawing>
          <wp:inline distT="0" distB="0" distL="114300" distR="114300">
            <wp:extent cx="9372600" cy="3804920"/>
            <wp:effectExtent l="0" t="0" r="0" b="5080"/>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10"/>
                    <a:stretch>
                      <a:fillRect/>
                    </a:stretch>
                  </pic:blipFill>
                  <pic:spPr>
                    <a:xfrm>
                      <a:off x="0" y="0"/>
                      <a:ext cx="9372600" cy="3804920"/>
                    </a:xfrm>
                    <a:prstGeom prst="rect">
                      <a:avLst/>
                    </a:prstGeom>
                    <a:noFill/>
                    <a:ln>
                      <a:noFill/>
                    </a:ln>
                  </pic:spPr>
                </pic:pic>
              </a:graphicData>
            </a:graphic>
          </wp:inline>
        </w:drawing>
      </w: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《政府性基金预算支出表》</w:t>
      </w:r>
    </w:p>
    <w:p>
      <w:pPr>
        <w:pStyle w:val="2"/>
        <w:rPr>
          <w:color w:val="auto"/>
        </w:rPr>
      </w:pPr>
      <w:r>
        <w:drawing>
          <wp:inline distT="0" distB="0" distL="114300" distR="114300">
            <wp:extent cx="9772650" cy="2939415"/>
            <wp:effectExtent l="0" t="0" r="0" b="13335"/>
            <wp:docPr id="1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
                    <pic:cNvPicPr>
                      <a:picLocks noChangeAspect="1"/>
                    </pic:cNvPicPr>
                  </pic:nvPicPr>
                  <pic:blipFill>
                    <a:blip r:embed="rId11"/>
                    <a:stretch>
                      <a:fillRect/>
                    </a:stretch>
                  </pic:blipFill>
                  <pic:spPr>
                    <a:xfrm>
                      <a:off x="0" y="0"/>
                      <a:ext cx="9772650" cy="2939415"/>
                    </a:xfrm>
                    <a:prstGeom prst="rect">
                      <a:avLst/>
                    </a:prstGeom>
                    <a:noFill/>
                    <a:ln>
                      <a:noFill/>
                    </a:ln>
                  </pic:spPr>
                </pic:pic>
              </a:graphicData>
            </a:graphic>
          </wp:inline>
        </w:drawing>
      </w: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p>
      <w:pPr>
        <w:pStyle w:val="2"/>
        <w:rPr>
          <w:rFonts w:hint="eastAsia" w:ascii="仿宋" w:hAnsi="仿宋" w:eastAsia="仿宋" w:cs="仿宋"/>
          <w:color w:val="auto"/>
          <w:sz w:val="32"/>
          <w:szCs w:val="32"/>
          <w:lang w:val="en-US" w:eastAsia="zh-CN"/>
        </w:rPr>
      </w:pPr>
      <w:r>
        <w:drawing>
          <wp:inline distT="0" distB="0" distL="114300" distR="114300">
            <wp:extent cx="9774555" cy="3363595"/>
            <wp:effectExtent l="0" t="0" r="17145" b="8255"/>
            <wp:docPr id="1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pic:cNvPicPr>
                      <a:picLocks noChangeAspect="1"/>
                    </pic:cNvPicPr>
                  </pic:nvPicPr>
                  <pic:blipFill>
                    <a:blip r:embed="rId12"/>
                    <a:stretch>
                      <a:fillRect/>
                    </a:stretch>
                  </pic:blipFill>
                  <pic:spPr>
                    <a:xfrm>
                      <a:off x="0" y="0"/>
                      <a:ext cx="9774555" cy="3363595"/>
                    </a:xfrm>
                    <a:prstGeom prst="rect">
                      <a:avLst/>
                    </a:prstGeom>
                    <a:noFill/>
                    <a:ln>
                      <a:noFill/>
                    </a:ln>
                  </pic:spPr>
                </pic:pic>
              </a:graphicData>
            </a:graphic>
          </wp:inline>
        </w:drawing>
      </w: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《部门整体支出绩效目标表》</w:t>
      </w:r>
    </w:p>
    <w:p>
      <w:pPr>
        <w:pStyle w:val="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《项目支出绩效目标表》</w:t>
      </w:r>
    </w:p>
    <w:p>
      <w:pPr>
        <w:pStyle w:val="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sectPr>
          <w:pgSz w:w="16838" w:h="11906" w:orient="landscape"/>
          <w:pgMar w:top="720" w:right="720" w:bottom="720" w:left="720" w:header="851" w:footer="992" w:gutter="0"/>
          <w:cols w:space="425" w:num="1"/>
          <w:docGrid w:type="lines" w:linePitch="31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年全部结转和结余的资金数，包括当年结转结余资金</w:t>
      </w:r>
      <w:bookmarkStart w:id="0" w:name="_GoBack"/>
      <w:bookmarkEnd w:id="0"/>
      <w:r>
        <w:rPr>
          <w:rFonts w:hint="eastAsia" w:ascii="仿宋" w:hAnsi="仿宋" w:eastAsia="仿宋" w:cs="仿宋"/>
          <w:color w:val="auto"/>
          <w:sz w:val="32"/>
          <w:szCs w:val="32"/>
        </w:rPr>
        <w:t>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ind w:firstLine="640" w:firstLineChars="200"/>
      </w:pPr>
      <w:r>
        <w:rPr>
          <w:rFonts w:hint="eastAsia" w:ascii="仿宋" w:hAnsi="仿宋" w:eastAsia="仿宋" w:cs="仿宋"/>
          <w:color w:val="auto"/>
          <w:sz w:val="32"/>
          <w:szCs w:val="32"/>
        </w:rPr>
        <w:t>（六）死亡抚恤：反映单位遗属人员生活补助。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E19842"/>
    <w:multiLevelType w:val="singleLevel"/>
    <w:tmpl w:val="A9E19842"/>
    <w:lvl w:ilvl="0" w:tentative="0">
      <w:start w:val="4"/>
      <w:numFmt w:val="chineseCounting"/>
      <w:suff w:val="nothing"/>
      <w:lvlText w:val="（%1）"/>
      <w:lvlJc w:val="left"/>
      <w:rPr>
        <w:rFonts w:hint="eastAsia"/>
      </w:rPr>
    </w:lvl>
  </w:abstractNum>
  <w:abstractNum w:abstractNumId="1">
    <w:nsid w:val="0E892699"/>
    <w:multiLevelType w:val="singleLevel"/>
    <w:tmpl w:val="0E892699"/>
    <w:lvl w:ilvl="0" w:tentative="0">
      <w:start w:val="2"/>
      <w:numFmt w:val="chineseCounting"/>
      <w:suff w:val="nothing"/>
      <w:lvlText w:val="%1、"/>
      <w:lvlJc w:val="left"/>
      <w:pPr>
        <w:ind w:left="210"/>
      </w:pPr>
      <w:rPr>
        <w:rFonts w:hint="eastAsia"/>
      </w:rPr>
    </w:lvl>
  </w:abstractNum>
  <w:abstractNum w:abstractNumId="2">
    <w:nsid w:val="523D3E4E"/>
    <w:multiLevelType w:val="singleLevel"/>
    <w:tmpl w:val="523D3E4E"/>
    <w:lvl w:ilvl="0" w:tentative="0">
      <w:start w:val="2"/>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0ODJjYjI1MjNhNTQwNmJhOGVkMzJkZmE0OGIyNDcifQ=="/>
  </w:docVars>
  <w:rsids>
    <w:rsidRoot w:val="31C93669"/>
    <w:rsid w:val="01DB2D9A"/>
    <w:rsid w:val="033F65AC"/>
    <w:rsid w:val="04AA47FB"/>
    <w:rsid w:val="05033781"/>
    <w:rsid w:val="06913258"/>
    <w:rsid w:val="06EB2968"/>
    <w:rsid w:val="0774295E"/>
    <w:rsid w:val="090F7836"/>
    <w:rsid w:val="09C73CC8"/>
    <w:rsid w:val="0C5D030A"/>
    <w:rsid w:val="0C9F0180"/>
    <w:rsid w:val="0CC7558C"/>
    <w:rsid w:val="0DFC3E81"/>
    <w:rsid w:val="0F305284"/>
    <w:rsid w:val="0F981BA6"/>
    <w:rsid w:val="0FF7412C"/>
    <w:rsid w:val="116B728B"/>
    <w:rsid w:val="120E39AF"/>
    <w:rsid w:val="12413D84"/>
    <w:rsid w:val="128B4058"/>
    <w:rsid w:val="130C7119"/>
    <w:rsid w:val="1417537C"/>
    <w:rsid w:val="157E0E4B"/>
    <w:rsid w:val="16247C45"/>
    <w:rsid w:val="16E3540A"/>
    <w:rsid w:val="174F484D"/>
    <w:rsid w:val="175E2CE2"/>
    <w:rsid w:val="17850B4F"/>
    <w:rsid w:val="18187335"/>
    <w:rsid w:val="181C2B4F"/>
    <w:rsid w:val="19153875"/>
    <w:rsid w:val="194505FE"/>
    <w:rsid w:val="1A9D669C"/>
    <w:rsid w:val="1AAE2C1F"/>
    <w:rsid w:val="1AC07BCE"/>
    <w:rsid w:val="1AC92B69"/>
    <w:rsid w:val="1AD35795"/>
    <w:rsid w:val="1B7F0948"/>
    <w:rsid w:val="1BCE1278"/>
    <w:rsid w:val="1C6C108F"/>
    <w:rsid w:val="1D1F2F14"/>
    <w:rsid w:val="1F5922CD"/>
    <w:rsid w:val="20607ACB"/>
    <w:rsid w:val="21006EE6"/>
    <w:rsid w:val="21FC1A76"/>
    <w:rsid w:val="220A4192"/>
    <w:rsid w:val="22AC524A"/>
    <w:rsid w:val="23623B5A"/>
    <w:rsid w:val="24977834"/>
    <w:rsid w:val="25172CD9"/>
    <w:rsid w:val="271E6A5F"/>
    <w:rsid w:val="27AB1CB6"/>
    <w:rsid w:val="282F2AF8"/>
    <w:rsid w:val="293B2E83"/>
    <w:rsid w:val="29C56BF1"/>
    <w:rsid w:val="29C908BB"/>
    <w:rsid w:val="2A597E09"/>
    <w:rsid w:val="2A833419"/>
    <w:rsid w:val="2AC800C8"/>
    <w:rsid w:val="2C6C77F8"/>
    <w:rsid w:val="2C8E3C12"/>
    <w:rsid w:val="2D2347EC"/>
    <w:rsid w:val="2D7D50EB"/>
    <w:rsid w:val="2E7F1A64"/>
    <w:rsid w:val="2EB060C2"/>
    <w:rsid w:val="2F154177"/>
    <w:rsid w:val="2FB219C5"/>
    <w:rsid w:val="2FD8767E"/>
    <w:rsid w:val="31C93669"/>
    <w:rsid w:val="323F0F2E"/>
    <w:rsid w:val="32700042"/>
    <w:rsid w:val="33DA3717"/>
    <w:rsid w:val="343C3F54"/>
    <w:rsid w:val="346C4839"/>
    <w:rsid w:val="354E03E2"/>
    <w:rsid w:val="360A4309"/>
    <w:rsid w:val="38037262"/>
    <w:rsid w:val="388D1D36"/>
    <w:rsid w:val="393A4831"/>
    <w:rsid w:val="394A0EC1"/>
    <w:rsid w:val="3D544CB7"/>
    <w:rsid w:val="3E175992"/>
    <w:rsid w:val="3F0C7A11"/>
    <w:rsid w:val="40776358"/>
    <w:rsid w:val="40D45C40"/>
    <w:rsid w:val="40E35E83"/>
    <w:rsid w:val="40E84D51"/>
    <w:rsid w:val="426004B3"/>
    <w:rsid w:val="42CB4E20"/>
    <w:rsid w:val="438F22F2"/>
    <w:rsid w:val="44801C3A"/>
    <w:rsid w:val="44F227B7"/>
    <w:rsid w:val="45010FCD"/>
    <w:rsid w:val="460F771A"/>
    <w:rsid w:val="46873754"/>
    <w:rsid w:val="47EA6595"/>
    <w:rsid w:val="49D97E23"/>
    <w:rsid w:val="4A857FAB"/>
    <w:rsid w:val="4D2B3305"/>
    <w:rsid w:val="4EFB714D"/>
    <w:rsid w:val="4F9C55BF"/>
    <w:rsid w:val="50CB7DCA"/>
    <w:rsid w:val="51031C29"/>
    <w:rsid w:val="51840FBC"/>
    <w:rsid w:val="51CB6BEB"/>
    <w:rsid w:val="51F22534"/>
    <w:rsid w:val="52681863"/>
    <w:rsid w:val="52D01FDF"/>
    <w:rsid w:val="53A042C7"/>
    <w:rsid w:val="54CB0CB0"/>
    <w:rsid w:val="553C0616"/>
    <w:rsid w:val="554F368F"/>
    <w:rsid w:val="55D3606E"/>
    <w:rsid w:val="56044479"/>
    <w:rsid w:val="56811F6E"/>
    <w:rsid w:val="57061740"/>
    <w:rsid w:val="58AC6244"/>
    <w:rsid w:val="58BC2EB0"/>
    <w:rsid w:val="58F5279F"/>
    <w:rsid w:val="594159E5"/>
    <w:rsid w:val="5ABC3575"/>
    <w:rsid w:val="5BFD0408"/>
    <w:rsid w:val="5C723E7A"/>
    <w:rsid w:val="5EA600B9"/>
    <w:rsid w:val="5F693DE4"/>
    <w:rsid w:val="60587E80"/>
    <w:rsid w:val="63536A40"/>
    <w:rsid w:val="64D11D53"/>
    <w:rsid w:val="65E322FD"/>
    <w:rsid w:val="66E005EB"/>
    <w:rsid w:val="672A7E5E"/>
    <w:rsid w:val="685360F8"/>
    <w:rsid w:val="69A9560C"/>
    <w:rsid w:val="6AFF7CB3"/>
    <w:rsid w:val="6D0B14CF"/>
    <w:rsid w:val="6D8819DC"/>
    <w:rsid w:val="6DB91B96"/>
    <w:rsid w:val="6DCB5401"/>
    <w:rsid w:val="6E9879FD"/>
    <w:rsid w:val="706E4EB9"/>
    <w:rsid w:val="712C09DD"/>
    <w:rsid w:val="72007D93"/>
    <w:rsid w:val="726B5B54"/>
    <w:rsid w:val="73C82B32"/>
    <w:rsid w:val="73FB0186"/>
    <w:rsid w:val="75153B55"/>
    <w:rsid w:val="75AB6156"/>
    <w:rsid w:val="76514C17"/>
    <w:rsid w:val="773109EF"/>
    <w:rsid w:val="77476464"/>
    <w:rsid w:val="77830218"/>
    <w:rsid w:val="78574485"/>
    <w:rsid w:val="78A83695"/>
    <w:rsid w:val="78B43685"/>
    <w:rsid w:val="7A074F0E"/>
    <w:rsid w:val="7B947027"/>
    <w:rsid w:val="7BE81275"/>
    <w:rsid w:val="7DFF04BA"/>
    <w:rsid w:val="7E0A3481"/>
    <w:rsid w:val="7E227E81"/>
    <w:rsid w:val="7E4859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2768</Words>
  <Characters>3033</Characters>
  <Lines>0</Lines>
  <Paragraphs>0</Paragraphs>
  <TotalTime>14</TotalTime>
  <ScaleCrop>false</ScaleCrop>
  <LinksUpToDate>false</LinksUpToDate>
  <CharactersWithSpaces>3060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Administrator</cp:lastModifiedBy>
  <dcterms:modified xsi:type="dcterms:W3CDTF">2023-06-19T04:31:57Z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F312DFDB912C45188F9C3083D5FDA0CC_13</vt:lpwstr>
  </property>
</Properties>
</file>