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82" w:line="224" w:lineRule="auto"/>
        <w:ind w:left="68"/>
        <w:rPr>
          <w:rFonts w:hint="eastAsia" w:ascii="黑体" w:hAnsi="黑体" w:eastAsia="黑体" w:cs="黑体"/>
          <w:b/>
          <w:bCs/>
          <w:color w:val="auto"/>
          <w:spacing w:val="-19"/>
          <w:sz w:val="25"/>
          <w:szCs w:val="25"/>
          <w:lang w:val="en-US" w:eastAsia="zh-CN"/>
        </w:rPr>
      </w:pPr>
      <w:r>
        <w:rPr>
          <w:rFonts w:hint="eastAsia" w:ascii="黑体" w:hAnsi="黑体" w:eastAsia="黑体" w:cs="黑体"/>
          <w:b/>
          <w:bCs/>
          <w:color w:val="auto"/>
          <w:spacing w:val="-19"/>
          <w:sz w:val="25"/>
          <w:szCs w:val="25"/>
          <w:lang w:eastAsia="zh-CN"/>
        </w:rPr>
        <w:t>附件</w:t>
      </w:r>
      <w:r>
        <w:rPr>
          <w:rFonts w:hint="eastAsia" w:ascii="黑体" w:hAnsi="黑体" w:eastAsia="黑体" w:cs="黑体"/>
          <w:b/>
          <w:bCs/>
          <w:color w:val="auto"/>
          <w:spacing w:val="-19"/>
          <w:sz w:val="25"/>
          <w:szCs w:val="25"/>
          <w:lang w:val="en-US" w:eastAsia="zh-CN"/>
        </w:rPr>
        <w:t>2</w:t>
      </w:r>
    </w:p>
    <w:p>
      <w:pPr>
        <w:pStyle w:val="2"/>
        <w:rPr>
          <w:rFonts w:hint="eastAsia"/>
          <w:lang w:val="en-US" w:eastAsia="zh-CN"/>
        </w:rPr>
      </w:pPr>
    </w:p>
    <w:p>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rPr>
        <w:t xml:space="preserve"> </w:t>
      </w:r>
      <w:r>
        <w:rPr>
          <w:rFonts w:hint="eastAsia" w:ascii="方正小标宋简体" w:hAnsi="方正小标宋简体" w:eastAsia="方正小标宋简体" w:cs="方正小标宋简体"/>
          <w:b w:val="0"/>
          <w:bCs/>
          <w:color w:val="auto"/>
          <w:sz w:val="44"/>
          <w:szCs w:val="44"/>
          <w:lang w:val="en-US" w:eastAsia="zh-CN"/>
        </w:rPr>
        <w:t>兴国县皮肤病性病防治所2022年</w:t>
      </w:r>
      <w:r>
        <w:rPr>
          <w:rFonts w:hint="eastAsia" w:ascii="方正小标宋简体" w:hAnsi="方正小标宋简体" w:eastAsia="方正小标宋简体" w:cs="方正小标宋简体"/>
          <w:b w:val="0"/>
          <w:bCs/>
          <w:color w:val="auto"/>
          <w:sz w:val="44"/>
          <w:szCs w:val="44"/>
          <w:lang w:eastAsia="zh-CN"/>
        </w:rPr>
        <w:t>单位</w:t>
      </w:r>
      <w:r>
        <w:rPr>
          <w:rFonts w:hint="eastAsia" w:ascii="方正小标宋简体" w:hAnsi="方正小标宋简体" w:eastAsia="方正小标宋简体" w:cs="方正小标宋简体"/>
          <w:b w:val="0"/>
          <w:bCs/>
          <w:color w:val="auto"/>
          <w:sz w:val="44"/>
          <w:szCs w:val="44"/>
        </w:rPr>
        <w:t>预算编制说明</w:t>
      </w:r>
    </w:p>
    <w:p>
      <w:pPr>
        <w:spacing w:line="560" w:lineRule="exact"/>
        <w:jc w:val="center"/>
        <w:rPr>
          <w:rFonts w:ascii="黑体" w:hAnsi="黑体" w:eastAsia="黑体" w:cs="黑体"/>
          <w:color w:val="auto"/>
          <w:sz w:val="32"/>
          <w:szCs w:val="32"/>
        </w:rPr>
      </w:pPr>
      <w:r>
        <w:rPr>
          <w:rFonts w:hint="eastAsia" w:ascii="黑体" w:hAnsi="黑体" w:eastAsia="黑体" w:cs="黑体"/>
          <w:color w:val="auto"/>
          <w:sz w:val="32"/>
          <w:szCs w:val="32"/>
        </w:rPr>
        <w:t>目  录</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第一部分 兴国县</w:t>
      </w:r>
      <w:r>
        <w:rPr>
          <w:rFonts w:hint="eastAsia" w:ascii="仿宋" w:hAnsi="仿宋" w:eastAsia="仿宋" w:cs="仿宋"/>
          <w:b/>
          <w:bCs/>
          <w:color w:val="auto"/>
          <w:sz w:val="32"/>
          <w:szCs w:val="32"/>
          <w:lang w:val="en-US" w:eastAsia="zh-CN"/>
        </w:rPr>
        <w:t>皮肤病性病防治所</w:t>
      </w:r>
      <w:r>
        <w:rPr>
          <w:rFonts w:hint="eastAsia" w:ascii="仿宋" w:hAnsi="仿宋" w:eastAsia="仿宋" w:cs="仿宋"/>
          <w:b/>
          <w:bCs/>
          <w:color w:val="auto"/>
          <w:sz w:val="32"/>
          <w:szCs w:val="32"/>
          <w:lang w:eastAsia="zh-CN"/>
        </w:rPr>
        <w:t>单位</w:t>
      </w:r>
      <w:r>
        <w:rPr>
          <w:rFonts w:hint="eastAsia" w:ascii="仿宋" w:hAnsi="仿宋" w:eastAsia="仿宋" w:cs="仿宋"/>
          <w:b/>
          <w:bCs/>
          <w:color w:val="auto"/>
          <w:sz w:val="32"/>
          <w:szCs w:val="32"/>
        </w:rPr>
        <w:t>概况</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主要职责</w:t>
      </w:r>
    </w:p>
    <w:p>
      <w:pPr>
        <w:numPr>
          <w:ilvl w:val="0"/>
          <w:numId w:val="1"/>
        </w:num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基本情况</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第二部分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val="en-US" w:eastAsia="zh-CN"/>
        </w:rPr>
        <w:t>皮肤病性病防治所</w:t>
      </w:r>
      <w:r>
        <w:rPr>
          <w:rFonts w:hint="eastAsia" w:ascii="仿宋" w:hAnsi="仿宋" w:eastAsia="仿宋" w:cs="仿宋"/>
          <w:b/>
          <w:bCs/>
          <w:color w:val="auto"/>
          <w:sz w:val="32"/>
          <w:szCs w:val="32"/>
        </w:rPr>
        <w:t>单位预算情况说明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val="en-US" w:eastAsia="zh-CN"/>
        </w:rPr>
        <w:t>2022年</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预算收支情况说明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年“三公”经费预算情况说明</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第三部分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val="en-US" w:eastAsia="zh-CN"/>
        </w:rPr>
        <w:t>皮肤病性病防治所</w:t>
      </w:r>
      <w:r>
        <w:rPr>
          <w:rFonts w:hint="eastAsia" w:ascii="仿宋" w:hAnsi="仿宋" w:eastAsia="仿宋" w:cs="仿宋"/>
          <w:b/>
          <w:bCs/>
          <w:color w:val="auto"/>
          <w:sz w:val="32"/>
          <w:szCs w:val="32"/>
        </w:rPr>
        <w:t>单位预算表</w:t>
      </w:r>
    </w:p>
    <w:p>
      <w:pPr>
        <w:numPr>
          <w:ilvl w:val="0"/>
          <w:numId w:val="0"/>
        </w:numPr>
        <w:spacing w:line="560" w:lineRule="exact"/>
        <w:ind w:leftChars="272"/>
      </w:pP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rPr>
        <w:t>《收支预算总表》</w:t>
      </w:r>
    </w:p>
    <w:p>
      <w:pPr>
        <w:numPr>
          <w:ilvl w:val="0"/>
          <w:numId w:val="0"/>
        </w:numPr>
        <w:spacing w:line="560" w:lineRule="exact"/>
        <w:ind w:leftChars="272"/>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rPr>
        <w:t>《部门收入总表》</w:t>
      </w:r>
    </w:p>
    <w:p>
      <w:pPr>
        <w:numPr>
          <w:ilvl w:val="0"/>
          <w:numId w:val="0"/>
        </w:num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《部门支出总表》</w:t>
      </w:r>
    </w:p>
    <w:p>
      <w:pPr>
        <w:numPr>
          <w:ilvl w:val="0"/>
          <w:numId w:val="0"/>
        </w:num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《财政拨款收支总表》</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五、《一般公共预算支出表》</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六、《一般公共预算基本支出表》</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七、《一般公共预算“三公”经费支出表》</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八、《政府性基金预算支出表》</w:t>
      </w:r>
    </w:p>
    <w:p>
      <w:pPr>
        <w:numPr>
          <w:ilvl w:val="0"/>
          <w:numId w:val="0"/>
        </w:numPr>
        <w:spacing w:line="560" w:lineRule="exact"/>
        <w:ind w:firstLine="64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九、</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国有资本经营</w:t>
      </w:r>
      <w:r>
        <w:rPr>
          <w:rFonts w:hint="eastAsia" w:ascii="仿宋" w:hAnsi="仿宋" w:eastAsia="仿宋" w:cs="仿宋"/>
          <w:color w:val="auto"/>
          <w:sz w:val="32"/>
          <w:szCs w:val="32"/>
        </w:rPr>
        <w:t>预算支出表》</w:t>
      </w:r>
    </w:p>
    <w:p>
      <w:pPr>
        <w:numPr>
          <w:ilvl w:val="0"/>
          <w:numId w:val="0"/>
        </w:numPr>
        <w:spacing w:line="560" w:lineRule="exact"/>
        <w:ind w:firstLine="64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十、</w:t>
      </w:r>
      <w:r>
        <w:rPr>
          <w:rFonts w:hint="eastAsia" w:ascii="仿宋" w:hAnsi="仿宋" w:eastAsia="仿宋" w:cs="仿宋"/>
          <w:color w:val="auto"/>
          <w:sz w:val="32"/>
          <w:szCs w:val="32"/>
        </w:rPr>
        <w:t>《部门整体支出绩效目标表》</w:t>
      </w:r>
    </w:p>
    <w:p>
      <w:pPr>
        <w:pStyle w:val="2"/>
        <w:rPr>
          <w:rFonts w:hint="default" w:eastAsia="仿宋"/>
          <w:lang w:val="en-US" w:eastAsia="zh-CN"/>
        </w:rPr>
      </w:pPr>
      <w:r>
        <w:rPr>
          <w:rFonts w:hint="eastAsia" w:ascii="仿宋" w:hAnsi="仿宋" w:eastAsia="仿宋" w:cs="仿宋"/>
          <w:color w:val="auto"/>
          <w:sz w:val="32"/>
          <w:szCs w:val="32"/>
          <w:lang w:val="en-US" w:eastAsia="zh-CN"/>
        </w:rPr>
        <w:t xml:space="preserve">    十一、</w:t>
      </w:r>
      <w:r>
        <w:rPr>
          <w:rFonts w:hint="eastAsia" w:ascii="仿宋" w:hAnsi="仿宋" w:eastAsia="仿宋" w:cs="仿宋"/>
          <w:color w:val="auto"/>
          <w:sz w:val="32"/>
          <w:szCs w:val="32"/>
        </w:rPr>
        <w:t>《项目支出绩效目标表》</w:t>
      </w:r>
    </w:p>
    <w:p>
      <w:pPr>
        <w:numPr>
          <w:ilvl w:val="0"/>
          <w:numId w:val="0"/>
        </w:numPr>
        <w:spacing w:line="56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第四部分 名词解释</w:t>
      </w: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第一部分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兴国县</w:t>
      </w:r>
      <w:r>
        <w:rPr>
          <w:rFonts w:hint="eastAsia" w:ascii="仿宋" w:hAnsi="仿宋" w:eastAsia="仿宋" w:cs="仿宋"/>
          <w:b/>
          <w:bCs/>
          <w:color w:val="auto"/>
          <w:sz w:val="32"/>
          <w:szCs w:val="32"/>
          <w:lang w:val="en-US" w:eastAsia="zh-CN"/>
        </w:rPr>
        <w:t>皮肤病性病防治所</w:t>
      </w:r>
      <w:r>
        <w:rPr>
          <w:rFonts w:hint="eastAsia" w:ascii="黑体" w:hAnsi="黑体" w:eastAsia="黑体" w:cs="黑体"/>
          <w:b w:val="0"/>
          <w:bCs w:val="0"/>
          <w:color w:val="auto"/>
          <w:sz w:val="32"/>
          <w:szCs w:val="32"/>
          <w:lang w:eastAsia="zh-CN"/>
        </w:rPr>
        <w:t>单位</w:t>
      </w:r>
      <w:r>
        <w:rPr>
          <w:rFonts w:hint="eastAsia" w:ascii="黑体" w:hAnsi="黑体" w:eastAsia="黑体" w:cs="黑体"/>
          <w:b w:val="0"/>
          <w:bCs w:val="0"/>
          <w:color w:val="auto"/>
          <w:sz w:val="32"/>
          <w:szCs w:val="32"/>
        </w:rPr>
        <w:t>部门概况</w:t>
      </w:r>
    </w:p>
    <w:p>
      <w:pPr>
        <w:spacing w:line="560" w:lineRule="exact"/>
        <w:jc w:val="center"/>
        <w:rPr>
          <w:rFonts w:ascii="仿宋" w:hAnsi="仿宋" w:eastAsia="仿宋" w:cs="仿宋"/>
          <w:b/>
          <w:bCs/>
          <w:color w:val="auto"/>
          <w:sz w:val="32"/>
          <w:szCs w:val="32"/>
        </w:rPr>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主要职责</w:t>
      </w:r>
    </w:p>
    <w:p>
      <w:pPr>
        <w:spacing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兴国县皮肤病性病防治所是在兴国县卫生健康委员会领导下的皮肤病</w:t>
      </w:r>
      <w:r>
        <w:rPr>
          <w:rFonts w:hint="eastAsia" w:ascii="仿宋" w:hAnsi="仿宋" w:eastAsia="仿宋" w:cs="仿宋"/>
          <w:sz w:val="32"/>
          <w:szCs w:val="32"/>
          <w:lang w:val="en-US" w:eastAsia="zh-CN"/>
        </w:rPr>
        <w:t>.性病防治</w:t>
      </w:r>
      <w:r>
        <w:rPr>
          <w:rFonts w:hint="eastAsia" w:ascii="仿宋" w:hAnsi="仿宋" w:eastAsia="仿宋" w:cs="仿宋"/>
          <w:sz w:val="32"/>
          <w:szCs w:val="32"/>
        </w:rPr>
        <w:t>机构，主要职责有：、</w:t>
      </w:r>
    </w:p>
    <w:p>
      <w:pPr>
        <w:spacing w:line="54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rPr>
        <w:t>（1）为控制皮肤病</w:t>
      </w:r>
      <w:r>
        <w:rPr>
          <w:rFonts w:hint="eastAsia" w:ascii="仿宋" w:hAnsi="仿宋" w:eastAsia="仿宋" w:cs="仿宋"/>
          <w:sz w:val="32"/>
          <w:szCs w:val="32"/>
          <w:lang w:val="en-US" w:eastAsia="zh-CN"/>
        </w:rPr>
        <w:t>,性病等疾病提供防治保障</w:t>
      </w:r>
      <w:r>
        <w:rPr>
          <w:rFonts w:hint="eastAsia" w:ascii="仿宋" w:hAnsi="仿宋" w:eastAsia="仿宋" w:cs="仿宋"/>
          <w:sz w:val="32"/>
          <w:szCs w:val="32"/>
        </w:rPr>
        <w:t>。</w:t>
      </w:r>
    </w:p>
    <w:p>
      <w:pPr>
        <w:spacing w:line="540" w:lineRule="exact"/>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 xml:space="preserve"> (2)为负责艾滋病.性病,皮肤病.麻风病的监测防治咨询</w:t>
      </w:r>
      <w:r>
        <w:rPr>
          <w:rFonts w:hint="eastAsia" w:ascii="仿宋" w:hAnsi="仿宋" w:eastAsia="仿宋" w:cs="仿宋"/>
          <w:sz w:val="32"/>
          <w:szCs w:val="32"/>
        </w:rPr>
        <w:t>。</w:t>
      </w:r>
    </w:p>
    <w:p>
      <w:pPr>
        <w:spacing w:line="540" w:lineRule="exact"/>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 xml:space="preserve"> (3)为相关疾病研究与技术指导相关专业技术人员培训健康教育</w:t>
      </w:r>
      <w:r>
        <w:rPr>
          <w:rFonts w:hint="eastAsia" w:ascii="仿宋" w:hAnsi="仿宋" w:eastAsia="仿宋" w:cs="仿宋"/>
          <w:sz w:val="32"/>
          <w:szCs w:val="32"/>
        </w:rPr>
        <w:t>。</w:t>
      </w:r>
    </w:p>
    <w:p>
      <w:pPr>
        <w:spacing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4</w:t>
      </w:r>
      <w:r>
        <w:rPr>
          <w:rFonts w:hint="eastAsia" w:ascii="仿宋" w:hAnsi="仿宋" w:eastAsia="仿宋" w:cs="仿宋"/>
          <w:sz w:val="32"/>
          <w:szCs w:val="32"/>
        </w:rPr>
        <w:t>）承办县卫健委布置的其他事项。</w:t>
      </w: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基本情况</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 w:hAnsi="仿宋" w:eastAsia="仿宋" w:cs="仿宋"/>
          <w:color w:val="auto"/>
          <w:sz w:val="24"/>
          <w:szCs w:val="24"/>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b w:val="0"/>
          <w:bCs w:val="0"/>
          <w:color w:val="auto"/>
          <w:sz w:val="32"/>
          <w:szCs w:val="32"/>
          <w:lang w:val="en-US" w:eastAsia="zh-CN"/>
        </w:rPr>
        <w:t>皮肤病性病防治所</w:t>
      </w:r>
      <w:r>
        <w:rPr>
          <w:rFonts w:hint="eastAsia" w:ascii="仿宋" w:hAnsi="仿宋" w:eastAsia="仿宋"/>
          <w:color w:val="auto"/>
          <w:sz w:val="32"/>
          <w:szCs w:val="32"/>
          <w:lang w:eastAsia="zh-CN"/>
        </w:rPr>
        <w:t>单位内设</w:t>
      </w:r>
      <w:r>
        <w:rPr>
          <w:rFonts w:hint="eastAsia" w:ascii="仿宋" w:hAnsi="仿宋" w:eastAsia="仿宋"/>
          <w:color w:val="auto"/>
          <w:sz w:val="32"/>
          <w:szCs w:val="32"/>
          <w:lang w:val="en-US" w:eastAsia="zh-CN"/>
        </w:rPr>
        <w:t>科室9</w:t>
      </w:r>
      <w:r>
        <w:rPr>
          <w:rFonts w:ascii="仿宋" w:hAnsi="仿宋" w:eastAsia="仿宋"/>
          <w:color w:val="auto"/>
          <w:sz w:val="32"/>
          <w:szCs w:val="32"/>
        </w:rPr>
        <w:t>个，包括</w:t>
      </w:r>
      <w:r>
        <w:rPr>
          <w:rFonts w:hint="eastAsia" w:ascii="仿宋" w:hAnsi="仿宋" w:eastAsia="仿宋"/>
          <w:color w:val="auto"/>
          <w:sz w:val="32"/>
          <w:szCs w:val="32"/>
        </w:rPr>
        <w:t>：</w:t>
      </w:r>
      <w:r>
        <w:rPr>
          <w:rFonts w:ascii="仿宋" w:hAnsi="仿宋" w:eastAsia="仿宋"/>
          <w:color w:val="auto"/>
          <w:sz w:val="32"/>
          <w:szCs w:val="32"/>
        </w:rPr>
        <w:t>包括</w:t>
      </w:r>
      <w:r>
        <w:rPr>
          <w:rFonts w:hint="eastAsia" w:ascii="仿宋" w:hAnsi="仿宋" w:eastAsia="仿宋"/>
          <w:color w:val="auto"/>
          <w:sz w:val="32"/>
          <w:szCs w:val="32"/>
        </w:rPr>
        <w:t>：</w:t>
      </w:r>
      <w:r>
        <w:rPr>
          <w:rFonts w:hint="eastAsia" w:ascii="仿宋" w:hAnsi="仿宋" w:eastAsia="仿宋" w:cs="仿宋"/>
          <w:sz w:val="32"/>
          <w:szCs w:val="32"/>
          <w:lang w:val="en-US" w:eastAsia="zh-CN"/>
        </w:rPr>
        <w:t>皮肤病性病内科、美容科、性病防治科</w:t>
      </w:r>
      <w:r>
        <w:rPr>
          <w:rFonts w:hint="eastAsia" w:ascii="仿宋" w:hAnsi="仿宋" w:eastAsia="仿宋"/>
          <w:color w:val="auto"/>
          <w:sz w:val="32"/>
          <w:szCs w:val="32"/>
          <w:lang w:val="en-US" w:eastAsia="zh-CN"/>
        </w:rPr>
        <w:t>、药剂科、收费室、化验室、护理组、财务室、办公室。</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${page400644146.ds532982397_REP_JX_BAS_AGENCY_INFO_ZYFRS_S_BZRSXJ}</w:instrText>
      </w:r>
      <w:r>
        <w:rPr>
          <w:rFonts w:ascii="仿宋" w:hAnsi="仿宋" w:eastAsia="仿宋"/>
          <w:color w:val="auto"/>
          <w:sz w:val="32"/>
          <w:szCs w:val="32"/>
        </w:rPr>
        <w:fldChar w:fldCharType="separate"/>
      </w:r>
      <w:r>
        <w:rPr>
          <w:rFonts w:ascii="仿宋" w:hAnsi="仿宋" w:eastAsia="仿宋"/>
          <w:color w:val="auto"/>
          <w:sz w:val="32"/>
          <w:szCs w:val="32"/>
        </w:rPr>
        <w:t>编制人数小计</w:t>
      </w:r>
      <w:r>
        <w:rPr>
          <w:rFonts w:hint="eastAsia" w:ascii="仿宋" w:hAnsi="仿宋" w:eastAsia="仿宋"/>
          <w:color w:val="auto"/>
          <w:sz w:val="32"/>
          <w:szCs w:val="32"/>
          <w:lang w:val="en-US" w:eastAsia="zh-CN"/>
        </w:rPr>
        <w:t>10</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t>其中：</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${page400644146.ds532982397_REP_JX_BAS_AGENCY_INFO_ZYFRS_S_BZRSMX}</w:instrText>
      </w:r>
      <w:r>
        <w:rPr>
          <w:rFonts w:ascii="仿宋" w:hAnsi="仿宋" w:eastAsia="仿宋"/>
          <w:color w:val="auto"/>
          <w:sz w:val="32"/>
          <w:szCs w:val="32"/>
        </w:rPr>
        <w:fldChar w:fldCharType="separate"/>
      </w:r>
      <w:r>
        <w:rPr>
          <w:rFonts w:ascii="仿宋" w:hAnsi="仿宋" w:eastAsia="仿宋"/>
          <w:color w:val="auto"/>
          <w:sz w:val="32"/>
          <w:szCs w:val="32"/>
        </w:rPr>
        <w:t>行政编制人数</w:t>
      </w:r>
      <w:r>
        <w:rPr>
          <w:rFonts w:hint="eastAsia" w:ascii="仿宋" w:hAnsi="仿宋" w:eastAsia="仿宋" w:cs="Times New Roman"/>
          <w:color w:val="auto"/>
          <w:kern w:val="0"/>
          <w:sz w:val="32"/>
          <w:szCs w:val="32"/>
          <w:u w:val="none"/>
          <w:lang w:val="en-US" w:eastAsia="zh-CN"/>
        </w:rPr>
        <w:t>0</w:t>
      </w:r>
      <w:r>
        <w:rPr>
          <w:rFonts w:ascii="仿宋" w:hAnsi="仿宋" w:eastAsia="仿宋"/>
          <w:color w:val="auto"/>
          <w:sz w:val="32"/>
          <w:szCs w:val="32"/>
        </w:rPr>
        <w:t>人,参照公务员管理的事业编制人数</w:t>
      </w:r>
      <w:r>
        <w:rPr>
          <w:rFonts w:hint="eastAsia" w:ascii="仿宋" w:hAnsi="仿宋" w:eastAsia="仿宋"/>
          <w:color w:val="auto"/>
          <w:sz w:val="32"/>
          <w:szCs w:val="32"/>
          <w:lang w:val="en-US" w:eastAsia="zh-CN"/>
        </w:rPr>
        <w:t>0</w:t>
      </w:r>
      <w:r>
        <w:rPr>
          <w:rFonts w:ascii="仿宋" w:hAnsi="仿宋" w:eastAsia="仿宋"/>
          <w:color w:val="auto"/>
          <w:sz w:val="32"/>
          <w:szCs w:val="32"/>
        </w:rPr>
        <w:t>人,全部补助事业在职人数</w:t>
      </w:r>
      <w:r>
        <w:rPr>
          <w:rFonts w:hint="eastAsia" w:ascii="仿宋" w:hAnsi="仿宋" w:eastAsia="仿宋"/>
          <w:color w:val="auto"/>
          <w:sz w:val="32"/>
          <w:szCs w:val="32"/>
          <w:lang w:val="en-US" w:eastAsia="zh-CN"/>
        </w:rPr>
        <w:t>10</w:t>
      </w:r>
      <w:r>
        <w:rPr>
          <w:rFonts w:ascii="仿宋" w:hAnsi="仿宋" w:eastAsia="仿宋"/>
          <w:color w:val="auto"/>
          <w:sz w:val="32"/>
          <w:szCs w:val="32"/>
        </w:rPr>
        <w:t>人,自收自支编制人数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${page400644146.ds532982397_REP_JX_BAS_AGENCY_INFO_ZYFRS_S_SYRSXJ}</w:instrText>
      </w:r>
      <w:r>
        <w:rPr>
          <w:rFonts w:ascii="仿宋" w:hAnsi="仿宋" w:eastAsia="仿宋"/>
          <w:color w:val="auto"/>
          <w:sz w:val="32"/>
          <w:szCs w:val="32"/>
        </w:rPr>
        <w:fldChar w:fldCharType="separate"/>
      </w:r>
      <w:r>
        <w:rPr>
          <w:rFonts w:ascii="仿宋" w:hAnsi="仿宋" w:eastAsia="仿宋"/>
          <w:color w:val="auto"/>
          <w:sz w:val="32"/>
          <w:szCs w:val="32"/>
        </w:rPr>
        <w:t>实有人数小计</w:t>
      </w:r>
      <w:r>
        <w:rPr>
          <w:rFonts w:hint="eastAsia" w:ascii="仿宋" w:hAnsi="仿宋" w:eastAsia="仿宋"/>
          <w:color w:val="auto"/>
          <w:sz w:val="32"/>
          <w:szCs w:val="32"/>
          <w:lang w:val="en-US" w:eastAsia="zh-CN"/>
        </w:rPr>
        <w:t>20</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t>其中：</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${page400644146.ds532982397_REP_JX_BAS_AGENCY_INFO_ZYFRS_S_ZZRSXJ}</w:instrText>
      </w:r>
      <w:r>
        <w:rPr>
          <w:rFonts w:ascii="仿宋" w:hAnsi="仿宋" w:eastAsia="仿宋"/>
          <w:color w:val="auto"/>
          <w:sz w:val="32"/>
          <w:szCs w:val="32"/>
        </w:rPr>
        <w:fldChar w:fldCharType="separate"/>
      </w:r>
      <w:r>
        <w:rPr>
          <w:rFonts w:ascii="仿宋" w:hAnsi="仿宋" w:eastAsia="仿宋"/>
          <w:color w:val="auto"/>
          <w:sz w:val="32"/>
          <w:szCs w:val="32"/>
        </w:rPr>
        <w:t>在职人数小计</w:t>
      </w:r>
      <w:r>
        <w:rPr>
          <w:rFonts w:hint="eastAsia" w:ascii="仿宋" w:hAnsi="仿宋" w:eastAsia="仿宋"/>
          <w:color w:val="auto"/>
          <w:sz w:val="32"/>
          <w:szCs w:val="32"/>
          <w:lang w:val="en-US" w:eastAsia="zh-CN"/>
        </w:rPr>
        <w:t>20</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${page400644146.ds532982397_REP_JX_BAS_AGENCY_INFO_ZYFRS_S_ZZRSMX}</w:instrText>
      </w:r>
      <w:r>
        <w:rPr>
          <w:rFonts w:ascii="仿宋" w:hAnsi="仿宋" w:eastAsia="仿宋"/>
          <w:color w:val="auto"/>
          <w:sz w:val="32"/>
          <w:szCs w:val="32"/>
        </w:rPr>
        <w:fldChar w:fldCharType="separate"/>
      </w:r>
      <w:r>
        <w:rPr>
          <w:rFonts w:ascii="仿宋" w:hAnsi="仿宋" w:eastAsia="仿宋"/>
          <w:color w:val="auto"/>
          <w:sz w:val="32"/>
          <w:szCs w:val="32"/>
        </w:rPr>
        <w:t>行政在职人数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人,参照公务员管理的事业单位在职人数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人,全部补助事业在职人数</w:t>
      </w:r>
      <w:r>
        <w:rPr>
          <w:rFonts w:hint="eastAsia" w:ascii="仿宋" w:hAnsi="仿宋" w:eastAsia="仿宋"/>
          <w:color w:val="auto"/>
          <w:sz w:val="32"/>
          <w:szCs w:val="32"/>
          <w:lang w:val="en-US" w:eastAsia="zh-CN"/>
        </w:rPr>
        <w:t>7</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${page400644146.ds532982397_REP_JX_BAS_AGENCY_INFO_ZYFRS_S_QTRSMX}</w:instrText>
      </w:r>
      <w:r>
        <w:rPr>
          <w:rFonts w:ascii="仿宋" w:hAnsi="仿宋" w:eastAsia="仿宋"/>
          <w:color w:val="auto"/>
          <w:sz w:val="32"/>
          <w:szCs w:val="32"/>
        </w:rPr>
        <w:fldChar w:fldCharType="separate"/>
      </w:r>
      <w:r>
        <w:rPr>
          <w:rFonts w:ascii="仿宋" w:hAnsi="仿宋" w:eastAsia="仿宋"/>
          <w:color w:val="auto"/>
          <w:sz w:val="32"/>
          <w:szCs w:val="32"/>
        </w:rPr>
        <w:t>离休人数小计</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人,退休人数小计</w:t>
      </w:r>
      <w:r>
        <w:rPr>
          <w:rFonts w:hint="eastAsia" w:ascii="仿宋" w:hAnsi="仿宋" w:eastAsia="仿宋"/>
          <w:color w:val="auto"/>
          <w:sz w:val="32"/>
          <w:szCs w:val="32"/>
          <w:lang w:val="en-US" w:eastAsia="zh-CN"/>
        </w:rPr>
        <w:t>5</w:t>
      </w:r>
      <w:r>
        <w:rPr>
          <w:rFonts w:ascii="仿宋" w:hAnsi="仿宋" w:eastAsia="仿宋"/>
          <w:color w:val="auto"/>
          <w:sz w:val="32"/>
          <w:szCs w:val="32"/>
        </w:rPr>
        <w:t>人,退职人员</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人,遗属人数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w:t>
      </w:r>
      <w:r>
        <w:rPr>
          <w:color w:val="auto"/>
        </w:rPr>
        <w:fldChar w:fldCharType="end"/>
      </w:r>
    </w:p>
    <w:p>
      <w:pPr>
        <w:spacing w:line="560" w:lineRule="exact"/>
        <w:rPr>
          <w:rFonts w:ascii="仿宋" w:hAnsi="仿宋" w:eastAsia="仿宋" w:cs="仿宋"/>
          <w:color w:val="auto"/>
          <w:sz w:val="32"/>
          <w:szCs w:val="32"/>
        </w:rPr>
      </w:pP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第二部分 兴国县</w:t>
      </w:r>
      <w:r>
        <w:rPr>
          <w:rFonts w:hint="eastAsia" w:ascii="仿宋" w:hAnsi="仿宋" w:eastAsia="仿宋" w:cs="仿宋"/>
          <w:b/>
          <w:bCs/>
          <w:color w:val="auto"/>
          <w:sz w:val="32"/>
          <w:szCs w:val="32"/>
          <w:lang w:val="en-US" w:eastAsia="zh-CN"/>
        </w:rPr>
        <w:t>皮肤病性病防治所</w:t>
      </w:r>
      <w:r>
        <w:rPr>
          <w:rFonts w:hint="eastAsia" w:ascii="黑体" w:hAnsi="黑体" w:eastAsia="黑体" w:cs="黑体"/>
          <w:b w:val="0"/>
          <w:bCs w:val="0"/>
          <w:color w:val="auto"/>
          <w:sz w:val="32"/>
          <w:szCs w:val="32"/>
          <w:lang w:eastAsia="zh-CN"/>
        </w:rPr>
        <w:t>单位</w:t>
      </w:r>
      <w:r>
        <w:rPr>
          <w:rFonts w:hint="eastAsia" w:ascii="黑体" w:hAnsi="黑体" w:eastAsia="黑体" w:cs="黑体"/>
          <w:b w:val="0"/>
          <w:bCs w:val="0"/>
          <w:color w:val="auto"/>
          <w:sz w:val="32"/>
          <w:szCs w:val="32"/>
        </w:rPr>
        <w:t>预算情况说明</w:t>
      </w:r>
    </w:p>
    <w:p>
      <w:pPr>
        <w:spacing w:line="560" w:lineRule="exact"/>
        <w:jc w:val="center"/>
        <w:rPr>
          <w:rFonts w:ascii="仿宋" w:hAnsi="仿宋" w:eastAsia="仿宋" w:cs="仿宋"/>
          <w:b/>
          <w:bCs/>
          <w:color w:val="auto"/>
          <w:sz w:val="32"/>
          <w:szCs w:val="32"/>
        </w:rPr>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val="en-US" w:eastAsia="zh-CN"/>
        </w:rPr>
        <w:t>2022</w:t>
      </w:r>
      <w:r>
        <w:rPr>
          <w:rFonts w:hint="eastAsia" w:ascii="楷体" w:hAnsi="楷体" w:eastAsia="楷体" w:cs="楷体"/>
          <w:b/>
          <w:bCs/>
          <w:color w:val="auto"/>
          <w:sz w:val="32"/>
          <w:szCs w:val="32"/>
        </w:rPr>
        <w:t>年</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预算收支情况说明</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（一）收入预算情况</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本单位收入</w:t>
      </w:r>
      <w:r>
        <w:rPr>
          <w:rFonts w:hint="eastAsia" w:ascii="仿宋" w:hAnsi="仿宋" w:eastAsia="仿宋" w:cs="仿宋"/>
          <w:color w:val="auto"/>
          <w:sz w:val="32"/>
          <w:szCs w:val="32"/>
        </w:rPr>
        <w:t>预算</w:t>
      </w:r>
      <w:r>
        <w:rPr>
          <w:rFonts w:hint="eastAsia" w:ascii="仿宋" w:hAnsi="仿宋" w:eastAsia="仿宋" w:cs="仿宋"/>
          <w:color w:val="auto"/>
          <w:sz w:val="32"/>
          <w:szCs w:val="32"/>
          <w:lang w:eastAsia="zh-CN"/>
        </w:rPr>
        <w:t>总额</w:t>
      </w:r>
      <w:r>
        <w:rPr>
          <w:rFonts w:hint="eastAsia" w:ascii="仿宋" w:hAnsi="仿宋" w:eastAsia="仿宋" w:cs="仿宋"/>
          <w:color w:val="auto"/>
          <w:sz w:val="32"/>
          <w:szCs w:val="32"/>
          <w:lang w:val="en-US" w:eastAsia="zh-CN"/>
        </w:rPr>
        <w:t>443.50</w:t>
      </w:r>
      <w:r>
        <w:rPr>
          <w:rFonts w:hint="eastAsia" w:ascii="仿宋" w:hAnsi="仿宋" w:eastAsia="仿宋" w:cs="仿宋"/>
          <w:color w:val="auto"/>
          <w:sz w:val="32"/>
          <w:szCs w:val="32"/>
        </w:rPr>
        <w:t>万元，较上年预算安排</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122.68</w:t>
      </w:r>
      <w:r>
        <w:rPr>
          <w:rFonts w:hint="eastAsia" w:ascii="仿宋" w:hAnsi="仿宋" w:eastAsia="仿宋" w:cs="仿宋"/>
          <w:color w:val="auto"/>
          <w:sz w:val="32"/>
          <w:szCs w:val="32"/>
          <w:lang w:eastAsia="zh-CN"/>
        </w:rPr>
        <w:t>万元，增加</w:t>
      </w:r>
      <w:r>
        <w:rPr>
          <w:rFonts w:hint="eastAsia" w:ascii="仿宋" w:hAnsi="仿宋" w:eastAsia="仿宋" w:cs="仿宋"/>
          <w:color w:val="auto"/>
          <w:sz w:val="32"/>
          <w:szCs w:val="32"/>
          <w:lang w:val="en-US" w:eastAsia="zh-CN"/>
        </w:rPr>
        <w:t>38.2%</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增减变化主要原因是：专业技术人员增加、人员进修后业务能力拓展。</w:t>
      </w:r>
    </w:p>
    <w:p>
      <w:pPr>
        <w:spacing w:line="56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具体为：</w:t>
      </w:r>
      <w:r>
        <w:rPr>
          <w:rFonts w:hint="eastAsia" w:ascii="仿宋" w:hAnsi="仿宋" w:eastAsia="仿宋" w:cs="仿宋"/>
          <w:color w:val="auto"/>
          <w:sz w:val="32"/>
          <w:szCs w:val="32"/>
          <w:lang w:val="en-US" w:eastAsia="zh-CN"/>
        </w:rPr>
        <w:t>财政拨款收入65.11</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，占收入预算总额</w:t>
      </w:r>
      <w:r>
        <w:rPr>
          <w:rFonts w:hint="eastAsia" w:ascii="仿宋" w:hAnsi="仿宋" w:eastAsia="仿宋" w:cs="仿宋"/>
          <w:color w:val="auto"/>
          <w:sz w:val="30"/>
          <w:szCs w:val="30"/>
          <w:lang w:eastAsia="zh-CN"/>
        </w:rPr>
        <w:t>的</w:t>
      </w:r>
      <w:r>
        <w:rPr>
          <w:rFonts w:hint="eastAsia" w:ascii="仿宋" w:hAnsi="仿宋" w:eastAsia="仿宋" w:cs="仿宋"/>
          <w:color w:val="auto"/>
          <w:sz w:val="32"/>
          <w:szCs w:val="32"/>
          <w:lang w:val="en-US" w:eastAsia="zh-CN"/>
        </w:rPr>
        <w:t>14.68%，</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27.65万元；事业收入378.39</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，占收入预算总额的</w:t>
      </w:r>
      <w:r>
        <w:rPr>
          <w:rFonts w:hint="eastAsia" w:ascii="仿宋" w:hAnsi="仿宋" w:eastAsia="仿宋" w:cs="仿宋"/>
          <w:color w:val="auto"/>
          <w:sz w:val="32"/>
          <w:szCs w:val="32"/>
          <w:lang w:val="en-US" w:eastAsia="zh-CN"/>
        </w:rPr>
        <w:t>85.32%，</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150.33万元。</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（二）支出预算情况</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本单位</w:t>
      </w:r>
      <w:r>
        <w:rPr>
          <w:rFonts w:hint="eastAsia" w:ascii="仿宋" w:hAnsi="仿宋" w:eastAsia="仿宋" w:cs="仿宋"/>
          <w:color w:val="auto"/>
          <w:sz w:val="32"/>
          <w:szCs w:val="32"/>
        </w:rPr>
        <w:t>支出预算</w:t>
      </w:r>
      <w:r>
        <w:rPr>
          <w:rFonts w:hint="eastAsia" w:ascii="仿宋" w:hAnsi="仿宋" w:eastAsia="仿宋" w:cs="仿宋"/>
          <w:color w:val="auto"/>
          <w:sz w:val="32"/>
          <w:szCs w:val="32"/>
          <w:lang w:eastAsia="zh-CN"/>
        </w:rPr>
        <w:t>总额</w:t>
      </w:r>
      <w:r>
        <w:rPr>
          <w:rFonts w:hint="eastAsia" w:ascii="仿宋" w:hAnsi="仿宋" w:eastAsia="仿宋" w:cs="仿宋"/>
          <w:color w:val="auto"/>
          <w:sz w:val="32"/>
          <w:szCs w:val="32"/>
          <w:lang w:val="en-US" w:eastAsia="zh-CN"/>
        </w:rPr>
        <w:t>443.50</w:t>
      </w:r>
      <w:r>
        <w:rPr>
          <w:rFonts w:hint="eastAsia" w:ascii="仿宋" w:hAnsi="仿宋" w:eastAsia="仿宋" w:cs="仿宋"/>
          <w:color w:val="auto"/>
          <w:sz w:val="32"/>
          <w:szCs w:val="32"/>
        </w:rPr>
        <w:t>万元，较上年预算安排</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122.68</w:t>
      </w:r>
      <w:r>
        <w:rPr>
          <w:rFonts w:hint="eastAsia" w:ascii="仿宋" w:hAnsi="仿宋" w:eastAsia="仿宋" w:cs="仿宋"/>
          <w:color w:val="auto"/>
          <w:sz w:val="32"/>
          <w:szCs w:val="32"/>
          <w:lang w:eastAsia="zh-CN"/>
        </w:rPr>
        <w:t>万元，增加</w:t>
      </w:r>
      <w:r>
        <w:rPr>
          <w:rFonts w:hint="eastAsia" w:ascii="仿宋" w:hAnsi="仿宋" w:eastAsia="仿宋" w:cs="仿宋"/>
          <w:color w:val="auto"/>
          <w:sz w:val="32"/>
          <w:szCs w:val="32"/>
          <w:lang w:val="en-US" w:eastAsia="zh-CN"/>
        </w:rPr>
        <w:t>38.2%</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增减变化主要原因是：专业技术人员增加、人员进修后业务能力拓展。</w:t>
      </w:r>
      <w:r>
        <w:rPr>
          <w:rFonts w:hint="eastAsia" w:ascii="仿宋" w:hAnsi="仿宋" w:eastAsia="仿宋" w:cs="仿宋"/>
          <w:color w:val="auto"/>
          <w:sz w:val="32"/>
          <w:szCs w:val="32"/>
        </w:rPr>
        <w:t>具体为：</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按支出项目类别及经济分类科目划分：基本支出</w:t>
      </w:r>
      <w:r>
        <w:rPr>
          <w:rFonts w:hint="eastAsia" w:ascii="仿宋" w:hAnsi="仿宋" w:eastAsia="仿宋" w:cs="仿宋"/>
          <w:color w:val="auto"/>
          <w:sz w:val="32"/>
          <w:szCs w:val="32"/>
          <w:lang w:val="en-US" w:eastAsia="zh-CN"/>
        </w:rPr>
        <w:t>443.50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122.68</w:t>
      </w:r>
      <w:r>
        <w:rPr>
          <w:rFonts w:hint="eastAsia" w:ascii="仿宋" w:hAnsi="仿宋" w:eastAsia="仿宋" w:cs="仿宋"/>
          <w:color w:val="auto"/>
          <w:sz w:val="32"/>
          <w:szCs w:val="32"/>
          <w:lang w:eastAsia="zh-CN"/>
        </w:rPr>
        <w:t>万元，增加</w:t>
      </w:r>
      <w:r>
        <w:rPr>
          <w:rFonts w:hint="eastAsia" w:ascii="仿宋" w:hAnsi="仿宋" w:eastAsia="仿宋" w:cs="仿宋"/>
          <w:color w:val="auto"/>
          <w:sz w:val="32"/>
          <w:szCs w:val="32"/>
          <w:lang w:val="en-US" w:eastAsia="zh-CN"/>
        </w:rPr>
        <w:t>38.2%%</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其中：工资福利支出</w:t>
      </w:r>
      <w:r>
        <w:rPr>
          <w:rFonts w:hint="eastAsia" w:ascii="仿宋" w:hAnsi="仿宋" w:eastAsia="仿宋" w:cs="仿宋"/>
          <w:color w:val="auto"/>
          <w:sz w:val="32"/>
          <w:szCs w:val="32"/>
          <w:lang w:val="en-US" w:eastAsia="zh-CN"/>
        </w:rPr>
        <w:t>113.62</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占预算总额的25.61%，</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20.36万元；商品和服务支出273.88</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占预算总额的61.76%，</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81.32万元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 xml:space="preserve"> 对个人和家庭的补助 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资本性支出56</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占预算总额的12.63%，</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21万元</w:t>
      </w:r>
      <w:r>
        <w:rPr>
          <w:rFonts w:hint="eastAsia" w:ascii="仿宋" w:hAnsi="仿宋" w:eastAsia="仿宋" w:cs="仿宋"/>
          <w:color w:val="auto"/>
          <w:sz w:val="32"/>
          <w:szCs w:val="32"/>
          <w:lang w:eastAsia="zh-CN"/>
        </w:rPr>
        <w:t>；项目支出</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lang w:eastAsia="zh-CN"/>
        </w:rPr>
        <w:t>万元。</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按支出功能分类科目划分：</w:t>
      </w:r>
      <w:r>
        <w:rPr>
          <w:rFonts w:hint="eastAsia" w:ascii="仿宋" w:hAnsi="仿宋" w:eastAsia="仿宋" w:cs="仿宋"/>
          <w:sz w:val="32"/>
          <w:szCs w:val="32"/>
        </w:rPr>
        <w:t>社会保障和就业</w:t>
      </w:r>
      <w:r>
        <w:rPr>
          <w:rFonts w:hint="eastAsia" w:ascii="仿宋" w:hAnsi="仿宋" w:eastAsia="仿宋" w:cs="仿宋"/>
          <w:sz w:val="32"/>
          <w:szCs w:val="32"/>
          <w:lang w:val="en-US" w:eastAsia="zh-CN"/>
        </w:rPr>
        <w:t>7.64</w:t>
      </w:r>
      <w:r>
        <w:rPr>
          <w:rFonts w:hint="eastAsia" w:ascii="仿宋" w:hAnsi="仿宋" w:eastAsia="仿宋" w:cs="仿宋"/>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占预算总额的1.72%</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0.83</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lang w:val="en-US" w:eastAsia="zh-CN"/>
        </w:rPr>
        <w:t>乡镇卫生院435.86</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123.51</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lang w:val="en-US" w:eastAsia="zh-CN"/>
        </w:rPr>
        <w:t>占预算总额的98.28%</w:t>
      </w:r>
      <w:r>
        <w:rPr>
          <w:rFonts w:hint="eastAsia" w:ascii="仿宋" w:hAnsi="仿宋" w:eastAsia="仿宋" w:cs="仿宋"/>
          <w:color w:val="auto"/>
          <w:sz w:val="32"/>
          <w:szCs w:val="32"/>
          <w:lang w:eastAsia="zh-CN"/>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（三）财政拨款支出情况</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2022年本单位财政拨款（补助）支出预算65.11万元，占收入预算总额的14.68%，</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27.65万元，减少29.80%。增减变化主要原因是：</w:t>
      </w:r>
      <w:r>
        <w:rPr>
          <w:rFonts w:hint="eastAsia" w:ascii="仿宋" w:hAnsi="仿宋" w:eastAsia="仿宋" w:cs="仿宋"/>
          <w:color w:val="auto"/>
          <w:sz w:val="32"/>
          <w:szCs w:val="32"/>
          <w:lang w:eastAsia="zh-CN"/>
        </w:rPr>
        <w:t>退休人员的增加，编制人员减少。</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按支出经济分类科目划分：基本支出65.11万元，较上年预算安排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27.65万元，其中：工资福利支出65.11万元，</w:t>
      </w:r>
      <w:r>
        <w:rPr>
          <w:rFonts w:hint="eastAsia" w:ascii="仿宋" w:hAnsi="仿宋" w:eastAsia="仿宋" w:cs="仿宋"/>
          <w:color w:val="auto"/>
          <w:sz w:val="30"/>
          <w:szCs w:val="30"/>
          <w:lang w:val="en-US" w:eastAsia="zh-CN"/>
        </w:rPr>
        <w:t>占财政拨款总额的100%，</w:t>
      </w:r>
      <w:r>
        <w:rPr>
          <w:rFonts w:hint="eastAsia" w:ascii="仿宋" w:hAnsi="仿宋" w:eastAsia="仿宋" w:cs="仿宋"/>
          <w:color w:val="auto"/>
          <w:sz w:val="32"/>
          <w:szCs w:val="32"/>
          <w:lang w:val="en-US" w:eastAsia="zh-CN"/>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27.65万元；项目支出0万元，较上年预算安排增加0万元。</w:t>
      </w:r>
    </w:p>
    <w:p>
      <w:pPr>
        <w:spacing w:line="560" w:lineRule="exact"/>
        <w:ind w:firstLine="64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32"/>
          <w:szCs w:val="32"/>
          <w:lang w:val="en-US" w:eastAsia="zh-CN"/>
        </w:rPr>
        <w:t>按支出功能分类科目划分：</w:t>
      </w:r>
      <w:r>
        <w:rPr>
          <w:rFonts w:hint="eastAsia" w:ascii="仿宋" w:hAnsi="仿宋" w:eastAsia="仿宋" w:cs="仿宋"/>
          <w:sz w:val="32"/>
          <w:szCs w:val="32"/>
        </w:rPr>
        <w:t>社会保障和就业</w:t>
      </w:r>
      <w:r>
        <w:rPr>
          <w:rFonts w:hint="eastAsia" w:ascii="仿宋" w:hAnsi="仿宋" w:eastAsia="仿宋" w:cs="仿宋"/>
          <w:sz w:val="32"/>
          <w:szCs w:val="32"/>
          <w:lang w:val="en-US" w:eastAsia="zh-CN"/>
        </w:rPr>
        <w:t>7.31</w:t>
      </w:r>
      <w:r>
        <w:rPr>
          <w:rFonts w:hint="eastAsia" w:ascii="仿宋" w:hAnsi="仿宋" w:eastAsia="仿宋" w:cs="仿宋"/>
          <w:sz w:val="32"/>
          <w:szCs w:val="32"/>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lang w:val="en-US" w:eastAsia="zh-CN"/>
        </w:rPr>
        <w:t>占预算总额的11.23%，较上年预算安排减少8.25万元</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乡镇</w:t>
      </w:r>
      <w:r>
        <w:rPr>
          <w:rFonts w:hint="eastAsia" w:ascii="仿宋" w:hAnsi="仿宋" w:eastAsia="仿宋" w:cs="仿宋"/>
          <w:color w:val="auto"/>
          <w:sz w:val="32"/>
          <w:szCs w:val="32"/>
          <w:lang w:val="en-US" w:eastAsia="zh-CN"/>
        </w:rPr>
        <w:t>卫生院57.8万元，占预算总额的88.77%，较上年预算安排减少19.4万元。</w:t>
      </w:r>
    </w:p>
    <w:p>
      <w:pPr>
        <w:numPr>
          <w:ilvl w:val="0"/>
          <w:numId w:val="2"/>
        </w:num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政府性基金情况</w:t>
      </w:r>
    </w:p>
    <w:p>
      <w:pPr>
        <w:pStyle w:val="2"/>
        <w:numPr>
          <w:ilvl w:val="0"/>
          <w:numId w:val="0"/>
        </w:numPr>
        <w:ind w:firstLine="640" w:firstLineChars="200"/>
        <w:rPr>
          <w:rFonts w:hint="eastAsia"/>
          <w:lang w:eastAsia="zh-CN"/>
        </w:rPr>
      </w:pPr>
      <w:r>
        <w:rPr>
          <w:rFonts w:hint="eastAsia"/>
          <w:lang w:eastAsia="zh-CN"/>
        </w:rPr>
        <w:t>无政府性基金预算拨款安排的支出</w:t>
      </w:r>
    </w:p>
    <w:p>
      <w:pPr>
        <w:numPr>
          <w:ilvl w:val="0"/>
          <w:numId w:val="2"/>
        </w:num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lang w:eastAsia="zh-CN"/>
        </w:rPr>
        <w:t>国有资本经营情况</w:t>
      </w:r>
    </w:p>
    <w:p>
      <w:pPr>
        <w:spacing w:line="560" w:lineRule="exact"/>
        <w:ind w:firstLine="640" w:firstLineChars="200"/>
        <w:rPr>
          <w:rFonts w:hint="eastAsia" w:ascii="仿宋" w:hAnsi="仿宋" w:eastAsia="仿宋" w:cs="仿宋"/>
          <w:color w:val="auto"/>
          <w:sz w:val="24"/>
          <w:szCs w:val="24"/>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本单位国有资本经营</w:t>
      </w:r>
      <w:r>
        <w:rPr>
          <w:rFonts w:hint="eastAsia" w:ascii="仿宋" w:hAnsi="仿宋" w:eastAsia="仿宋" w:cs="仿宋"/>
          <w:color w:val="auto"/>
          <w:sz w:val="32"/>
          <w:szCs w:val="32"/>
        </w:rPr>
        <w:t>支出</w:t>
      </w:r>
      <w:r>
        <w:rPr>
          <w:rFonts w:hint="eastAsia" w:ascii="仿宋" w:hAnsi="仿宋" w:eastAsia="仿宋" w:cs="仿宋"/>
          <w:color w:val="auto"/>
          <w:sz w:val="32"/>
          <w:szCs w:val="32"/>
          <w:lang w:eastAsia="zh-CN"/>
        </w:rPr>
        <w:t>预算为</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lang w:eastAsia="zh-CN"/>
        </w:rPr>
        <w:t>万元，本单位无国有资本经营预算收入</w:t>
      </w:r>
      <w:r>
        <w:rPr>
          <w:rFonts w:hint="eastAsia" w:ascii="仿宋" w:hAnsi="仿宋" w:eastAsia="仿宋" w:cs="仿宋"/>
          <w:color w:val="auto"/>
          <w:sz w:val="32"/>
          <w:szCs w:val="32"/>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eastAsia="zh-CN"/>
        </w:rPr>
        <w:t>六</w:t>
      </w:r>
      <w:r>
        <w:rPr>
          <w:rFonts w:hint="eastAsia" w:ascii="仿宋" w:hAnsi="仿宋" w:eastAsia="仿宋" w:cs="仿宋"/>
          <w:b/>
          <w:bCs/>
          <w:color w:val="auto"/>
          <w:sz w:val="32"/>
          <w:szCs w:val="32"/>
        </w:rPr>
        <w:t>）机关运行经费等重要事项的说明</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机关运行费预算</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rPr>
        <w:t>万元，比</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年预算增加</w:t>
      </w:r>
      <w:r>
        <w:rPr>
          <w:rFonts w:hint="eastAsia" w:ascii="仿宋" w:hAnsi="仿宋" w:eastAsia="仿宋" w:cs="仿宋"/>
          <w:color w:val="auto"/>
          <w:sz w:val="32"/>
          <w:szCs w:val="32"/>
          <w:u w:val="none"/>
        </w:rPr>
        <w:t xml:space="preserve"> </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 xml:space="preserve"> </w:t>
      </w:r>
      <w:r>
        <w:rPr>
          <w:rFonts w:hint="eastAsia" w:ascii="仿宋" w:hAnsi="仿宋" w:eastAsia="仿宋" w:cs="仿宋"/>
          <w:color w:val="auto"/>
          <w:sz w:val="32"/>
          <w:szCs w:val="32"/>
        </w:rPr>
        <w:t>万元，增长</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 xml:space="preserve"> </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eastAsia="zh-CN"/>
        </w:rPr>
        <w:t>七</w:t>
      </w:r>
      <w:r>
        <w:rPr>
          <w:rFonts w:hint="eastAsia" w:ascii="仿宋" w:hAnsi="仿宋" w:eastAsia="仿宋" w:cs="仿宋"/>
          <w:b/>
          <w:bCs/>
          <w:color w:val="auto"/>
          <w:sz w:val="32"/>
          <w:szCs w:val="32"/>
        </w:rPr>
        <w:t>）政府采购情况</w:t>
      </w:r>
    </w:p>
    <w:p>
      <w:pPr>
        <w:spacing w:line="560" w:lineRule="exact"/>
        <w:ind w:firstLine="640" w:firstLineChars="200"/>
        <w:rPr>
          <w:rFonts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2022</w:t>
      </w:r>
      <w:r>
        <w:rPr>
          <w:rFonts w:hint="eastAsia" w:ascii="仿宋" w:hAnsi="仿宋" w:eastAsia="仿宋" w:cs="仿宋"/>
          <w:color w:val="auto"/>
          <w:sz w:val="32"/>
          <w:szCs w:val="32"/>
          <w:u w:val="none"/>
        </w:rPr>
        <w:t>年单位政府采购总额</w:t>
      </w:r>
      <w:r>
        <w:rPr>
          <w:rFonts w:hint="eastAsia" w:ascii="仿宋" w:hAnsi="仿宋" w:eastAsia="仿宋" w:cs="仿宋"/>
          <w:color w:val="auto"/>
          <w:sz w:val="32"/>
          <w:szCs w:val="32"/>
          <w:u w:val="none"/>
          <w:lang w:val="en-US" w:eastAsia="zh-CN"/>
        </w:rPr>
        <w:t>56</w:t>
      </w:r>
      <w:r>
        <w:rPr>
          <w:rFonts w:hint="eastAsia" w:ascii="仿宋" w:hAnsi="仿宋" w:eastAsia="仿宋" w:cs="仿宋"/>
          <w:color w:val="auto"/>
          <w:sz w:val="32"/>
          <w:szCs w:val="32"/>
          <w:u w:val="none"/>
        </w:rPr>
        <w:t>万元，其中：政府采购货物预算</w:t>
      </w:r>
      <w:r>
        <w:rPr>
          <w:rFonts w:hint="eastAsia" w:ascii="仿宋" w:hAnsi="仿宋" w:eastAsia="仿宋" w:cs="仿宋"/>
          <w:color w:val="auto"/>
          <w:sz w:val="32"/>
          <w:szCs w:val="32"/>
          <w:u w:val="none"/>
          <w:lang w:val="en-US" w:eastAsia="zh-CN"/>
        </w:rPr>
        <w:t>56</w:t>
      </w:r>
      <w:r>
        <w:rPr>
          <w:rFonts w:hint="eastAsia" w:ascii="仿宋" w:hAnsi="仿宋" w:eastAsia="仿宋" w:cs="仿宋"/>
          <w:color w:val="auto"/>
          <w:sz w:val="32"/>
          <w:szCs w:val="32"/>
          <w:u w:val="none"/>
        </w:rPr>
        <w:t>万元、政府采购工程预算</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万元、政府采购服务预算</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万元。</w:t>
      </w:r>
    </w:p>
    <w:p>
      <w:pPr>
        <w:spacing w:line="560" w:lineRule="exact"/>
        <w:ind w:firstLine="643" w:firstLineChars="200"/>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w:t>
      </w:r>
      <w:r>
        <w:rPr>
          <w:rFonts w:hint="eastAsia" w:ascii="仿宋" w:hAnsi="仿宋" w:eastAsia="仿宋" w:cs="仿宋"/>
          <w:b/>
          <w:bCs/>
          <w:color w:val="auto"/>
          <w:sz w:val="32"/>
          <w:szCs w:val="32"/>
          <w:u w:val="none"/>
          <w:lang w:eastAsia="zh-CN"/>
        </w:rPr>
        <w:t>八</w:t>
      </w:r>
      <w:r>
        <w:rPr>
          <w:rFonts w:hint="eastAsia" w:ascii="仿宋" w:hAnsi="仿宋" w:eastAsia="仿宋" w:cs="仿宋"/>
          <w:b/>
          <w:bCs/>
          <w:color w:val="auto"/>
          <w:sz w:val="32"/>
          <w:szCs w:val="32"/>
          <w:u w:val="none"/>
        </w:rPr>
        <w:t>）国有资产占有使用情况</w:t>
      </w:r>
    </w:p>
    <w:p>
      <w:pPr>
        <w:spacing w:line="560" w:lineRule="exact"/>
        <w:ind w:firstLine="640" w:firstLineChars="200"/>
        <w:rPr>
          <w:rFonts w:ascii="仿宋" w:hAnsi="仿宋" w:eastAsia="仿宋" w:cs="仿宋"/>
          <w:color w:val="auto"/>
          <w:sz w:val="32"/>
          <w:szCs w:val="32"/>
          <w:u w:val="none"/>
        </w:rPr>
      </w:pPr>
      <w:r>
        <w:rPr>
          <w:rFonts w:hint="eastAsia" w:ascii="仿宋" w:hAnsi="仿宋" w:eastAsia="仿宋" w:cs="仿宋"/>
          <w:color w:val="auto"/>
          <w:sz w:val="32"/>
          <w:szCs w:val="32"/>
          <w:u w:val="none"/>
        </w:rPr>
        <w:t>截至</w:t>
      </w:r>
      <w:r>
        <w:rPr>
          <w:rFonts w:hint="eastAsia" w:ascii="仿宋" w:hAnsi="仿宋" w:eastAsia="仿宋" w:cs="仿宋"/>
          <w:b w:val="0"/>
          <w:bCs w:val="0"/>
          <w:color w:val="auto"/>
          <w:sz w:val="32"/>
          <w:szCs w:val="32"/>
          <w:u w:val="none"/>
          <w:lang w:val="en-US" w:eastAsia="zh-CN"/>
        </w:rPr>
        <w:t>2021年</w:t>
      </w:r>
      <w:r>
        <w:rPr>
          <w:rFonts w:hint="eastAsia" w:ascii="仿宋" w:hAnsi="仿宋" w:eastAsia="仿宋" w:cs="仿宋"/>
          <w:color w:val="auto"/>
          <w:sz w:val="32"/>
          <w:szCs w:val="32"/>
          <w:u w:val="none"/>
        </w:rPr>
        <w:t>12月31日</w:t>
      </w:r>
      <w:r>
        <w:rPr>
          <w:rFonts w:hint="eastAsia" w:ascii="仿宋" w:hAnsi="仿宋" w:eastAsia="仿宋" w:cs="仿宋"/>
          <w:color w:val="auto"/>
          <w:sz w:val="32"/>
          <w:szCs w:val="32"/>
          <w:u w:val="none"/>
          <w:lang w:eastAsia="zh-CN"/>
        </w:rPr>
        <w:t>本单位</w:t>
      </w:r>
      <w:r>
        <w:rPr>
          <w:rFonts w:hint="eastAsia" w:ascii="仿宋" w:hAnsi="仿宋" w:eastAsia="仿宋" w:cs="仿宋"/>
          <w:color w:val="auto"/>
          <w:sz w:val="32"/>
          <w:szCs w:val="32"/>
          <w:u w:val="none"/>
        </w:rPr>
        <w:t>共有车辆</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其中</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一般公务用车</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辆、执法执勤用车</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特殊用途车0辆</w:t>
      </w:r>
      <w:r>
        <w:rPr>
          <w:rFonts w:hint="eastAsia" w:ascii="仿宋" w:hAnsi="仿宋" w:eastAsia="仿宋" w:cs="仿宋"/>
          <w:color w:val="auto"/>
          <w:sz w:val="32"/>
          <w:szCs w:val="32"/>
          <w:u w:val="none"/>
        </w:rPr>
        <w:t>。</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u w:val="none"/>
          <w:lang w:val="en-US" w:eastAsia="zh-CN"/>
        </w:rPr>
        <w:t>2022年本</w:t>
      </w:r>
      <w:r>
        <w:rPr>
          <w:rFonts w:hint="eastAsia" w:ascii="仿宋" w:hAnsi="仿宋" w:eastAsia="仿宋" w:cs="仿宋"/>
          <w:color w:val="auto"/>
          <w:sz w:val="32"/>
          <w:szCs w:val="32"/>
          <w:u w:val="none"/>
          <w:lang w:eastAsia="zh-CN"/>
        </w:rPr>
        <w:t>单位</w:t>
      </w:r>
      <w:r>
        <w:rPr>
          <w:rFonts w:hint="eastAsia" w:ascii="仿宋" w:hAnsi="仿宋" w:eastAsia="仿宋" w:cs="仿宋"/>
          <w:color w:val="auto"/>
          <w:sz w:val="32"/>
          <w:szCs w:val="32"/>
          <w:u w:val="none"/>
        </w:rPr>
        <w:t>预算安排购置车辆</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w:t>
      </w:r>
      <w:r>
        <w:rPr>
          <w:rFonts w:hint="eastAsia" w:ascii="仿宋" w:hAnsi="仿宋" w:eastAsia="仿宋" w:cs="仿宋"/>
          <w:color w:val="auto"/>
          <w:sz w:val="32"/>
          <w:szCs w:val="32"/>
        </w:rPr>
        <w:t>安排购置单位价值200万元以上大型设备具为：</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无</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eastAsia="zh-CN"/>
        </w:rPr>
        <w:t>九</w:t>
      </w:r>
      <w:r>
        <w:rPr>
          <w:rFonts w:hint="eastAsia" w:ascii="仿宋" w:hAnsi="仿宋" w:eastAsia="仿宋" w:cs="仿宋"/>
          <w:b/>
          <w:bCs/>
          <w:color w:val="auto"/>
          <w:sz w:val="32"/>
          <w:szCs w:val="32"/>
        </w:rPr>
        <w:t>）绩效目标设置情况</w:t>
      </w:r>
    </w:p>
    <w:p>
      <w:pPr>
        <w:spacing w:line="560" w:lineRule="exact"/>
        <w:ind w:left="634" w:leftChars="284" w:hanging="38" w:hangingChars="12"/>
        <w:rPr>
          <w:color w:val="auto"/>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年实行绩效目标管理的项目</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个，涉及资金</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val="en-US" w:eastAsia="zh-CN"/>
        </w:rPr>
        <w:t>2022年</w:t>
      </w:r>
      <w:r>
        <w:rPr>
          <w:rFonts w:hint="eastAsia" w:ascii="楷体" w:hAnsi="楷体" w:eastAsia="楷体" w:cs="楷体"/>
          <w:b/>
          <w:bCs/>
          <w:color w:val="auto"/>
          <w:sz w:val="32"/>
          <w:szCs w:val="32"/>
        </w:rPr>
        <w:t>“三公”经费预算情况说明</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本单位</w:t>
      </w:r>
      <w:r>
        <w:rPr>
          <w:rFonts w:hint="eastAsia" w:ascii="仿宋" w:hAnsi="仿宋" w:eastAsia="仿宋" w:cs="仿宋"/>
          <w:color w:val="auto"/>
          <w:sz w:val="32"/>
          <w:szCs w:val="32"/>
        </w:rPr>
        <w:t>“三公”经费一般公共预算安排</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万元。其中：</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因公出国（境）费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rPr>
        <w:t>万元，主</w:t>
      </w:r>
    </w:p>
    <w:p>
      <w:pPr>
        <w:spacing w:line="560" w:lineRule="exact"/>
        <w:ind w:firstLine="0" w:firstLineChars="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要原因是：</w:t>
      </w:r>
      <w:r>
        <w:rPr>
          <w:rFonts w:hint="eastAsia" w:ascii="仿宋" w:hAnsi="仿宋" w:eastAsia="仿宋" w:cs="仿宋"/>
          <w:color w:val="auto"/>
          <w:sz w:val="32"/>
          <w:szCs w:val="32"/>
          <w:lang w:eastAsia="zh-CN"/>
        </w:rPr>
        <w:t>与上年安排保持一致</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公务接待费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lang w:eastAsia="zh-CN"/>
        </w:rPr>
        <w:t>与上年安排保持一致</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公务用车运行维护费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lang w:eastAsia="zh-CN"/>
        </w:rPr>
        <w:t>与上年安排保持一致</w:t>
      </w:r>
      <w:r>
        <w:rPr>
          <w:rFonts w:hint="eastAsia" w:ascii="仿宋" w:hAnsi="仿宋" w:eastAsia="仿宋" w:cs="仿宋"/>
          <w:color w:val="auto"/>
          <w:sz w:val="32"/>
          <w:szCs w:val="32"/>
        </w:rPr>
        <w:t>。</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公务用车购置费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lang w:eastAsia="zh-CN"/>
        </w:rPr>
        <w:t>与上年安排保持一致</w:t>
      </w:r>
      <w:r>
        <w:rPr>
          <w:rFonts w:hint="eastAsia" w:ascii="仿宋" w:hAnsi="仿宋" w:eastAsia="仿宋" w:cs="仿宋"/>
          <w:color w:val="auto"/>
          <w:sz w:val="32"/>
          <w:szCs w:val="32"/>
        </w:rPr>
        <w:t>。</w:t>
      </w:r>
    </w:p>
    <w:p>
      <w:pPr>
        <w:bidi w:val="0"/>
        <w:jc w:val="left"/>
        <w:rPr>
          <w:rFonts w:hint="eastAsia"/>
        </w:rPr>
        <w:sectPr>
          <w:pgSz w:w="11906" w:h="16838"/>
          <w:pgMar w:top="1440" w:right="1800" w:bottom="1440" w:left="1800" w:header="851" w:footer="992" w:gutter="0"/>
          <w:cols w:space="425" w:num="1"/>
          <w:docGrid w:type="lines" w:linePitch="312" w:charSpace="0"/>
        </w:sectPr>
      </w:pPr>
    </w:p>
    <w:p>
      <w:pPr>
        <w:spacing w:line="560" w:lineRule="exact"/>
        <w:jc w:val="center"/>
        <w:rPr>
          <w:rFonts w:hint="eastAsia" w:ascii="黑体" w:hAnsi="黑体" w:eastAsia="黑体" w:cs="黑体"/>
          <w:color w:val="auto"/>
          <w:sz w:val="32"/>
          <w:szCs w:val="32"/>
        </w:rPr>
      </w:pPr>
      <w:r>
        <w:rPr>
          <w:rFonts w:hint="eastAsia" w:ascii="黑体" w:hAnsi="黑体" w:eastAsia="黑体" w:cs="黑体"/>
          <w:b w:val="0"/>
          <w:bCs w:val="0"/>
          <w:color w:val="auto"/>
          <w:sz w:val="32"/>
          <w:szCs w:val="32"/>
        </w:rPr>
        <w:t>第三部分 兴国县</w:t>
      </w:r>
      <w:r>
        <w:rPr>
          <w:rFonts w:hint="eastAsia" w:ascii="黑体" w:hAnsi="黑体" w:eastAsia="黑体" w:cs="黑体"/>
          <w:b w:val="0"/>
          <w:bCs w:val="0"/>
          <w:color w:val="auto"/>
          <w:sz w:val="32"/>
          <w:szCs w:val="32"/>
          <w:lang w:val="en-US" w:eastAsia="zh-CN"/>
        </w:rPr>
        <w:t>皮肤病性病防治所2022年</w:t>
      </w:r>
      <w:r>
        <w:rPr>
          <w:rFonts w:hint="eastAsia" w:ascii="黑体" w:hAnsi="黑体" w:eastAsia="黑体" w:cs="黑体"/>
          <w:b w:val="0"/>
          <w:bCs w:val="0"/>
          <w:color w:val="auto"/>
          <w:sz w:val="32"/>
          <w:szCs w:val="32"/>
        </w:rPr>
        <w:t>预算表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一、《收支预算总表》</w:t>
      </w:r>
    </w:p>
    <w:p>
      <w:pPr>
        <w:pStyle w:val="2"/>
        <w:rPr>
          <w:rFonts w:hint="eastAsia" w:eastAsia="仿宋"/>
          <w:lang w:eastAsia="zh-CN"/>
        </w:rPr>
      </w:pPr>
      <w:r>
        <w:drawing>
          <wp:inline distT="0" distB="0" distL="114300" distR="114300">
            <wp:extent cx="9191625" cy="434340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9191625" cy="4343400"/>
                    </a:xfrm>
                    <a:prstGeom prst="rect">
                      <a:avLst/>
                    </a:prstGeom>
                    <a:noFill/>
                    <a:ln>
                      <a:noFill/>
                    </a:ln>
                  </pic:spPr>
                </pic:pic>
              </a:graphicData>
            </a:graphic>
          </wp:inline>
        </w:drawing>
      </w: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numPr>
          <w:ilvl w:val="0"/>
          <w:numId w:val="3"/>
        </w:numPr>
        <w:spacing w:line="560" w:lineRule="exact"/>
        <w:ind w:left="21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《部门收入总表》</w:t>
      </w:r>
    </w:p>
    <w:p>
      <w:pPr>
        <w:pStyle w:val="2"/>
        <w:rPr>
          <w:rFonts w:hint="eastAsia"/>
        </w:rPr>
      </w:pPr>
      <w:r>
        <w:drawing>
          <wp:inline distT="0" distB="0" distL="114300" distR="114300">
            <wp:extent cx="9773920" cy="4247515"/>
            <wp:effectExtent l="0" t="0" r="17780" b="63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9773920" cy="4247515"/>
                    </a:xfrm>
                    <a:prstGeom prst="rect">
                      <a:avLst/>
                    </a:prstGeom>
                    <a:noFill/>
                    <a:ln>
                      <a:noFill/>
                    </a:ln>
                  </pic:spPr>
                </pic:pic>
              </a:graphicData>
            </a:graphic>
          </wp:inline>
        </w:drawing>
      </w: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numPr>
          <w:ilvl w:val="0"/>
          <w:numId w:val="3"/>
        </w:numPr>
        <w:spacing w:line="560" w:lineRule="exact"/>
        <w:ind w:left="21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《部门支出总表》</w:t>
      </w:r>
    </w:p>
    <w:p>
      <w:pPr>
        <w:pStyle w:val="2"/>
        <w:rPr>
          <w:rFonts w:hint="eastAsia" w:ascii="仿宋" w:hAnsi="仿宋" w:eastAsia="仿宋" w:cs="仿宋"/>
          <w:color w:val="auto"/>
          <w:sz w:val="32"/>
          <w:szCs w:val="32"/>
          <w:lang w:eastAsia="zh-CN"/>
        </w:rPr>
      </w:pPr>
      <w:r>
        <w:drawing>
          <wp:inline distT="0" distB="0" distL="114300" distR="114300">
            <wp:extent cx="9543415" cy="5655945"/>
            <wp:effectExtent l="0" t="0" r="635" b="190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
                    <a:stretch>
                      <a:fillRect/>
                    </a:stretch>
                  </pic:blipFill>
                  <pic:spPr>
                    <a:xfrm>
                      <a:off x="0" y="0"/>
                      <a:ext cx="9543415" cy="5655945"/>
                    </a:xfrm>
                    <a:prstGeom prst="rect">
                      <a:avLst/>
                    </a:prstGeom>
                    <a:noFill/>
                    <a:ln>
                      <a:noFill/>
                    </a:ln>
                  </pic:spPr>
                </pic:pic>
              </a:graphicData>
            </a:graphic>
          </wp:inline>
        </w:drawing>
      </w: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numPr>
          <w:ilvl w:val="0"/>
          <w:numId w:val="3"/>
        </w:numPr>
        <w:spacing w:line="560" w:lineRule="exact"/>
        <w:ind w:left="21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《财政拨款收支总表》</w:t>
      </w:r>
    </w:p>
    <w:p>
      <w:pPr>
        <w:pStyle w:val="2"/>
        <w:rPr>
          <w:rFonts w:hint="eastAsia" w:ascii="仿宋" w:hAnsi="仿宋" w:eastAsia="仿宋" w:cs="仿宋"/>
          <w:color w:val="auto"/>
          <w:sz w:val="32"/>
          <w:szCs w:val="32"/>
          <w:lang w:eastAsia="zh-CN"/>
        </w:rPr>
      </w:pPr>
      <w:r>
        <w:drawing>
          <wp:inline distT="0" distB="0" distL="114300" distR="114300">
            <wp:extent cx="9686290" cy="3904615"/>
            <wp:effectExtent l="0" t="0" r="10160" b="63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7"/>
                    <a:stretch>
                      <a:fillRect/>
                    </a:stretch>
                  </pic:blipFill>
                  <pic:spPr>
                    <a:xfrm>
                      <a:off x="0" y="0"/>
                      <a:ext cx="9686290" cy="3904615"/>
                    </a:xfrm>
                    <a:prstGeom prst="rect">
                      <a:avLst/>
                    </a:prstGeom>
                    <a:noFill/>
                    <a:ln>
                      <a:noFill/>
                    </a:ln>
                  </pic:spPr>
                </pic:pic>
              </a:graphicData>
            </a:graphic>
          </wp:inline>
        </w:drawing>
      </w: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numPr>
          <w:ilvl w:val="0"/>
          <w:numId w:val="3"/>
        </w:numPr>
        <w:spacing w:line="560" w:lineRule="exact"/>
        <w:ind w:left="21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《一般公共预算支出表》</w:t>
      </w:r>
    </w:p>
    <w:p>
      <w:pPr>
        <w:pStyle w:val="2"/>
      </w:pPr>
      <w:r>
        <w:drawing>
          <wp:inline distT="0" distB="0" distL="114300" distR="114300">
            <wp:extent cx="9744075" cy="4781550"/>
            <wp:effectExtent l="0" t="0" r="952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8"/>
                    <a:stretch>
                      <a:fillRect/>
                    </a:stretch>
                  </pic:blipFill>
                  <pic:spPr>
                    <a:xfrm>
                      <a:off x="0" y="0"/>
                      <a:ext cx="9744075" cy="4781550"/>
                    </a:xfrm>
                    <a:prstGeom prst="rect">
                      <a:avLst/>
                    </a:prstGeom>
                    <a:noFill/>
                    <a:ln>
                      <a:noFill/>
                    </a:ln>
                  </pic:spPr>
                </pic:pic>
              </a:graphicData>
            </a:graphic>
          </wp:inline>
        </w:drawing>
      </w:r>
    </w:p>
    <w:p>
      <w:pPr>
        <w:pStyle w:val="2"/>
      </w:pPr>
    </w:p>
    <w:p>
      <w:pPr>
        <w:pStyle w:val="2"/>
      </w:pPr>
    </w:p>
    <w:p>
      <w:pPr>
        <w:pStyle w:val="2"/>
        <w:rPr>
          <w:rFonts w:hint="eastAsia"/>
        </w:rPr>
      </w:pPr>
    </w:p>
    <w:p>
      <w:pPr>
        <w:numPr>
          <w:ilvl w:val="0"/>
          <w:numId w:val="3"/>
        </w:numPr>
        <w:spacing w:line="560" w:lineRule="exact"/>
        <w:ind w:left="21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《一般公共预算基本支出表》</w:t>
      </w:r>
    </w:p>
    <w:p>
      <w:pPr>
        <w:pStyle w:val="2"/>
        <w:rPr>
          <w:rFonts w:hint="eastAsia" w:ascii="仿宋" w:hAnsi="仿宋" w:eastAsia="仿宋" w:cs="仿宋"/>
          <w:color w:val="auto"/>
          <w:sz w:val="32"/>
          <w:szCs w:val="32"/>
          <w:lang w:eastAsia="zh-CN"/>
        </w:rPr>
      </w:pPr>
      <w:r>
        <w:drawing>
          <wp:inline distT="0" distB="0" distL="114300" distR="114300">
            <wp:extent cx="9182100" cy="3819525"/>
            <wp:effectExtent l="0" t="0" r="0" b="952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9"/>
                    <a:stretch>
                      <a:fillRect/>
                    </a:stretch>
                  </pic:blipFill>
                  <pic:spPr>
                    <a:xfrm>
                      <a:off x="0" y="0"/>
                      <a:ext cx="9182100" cy="3819525"/>
                    </a:xfrm>
                    <a:prstGeom prst="rect">
                      <a:avLst/>
                    </a:prstGeom>
                    <a:noFill/>
                    <a:ln>
                      <a:noFill/>
                    </a:ln>
                  </pic:spPr>
                </pic:pic>
              </a:graphicData>
            </a:graphic>
          </wp:inline>
        </w:drawing>
      </w: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numPr>
          <w:ilvl w:val="0"/>
          <w:numId w:val="3"/>
        </w:numPr>
        <w:spacing w:line="560" w:lineRule="exact"/>
        <w:ind w:left="21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《一般公共预算“三公”经费支出表》</w:t>
      </w:r>
    </w:p>
    <w:p>
      <w:pPr>
        <w:pStyle w:val="2"/>
        <w:rPr>
          <w:rFonts w:hint="eastAsia" w:ascii="仿宋" w:hAnsi="仿宋" w:eastAsia="仿宋" w:cs="仿宋"/>
          <w:color w:val="auto"/>
          <w:sz w:val="32"/>
          <w:szCs w:val="32"/>
          <w:lang w:eastAsia="zh-CN"/>
        </w:rPr>
      </w:pPr>
      <w:r>
        <w:drawing>
          <wp:inline distT="0" distB="0" distL="114300" distR="114300">
            <wp:extent cx="9563100" cy="234315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0"/>
                    <a:stretch>
                      <a:fillRect/>
                    </a:stretch>
                  </pic:blipFill>
                  <pic:spPr>
                    <a:xfrm>
                      <a:off x="0" y="0"/>
                      <a:ext cx="9563100" cy="2343150"/>
                    </a:xfrm>
                    <a:prstGeom prst="rect">
                      <a:avLst/>
                    </a:prstGeom>
                    <a:noFill/>
                    <a:ln>
                      <a:noFill/>
                    </a:ln>
                  </pic:spPr>
                </pic:pic>
              </a:graphicData>
            </a:graphic>
          </wp:inline>
        </w:drawing>
      </w: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numPr>
          <w:ilvl w:val="0"/>
          <w:numId w:val="3"/>
        </w:numPr>
        <w:spacing w:line="560" w:lineRule="exact"/>
        <w:ind w:left="21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《政府性基金预算支出表》</w:t>
      </w:r>
    </w:p>
    <w:p>
      <w:pPr>
        <w:pStyle w:val="2"/>
        <w:rPr>
          <w:color w:val="auto"/>
        </w:rPr>
      </w:pPr>
      <w:r>
        <w:drawing>
          <wp:inline distT="0" distB="0" distL="114300" distR="114300">
            <wp:extent cx="9401175" cy="1866900"/>
            <wp:effectExtent l="0" t="0" r="9525"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1"/>
                    <a:stretch>
                      <a:fillRect/>
                    </a:stretch>
                  </pic:blipFill>
                  <pic:spPr>
                    <a:xfrm>
                      <a:off x="0" y="0"/>
                      <a:ext cx="9401175" cy="1866900"/>
                    </a:xfrm>
                    <a:prstGeom prst="rect">
                      <a:avLst/>
                    </a:prstGeom>
                    <a:noFill/>
                    <a:ln>
                      <a:noFill/>
                    </a:ln>
                  </pic:spPr>
                </pic:pic>
              </a:graphicData>
            </a:graphic>
          </wp:inline>
        </w:drawing>
      </w: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numPr>
          <w:ilvl w:val="0"/>
          <w:numId w:val="3"/>
        </w:numPr>
        <w:spacing w:line="560" w:lineRule="exact"/>
        <w:ind w:left="21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国有资本经营</w:t>
      </w:r>
      <w:r>
        <w:rPr>
          <w:rFonts w:hint="eastAsia" w:ascii="仿宋" w:hAnsi="仿宋" w:eastAsia="仿宋" w:cs="仿宋"/>
          <w:color w:val="auto"/>
          <w:sz w:val="32"/>
          <w:szCs w:val="32"/>
        </w:rPr>
        <w:t>预算支出表》</w:t>
      </w:r>
    </w:p>
    <w:p>
      <w:pPr>
        <w:pStyle w:val="2"/>
        <w:rPr>
          <w:rFonts w:hint="eastAsia" w:ascii="仿宋" w:hAnsi="仿宋" w:eastAsia="仿宋" w:cs="仿宋"/>
          <w:color w:val="auto"/>
          <w:sz w:val="32"/>
          <w:szCs w:val="32"/>
          <w:lang w:val="en-US" w:eastAsia="zh-CN"/>
        </w:rPr>
      </w:pPr>
      <w:r>
        <w:drawing>
          <wp:inline distT="0" distB="0" distL="114300" distR="114300">
            <wp:extent cx="9286875" cy="2047875"/>
            <wp:effectExtent l="0" t="0" r="9525"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2"/>
                    <a:stretch>
                      <a:fillRect/>
                    </a:stretch>
                  </pic:blipFill>
                  <pic:spPr>
                    <a:xfrm>
                      <a:off x="0" y="0"/>
                      <a:ext cx="9286875" cy="2047875"/>
                    </a:xfrm>
                    <a:prstGeom prst="rect">
                      <a:avLst/>
                    </a:prstGeom>
                    <a:noFill/>
                    <a:ln>
                      <a:noFill/>
                    </a:ln>
                  </pic:spPr>
                </pic:pic>
              </a:graphicData>
            </a:graphic>
          </wp:inline>
        </w:drawing>
      </w: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numPr>
          <w:ilvl w:val="0"/>
          <w:numId w:val="3"/>
        </w:numPr>
        <w:spacing w:line="560" w:lineRule="exact"/>
        <w:ind w:left="21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《部门整体支出绩效目标表》</w:t>
      </w:r>
    </w:p>
    <w:p>
      <w:pPr>
        <w:pStyle w:val="2"/>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无</w:t>
      </w: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numPr>
          <w:ilvl w:val="0"/>
          <w:numId w:val="3"/>
        </w:numPr>
        <w:spacing w:line="560" w:lineRule="exact"/>
        <w:ind w:left="21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《项目支出绩效目标表》</w:t>
      </w:r>
    </w:p>
    <w:p>
      <w:pPr>
        <w:pStyle w:val="2"/>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无</w:t>
      </w: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sectPr>
          <w:pgSz w:w="16838" w:h="11906" w:orient="landscape"/>
          <w:pgMar w:top="720" w:right="720" w:bottom="720" w:left="720" w:header="851" w:footer="992" w:gutter="0"/>
          <w:cols w:space="425" w:num="1"/>
          <w:docGrid w:type="lines" w:linePitch="312" w:charSpace="0"/>
        </w:sectPr>
      </w:pPr>
    </w:p>
    <w:p>
      <w:pPr>
        <w:spacing w:line="560" w:lineRule="exact"/>
        <w:ind w:firstLine="0" w:firstLineChars="0"/>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第四部分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名词解释</w:t>
      </w:r>
    </w:p>
    <w:p>
      <w:pPr>
        <w:spacing w:line="560" w:lineRule="exact"/>
        <w:ind w:firstLine="604" w:firstLineChars="189"/>
        <w:jc w:val="center"/>
        <w:rPr>
          <w:rFonts w:ascii="仿宋" w:hAnsi="仿宋" w:eastAsia="仿宋" w:cs="仿宋"/>
          <w:color w:val="auto"/>
          <w:sz w:val="32"/>
          <w:szCs w:val="32"/>
        </w:rPr>
      </w:pPr>
    </w:p>
    <w:p>
      <w:pPr>
        <w:spacing w:line="560" w:lineRule="exact"/>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一、收入科目</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（一）财政拨款：指县本级财政当年拨付的资金。</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（二）事业收入：指事业单位开展专业业务活动及辅助活动取得的收入。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（四）其他收入：指除财政拨款、事业收入、事业单位经营收入等以外的各项收入。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（六）上级补助收入：反映事业单位从主管部门和上级单位取得的非财政补助收入。</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（七）使用非财政拨款结余：填列历年滚存的非限定用途的非统计财政拨款结余弥补</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年收支差额的数额。</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（八）上年结转和结余：填列</w:t>
      </w:r>
      <w:r>
        <w:rPr>
          <w:rFonts w:hint="eastAsia" w:ascii="仿宋" w:hAnsi="仿宋" w:eastAsia="仿宋" w:cs="仿宋"/>
          <w:color w:val="auto"/>
          <w:sz w:val="32"/>
          <w:szCs w:val="32"/>
          <w:lang w:val="en-US" w:eastAsia="zh-CN"/>
        </w:rPr>
        <w:t>2021</w:t>
      </w:r>
      <w:bookmarkStart w:id="0" w:name="_GoBack"/>
      <w:bookmarkEnd w:id="0"/>
      <w:r>
        <w:rPr>
          <w:rFonts w:hint="eastAsia" w:ascii="仿宋" w:hAnsi="仿宋" w:eastAsia="仿宋" w:cs="仿宋"/>
          <w:color w:val="auto"/>
          <w:sz w:val="32"/>
          <w:szCs w:val="32"/>
        </w:rPr>
        <w:t>年全部结转和结余的资金数，包括当年结转结余资金和历年滚存结转结余资金。</w:t>
      </w:r>
    </w:p>
    <w:p>
      <w:pPr>
        <w:spacing w:line="560" w:lineRule="exact"/>
        <w:ind w:firstLine="607" w:firstLineChars="189"/>
        <w:rPr>
          <w:rFonts w:hint="eastAsia" w:ascii="楷体" w:hAnsi="楷体" w:eastAsia="楷体" w:cs="楷体"/>
          <w:b/>
          <w:bCs/>
          <w:color w:val="auto"/>
          <w:sz w:val="32"/>
          <w:szCs w:val="32"/>
        </w:rPr>
      </w:pPr>
      <w:r>
        <w:rPr>
          <w:rFonts w:hint="eastAsia" w:ascii="楷体" w:hAnsi="楷体" w:eastAsia="楷体" w:cs="楷体"/>
          <w:b/>
          <w:bCs/>
          <w:color w:val="auto"/>
          <w:sz w:val="32"/>
          <w:szCs w:val="32"/>
        </w:rPr>
        <w:t>二、支出科目</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（一）行政运行：反映行政单位（事业单位）的基本支出。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（四）行政单位医疗：反映行政事业单位基本医疗保险缴费经费。</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（五）事业单位医疗：反映财政部门集中安排的事业单位基本医疗保险缴费经费。</w:t>
      </w:r>
    </w:p>
    <w:p>
      <w:pPr>
        <w:ind w:firstLine="640" w:firstLineChars="200"/>
      </w:pPr>
      <w:r>
        <w:rPr>
          <w:rFonts w:hint="eastAsia" w:ascii="仿宋" w:hAnsi="仿宋" w:eastAsia="仿宋" w:cs="仿宋"/>
          <w:color w:val="auto"/>
          <w:sz w:val="32"/>
          <w:szCs w:val="32"/>
        </w:rPr>
        <w:t>（六）死亡抚恤：反映单位遗属人员生活补助。</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9E19842"/>
    <w:multiLevelType w:val="singleLevel"/>
    <w:tmpl w:val="A9E19842"/>
    <w:lvl w:ilvl="0" w:tentative="0">
      <w:start w:val="4"/>
      <w:numFmt w:val="chineseCounting"/>
      <w:suff w:val="nothing"/>
      <w:lvlText w:val="（%1）"/>
      <w:lvlJc w:val="left"/>
      <w:rPr>
        <w:rFonts w:hint="eastAsia"/>
      </w:rPr>
    </w:lvl>
  </w:abstractNum>
  <w:abstractNum w:abstractNumId="1">
    <w:nsid w:val="0E892699"/>
    <w:multiLevelType w:val="singleLevel"/>
    <w:tmpl w:val="0E892699"/>
    <w:lvl w:ilvl="0" w:tentative="0">
      <w:start w:val="2"/>
      <w:numFmt w:val="chineseCounting"/>
      <w:suff w:val="nothing"/>
      <w:lvlText w:val="%1、"/>
      <w:lvlJc w:val="left"/>
      <w:pPr>
        <w:ind w:left="210"/>
      </w:pPr>
      <w:rPr>
        <w:rFonts w:hint="eastAsia"/>
      </w:rPr>
    </w:lvl>
  </w:abstractNum>
  <w:abstractNum w:abstractNumId="2">
    <w:nsid w:val="523D3E4E"/>
    <w:multiLevelType w:val="singleLevel"/>
    <w:tmpl w:val="523D3E4E"/>
    <w:lvl w:ilvl="0" w:tentative="0">
      <w:start w:val="2"/>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M0ODJjYjI1MjNhNTQwNmJhOGVkMzJkZmE0OGIyNDcifQ=="/>
  </w:docVars>
  <w:rsids>
    <w:rsidRoot w:val="31C93669"/>
    <w:rsid w:val="01DB2D9A"/>
    <w:rsid w:val="033F65AC"/>
    <w:rsid w:val="04AA47FB"/>
    <w:rsid w:val="05033781"/>
    <w:rsid w:val="06913258"/>
    <w:rsid w:val="06EB2968"/>
    <w:rsid w:val="0774295E"/>
    <w:rsid w:val="090F7836"/>
    <w:rsid w:val="09C73CC8"/>
    <w:rsid w:val="0BBE3874"/>
    <w:rsid w:val="0C5D030A"/>
    <w:rsid w:val="0C9F0180"/>
    <w:rsid w:val="0CC7558C"/>
    <w:rsid w:val="0DFC3E81"/>
    <w:rsid w:val="0F305284"/>
    <w:rsid w:val="0F981BA6"/>
    <w:rsid w:val="0FF7412C"/>
    <w:rsid w:val="116B728B"/>
    <w:rsid w:val="120E39AF"/>
    <w:rsid w:val="12413D84"/>
    <w:rsid w:val="128B4058"/>
    <w:rsid w:val="130C7119"/>
    <w:rsid w:val="157E0E4B"/>
    <w:rsid w:val="16247C45"/>
    <w:rsid w:val="16E3540A"/>
    <w:rsid w:val="174F484D"/>
    <w:rsid w:val="175E2CE2"/>
    <w:rsid w:val="17850B4F"/>
    <w:rsid w:val="18187335"/>
    <w:rsid w:val="181C2B4F"/>
    <w:rsid w:val="19153875"/>
    <w:rsid w:val="194505FE"/>
    <w:rsid w:val="1A9D669C"/>
    <w:rsid w:val="1AAE2C1F"/>
    <w:rsid w:val="1AC07BCE"/>
    <w:rsid w:val="1AC92B69"/>
    <w:rsid w:val="1AD35795"/>
    <w:rsid w:val="1B7F0948"/>
    <w:rsid w:val="1BCE1278"/>
    <w:rsid w:val="1C6C108F"/>
    <w:rsid w:val="1D1F2F14"/>
    <w:rsid w:val="1F5922CD"/>
    <w:rsid w:val="20607ACB"/>
    <w:rsid w:val="21006EE6"/>
    <w:rsid w:val="21FC1A76"/>
    <w:rsid w:val="220A4192"/>
    <w:rsid w:val="22AC524A"/>
    <w:rsid w:val="23623B5A"/>
    <w:rsid w:val="24977834"/>
    <w:rsid w:val="25172CD9"/>
    <w:rsid w:val="271E6A5F"/>
    <w:rsid w:val="27AB1CB6"/>
    <w:rsid w:val="282F2AF8"/>
    <w:rsid w:val="293B2E83"/>
    <w:rsid w:val="29C56BF1"/>
    <w:rsid w:val="2A597E09"/>
    <w:rsid w:val="2A833419"/>
    <w:rsid w:val="2AC800C8"/>
    <w:rsid w:val="2C6C77F8"/>
    <w:rsid w:val="2C8E3C12"/>
    <w:rsid w:val="2D2347EC"/>
    <w:rsid w:val="2D7D50EB"/>
    <w:rsid w:val="2E7F1A64"/>
    <w:rsid w:val="2EB060C2"/>
    <w:rsid w:val="2F154177"/>
    <w:rsid w:val="2FB219C5"/>
    <w:rsid w:val="2FD8767E"/>
    <w:rsid w:val="31C93669"/>
    <w:rsid w:val="32700042"/>
    <w:rsid w:val="33DA3717"/>
    <w:rsid w:val="343C3F54"/>
    <w:rsid w:val="346C4839"/>
    <w:rsid w:val="354E03E2"/>
    <w:rsid w:val="360A4309"/>
    <w:rsid w:val="38037262"/>
    <w:rsid w:val="388D1D36"/>
    <w:rsid w:val="393A4831"/>
    <w:rsid w:val="394A0EC1"/>
    <w:rsid w:val="3D544CB7"/>
    <w:rsid w:val="3E175992"/>
    <w:rsid w:val="3F0C7A11"/>
    <w:rsid w:val="40D45C40"/>
    <w:rsid w:val="40E35E83"/>
    <w:rsid w:val="40E84D51"/>
    <w:rsid w:val="426004B3"/>
    <w:rsid w:val="42CB4E20"/>
    <w:rsid w:val="438F22F2"/>
    <w:rsid w:val="44801C3A"/>
    <w:rsid w:val="44F227B7"/>
    <w:rsid w:val="45010FCD"/>
    <w:rsid w:val="460F771A"/>
    <w:rsid w:val="46873754"/>
    <w:rsid w:val="47EA6595"/>
    <w:rsid w:val="49D97E23"/>
    <w:rsid w:val="4A857FAB"/>
    <w:rsid w:val="4D2B3305"/>
    <w:rsid w:val="4EFB714D"/>
    <w:rsid w:val="4F9C55BF"/>
    <w:rsid w:val="50CB7DCA"/>
    <w:rsid w:val="51031C29"/>
    <w:rsid w:val="51481A0C"/>
    <w:rsid w:val="51840FBC"/>
    <w:rsid w:val="51CB6BEB"/>
    <w:rsid w:val="51F22534"/>
    <w:rsid w:val="52681863"/>
    <w:rsid w:val="52D01FDF"/>
    <w:rsid w:val="53A042C7"/>
    <w:rsid w:val="54CB0CB0"/>
    <w:rsid w:val="553C0616"/>
    <w:rsid w:val="554F368F"/>
    <w:rsid w:val="55D3606E"/>
    <w:rsid w:val="56044479"/>
    <w:rsid w:val="56811F6E"/>
    <w:rsid w:val="57061740"/>
    <w:rsid w:val="58AC6244"/>
    <w:rsid w:val="58BC2EB0"/>
    <w:rsid w:val="58F5279F"/>
    <w:rsid w:val="594159E5"/>
    <w:rsid w:val="5ABC3575"/>
    <w:rsid w:val="5BFD0408"/>
    <w:rsid w:val="5C723E7A"/>
    <w:rsid w:val="5EA600B9"/>
    <w:rsid w:val="5F693DE4"/>
    <w:rsid w:val="60587E80"/>
    <w:rsid w:val="62612A88"/>
    <w:rsid w:val="62775B17"/>
    <w:rsid w:val="63536A40"/>
    <w:rsid w:val="64D11D53"/>
    <w:rsid w:val="65E322FD"/>
    <w:rsid w:val="66E005EB"/>
    <w:rsid w:val="672A7E5E"/>
    <w:rsid w:val="685360F8"/>
    <w:rsid w:val="69A9560C"/>
    <w:rsid w:val="6AFF7CB3"/>
    <w:rsid w:val="6B893FBB"/>
    <w:rsid w:val="6D0B14CF"/>
    <w:rsid w:val="6D8819DC"/>
    <w:rsid w:val="6DB91B96"/>
    <w:rsid w:val="6DCB5401"/>
    <w:rsid w:val="6E59089E"/>
    <w:rsid w:val="6E9879FD"/>
    <w:rsid w:val="706E4EB9"/>
    <w:rsid w:val="712C09DD"/>
    <w:rsid w:val="72007D93"/>
    <w:rsid w:val="726B5B54"/>
    <w:rsid w:val="73C82B32"/>
    <w:rsid w:val="73FB0186"/>
    <w:rsid w:val="75153B55"/>
    <w:rsid w:val="75AB6156"/>
    <w:rsid w:val="76514C17"/>
    <w:rsid w:val="773109EF"/>
    <w:rsid w:val="77476464"/>
    <w:rsid w:val="78574485"/>
    <w:rsid w:val="78A83695"/>
    <w:rsid w:val="78B43685"/>
    <w:rsid w:val="7A074F0E"/>
    <w:rsid w:val="7B947027"/>
    <w:rsid w:val="7BE81275"/>
    <w:rsid w:val="7E0A3481"/>
    <w:rsid w:val="7E227E81"/>
    <w:rsid w:val="7E4859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19</Pages>
  <Words>2767</Words>
  <Characters>3031</Characters>
  <Lines>0</Lines>
  <Paragraphs>0</Paragraphs>
  <TotalTime>1</TotalTime>
  <ScaleCrop>false</ScaleCrop>
  <LinksUpToDate>false</LinksUpToDate>
  <CharactersWithSpaces>3059</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2023-03-03T01:22:00Z</dcterms:created>
  <dc:creator>熙</dc:creator>
  <cp:lastModifiedBy>Administrator</cp:lastModifiedBy>
  <dcterms:modified xsi:type="dcterms:W3CDTF">2023-06-19T04:41:11Z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F312DFDB912C45188F9C3083D5FDA0CC_13</vt:lpwstr>
  </property>
</Properties>
</file>