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ascii="方正小标宋简体" w:hAnsi="方正小标宋简体" w:eastAsia="方正小标宋简体" w:cs="方正小标宋简体"/>
          <w:b w:val="0"/>
          <w:bCs/>
          <w:color w:val="000000" w:themeColor="text1"/>
          <w:sz w:val="44"/>
          <w:szCs w:val="44"/>
          <w14:textFill>
            <w14:solidFill>
              <w14:schemeClr w14:val="tx1"/>
            </w14:solidFill>
          </w14:textFill>
        </w:rPr>
      </w:pPr>
      <w:r>
        <w:rPr>
          <w:rFonts w:hint="eastAsia" w:ascii="方正小标宋简体" w:hAnsi="方正小标宋简体" w:eastAsia="方正小标宋简体" w:cs="方正小标宋简体"/>
          <w:bCs/>
          <w:color w:val="000000" w:themeColor="text1"/>
          <w:sz w:val="44"/>
          <w:szCs w:val="44"/>
          <w:lang w:val="en-US" w:eastAsia="zh-CN"/>
          <w14:textFill>
            <w14:solidFill>
              <w14:schemeClr w14:val="tx1"/>
            </w14:solidFill>
          </w14:textFill>
        </w:rPr>
        <w:t>兴国县计划生育协会</w:t>
      </w:r>
      <w:r>
        <w:rPr>
          <w:rFonts w:hint="eastAsia" w:ascii="方正小标宋简体" w:hAnsi="方正小标宋简体" w:eastAsia="方正小标宋简体" w:cs="方正小标宋简体"/>
          <w:b w:val="0"/>
          <w:bCs/>
          <w:color w:val="000000" w:themeColor="text1"/>
          <w:sz w:val="44"/>
          <w:szCs w:val="44"/>
          <w:lang w:val="en-US" w:eastAsia="zh-CN"/>
          <w14:textFill>
            <w14:solidFill>
              <w14:schemeClr w14:val="tx1"/>
            </w14:solidFill>
          </w14:textFill>
        </w:rPr>
        <w:t>2022年</w:t>
      </w:r>
      <w:r>
        <w:rPr>
          <w:rFonts w:hint="eastAsia" w:ascii="方正小标宋简体" w:hAnsi="方正小标宋简体" w:eastAsia="方正小标宋简体" w:cs="方正小标宋简体"/>
          <w:b w:val="0"/>
          <w:bCs/>
          <w:color w:val="000000" w:themeColor="text1"/>
          <w:sz w:val="44"/>
          <w:szCs w:val="44"/>
          <w14:textFill>
            <w14:solidFill>
              <w14:schemeClr w14:val="tx1"/>
            </w14:solidFill>
          </w14:textFill>
        </w:rPr>
        <w:t>部门预算草案</w:t>
      </w:r>
    </w:p>
    <w:p>
      <w:pPr>
        <w:spacing w:line="560" w:lineRule="exact"/>
        <w:jc w:val="center"/>
        <w:rPr>
          <w:rFonts w:hint="eastAsia" w:ascii="方正小标宋简体" w:hAnsi="方正小标宋简体" w:eastAsia="方正小标宋简体" w:cs="方正小标宋简体"/>
          <w:b w:val="0"/>
          <w:bCs/>
          <w:color w:val="000000" w:themeColor="text1"/>
          <w:sz w:val="44"/>
          <w:szCs w:val="44"/>
          <w14:textFill>
            <w14:solidFill>
              <w14:schemeClr w14:val="tx1"/>
            </w14:solidFill>
          </w14:textFill>
        </w:rPr>
      </w:pPr>
      <w:r>
        <w:rPr>
          <w:rFonts w:hint="eastAsia" w:ascii="方正小标宋简体" w:hAnsi="方正小标宋简体" w:eastAsia="方正小标宋简体" w:cs="方正小标宋简体"/>
          <w:b w:val="0"/>
          <w:bCs/>
          <w:color w:val="000000" w:themeColor="text1"/>
          <w:sz w:val="44"/>
          <w:szCs w:val="44"/>
          <w14:textFill>
            <w14:solidFill>
              <w14:schemeClr w14:val="tx1"/>
            </w14:solidFill>
          </w14:textFill>
        </w:rPr>
        <w:t>编制说明</w:t>
      </w:r>
    </w:p>
    <w:p>
      <w:pPr>
        <w:spacing w:line="560" w:lineRule="exact"/>
        <w:jc w:val="center"/>
        <w:rPr>
          <w:rFonts w:hint="eastAsia" w:ascii="黑体" w:hAnsi="黑体" w:eastAsia="黑体" w:cs="黑体"/>
          <w:sz w:val="36"/>
          <w:szCs w:val="36"/>
        </w:rPr>
      </w:pPr>
    </w:p>
    <w:p>
      <w:pPr>
        <w:spacing w:line="560" w:lineRule="exact"/>
        <w:jc w:val="center"/>
        <w:rPr>
          <w:rFonts w:ascii="黑体" w:hAnsi="黑体" w:eastAsia="黑体" w:cs="黑体"/>
          <w:sz w:val="32"/>
          <w:szCs w:val="32"/>
        </w:rPr>
      </w:pPr>
      <w:r>
        <w:rPr>
          <w:rFonts w:hint="eastAsia" w:ascii="黑体" w:hAnsi="黑体" w:eastAsia="黑体" w:cs="黑体"/>
          <w:sz w:val="32"/>
          <w:szCs w:val="32"/>
        </w:rPr>
        <w:t>目  录</w:t>
      </w:r>
    </w:p>
    <w:p>
      <w:pPr>
        <w:spacing w:line="560" w:lineRule="exact"/>
        <w:jc w:val="center"/>
        <w:rPr>
          <w:rFonts w:hint="eastAsia" w:ascii="黑体" w:hAnsi="黑体" w:eastAsia="黑体" w:cs="黑体"/>
          <w:sz w:val="32"/>
          <w:szCs w:val="32"/>
        </w:rPr>
      </w:pPr>
    </w:p>
    <w:p>
      <w:pPr>
        <w:spacing w:line="560" w:lineRule="exact"/>
        <w:ind w:left="641" w:hanging="684" w:hangingChars="213"/>
        <w:rPr>
          <w:rFonts w:hint="eastAsia" w:ascii="仿宋" w:hAnsi="仿宋" w:eastAsia="仿宋" w:cs="仿宋"/>
          <w:b/>
          <w:bCs/>
          <w:color w:val="auto"/>
          <w:sz w:val="32"/>
          <w:szCs w:val="32"/>
        </w:rPr>
      </w:pPr>
      <w:r>
        <w:rPr>
          <w:rFonts w:hint="eastAsia" w:ascii="仿宋" w:hAnsi="仿宋" w:eastAsia="仿宋" w:cs="仿宋"/>
          <w:b/>
          <w:bCs/>
          <w:sz w:val="32"/>
          <w:szCs w:val="32"/>
        </w:rPr>
        <w:t>第一部分</w:t>
      </w:r>
      <w:r>
        <w:rPr>
          <w:rFonts w:hint="eastAsia" w:ascii="仿宋" w:hAnsi="仿宋" w:eastAsia="仿宋" w:cs="仿宋"/>
          <w:b/>
          <w:bCs/>
          <w:color w:val="auto"/>
          <w:sz w:val="32"/>
          <w:szCs w:val="32"/>
        </w:rPr>
        <w:t xml:space="preserve"> </w:t>
      </w:r>
      <w:r>
        <w:rPr>
          <w:rFonts w:hint="eastAsia" w:ascii="仿宋" w:hAnsi="仿宋" w:eastAsia="仿宋" w:cs="仿宋"/>
          <w:b/>
          <w:bCs/>
          <w:color w:val="auto"/>
          <w:sz w:val="32"/>
          <w:szCs w:val="32"/>
          <w:lang w:val="en-US" w:eastAsia="zh-CN"/>
        </w:rPr>
        <w:t>兴国县计划生育协会</w:t>
      </w:r>
      <w:r>
        <w:rPr>
          <w:rFonts w:hint="eastAsia" w:ascii="仿宋" w:hAnsi="仿宋" w:eastAsia="仿宋" w:cs="仿宋"/>
          <w:b/>
          <w:bCs/>
          <w:color w:val="auto"/>
          <w:sz w:val="32"/>
          <w:szCs w:val="32"/>
        </w:rPr>
        <w:t>概况</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一、部门主要职责</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二、部门基本情况</w:t>
      </w:r>
    </w:p>
    <w:p>
      <w:pPr>
        <w:spacing w:line="560" w:lineRule="exact"/>
        <w:ind w:left="641" w:hanging="684" w:hangingChars="213"/>
        <w:rPr>
          <w:rFonts w:hint="eastAsia" w:ascii="仿宋" w:hAnsi="仿宋" w:eastAsia="仿宋" w:cs="仿宋"/>
          <w:b/>
          <w:bCs/>
          <w:color w:val="auto"/>
          <w:sz w:val="32"/>
          <w:szCs w:val="32"/>
        </w:rPr>
      </w:pPr>
      <w:r>
        <w:rPr>
          <w:rFonts w:hint="eastAsia" w:ascii="仿宋" w:hAnsi="仿宋" w:eastAsia="仿宋" w:cs="仿宋"/>
          <w:b/>
          <w:bCs/>
          <w:color w:val="auto"/>
          <w:sz w:val="32"/>
          <w:szCs w:val="32"/>
        </w:rPr>
        <w:t>第二部分</w:t>
      </w:r>
      <w:r>
        <w:rPr>
          <w:rFonts w:hint="eastAsia" w:ascii="仿宋" w:hAnsi="仿宋" w:eastAsia="仿宋" w:cs="仿宋"/>
          <w:b/>
          <w:bCs/>
          <w:color w:val="auto"/>
          <w:sz w:val="32"/>
          <w:szCs w:val="32"/>
          <w:lang w:val="en-US" w:eastAsia="zh-CN"/>
        </w:rPr>
        <w:t xml:space="preserve"> 兴国县计划生育协会</w:t>
      </w:r>
      <w:r>
        <w:rPr>
          <w:rFonts w:hint="eastAsia" w:ascii="仿宋" w:hAnsi="仿宋" w:eastAsia="仿宋" w:cs="仿宋"/>
          <w:b/>
          <w:bCs/>
          <w:color w:val="auto"/>
          <w:sz w:val="32"/>
          <w:szCs w:val="32"/>
        </w:rPr>
        <w:t>部门预算情况说明</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一、</w:t>
      </w: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年部门预算收支情况说明</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二、</w:t>
      </w: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年“三公”经费预算情况说明</w:t>
      </w:r>
    </w:p>
    <w:p>
      <w:pPr>
        <w:spacing w:line="560" w:lineRule="exact"/>
        <w:ind w:left="641" w:hanging="684" w:hangingChars="213"/>
        <w:rPr>
          <w:rFonts w:hint="eastAsia" w:ascii="仿宋" w:hAnsi="仿宋" w:eastAsia="仿宋" w:cs="仿宋"/>
          <w:b/>
          <w:bCs/>
          <w:color w:val="auto"/>
          <w:sz w:val="32"/>
          <w:szCs w:val="32"/>
        </w:rPr>
      </w:pPr>
      <w:r>
        <w:rPr>
          <w:rFonts w:hint="eastAsia" w:ascii="仿宋" w:hAnsi="仿宋" w:eastAsia="仿宋" w:cs="仿宋"/>
          <w:b/>
          <w:bCs/>
          <w:color w:val="auto"/>
          <w:sz w:val="32"/>
          <w:szCs w:val="32"/>
        </w:rPr>
        <w:t>第三部分</w:t>
      </w:r>
      <w:r>
        <w:rPr>
          <w:rFonts w:hint="eastAsia" w:ascii="仿宋" w:hAnsi="仿宋" w:eastAsia="仿宋" w:cs="仿宋"/>
          <w:b/>
          <w:bCs/>
          <w:color w:val="auto"/>
          <w:sz w:val="32"/>
          <w:szCs w:val="32"/>
          <w:lang w:val="en-US" w:eastAsia="zh-CN"/>
        </w:rPr>
        <w:t xml:space="preserve"> 兴国县计划生育协会</w:t>
      </w:r>
      <w:r>
        <w:rPr>
          <w:rFonts w:hint="eastAsia" w:ascii="仿宋" w:hAnsi="仿宋" w:eastAsia="仿宋" w:cs="仿宋"/>
          <w:b/>
          <w:bCs/>
          <w:color w:val="auto"/>
          <w:sz w:val="32"/>
          <w:szCs w:val="32"/>
        </w:rPr>
        <w:t>部门预算表</w:t>
      </w:r>
    </w:p>
    <w:p>
      <w:pPr>
        <w:spacing w:line="560" w:lineRule="exact"/>
        <w:ind w:left="634" w:leftChars="284" w:hanging="38" w:hangingChars="12"/>
        <w:rPr>
          <w:rFonts w:hint="eastAsia" w:ascii="仿宋" w:hAnsi="仿宋" w:eastAsia="仿宋" w:cs="仿宋"/>
          <w:color w:val="auto"/>
          <w:sz w:val="32"/>
          <w:szCs w:val="32"/>
        </w:rPr>
      </w:pPr>
      <w:r>
        <w:rPr>
          <w:rFonts w:hint="eastAsia" w:ascii="仿宋" w:hAnsi="仿宋" w:eastAsia="仿宋" w:cs="仿宋"/>
          <w:color w:val="auto"/>
          <w:sz w:val="32"/>
          <w:szCs w:val="32"/>
        </w:rPr>
        <w:t>一、《收支预算总表》</w:t>
      </w:r>
    </w:p>
    <w:p>
      <w:pPr>
        <w:spacing w:line="560" w:lineRule="exact"/>
        <w:ind w:left="634" w:leftChars="284" w:hanging="38" w:hangingChars="12"/>
        <w:rPr>
          <w:rFonts w:hint="eastAsia" w:ascii="仿宋" w:hAnsi="仿宋" w:eastAsia="仿宋" w:cs="仿宋"/>
          <w:color w:val="auto"/>
          <w:sz w:val="32"/>
          <w:szCs w:val="32"/>
        </w:rPr>
      </w:pPr>
      <w:r>
        <w:rPr>
          <w:rFonts w:hint="eastAsia" w:ascii="仿宋" w:hAnsi="仿宋" w:eastAsia="仿宋" w:cs="仿宋"/>
          <w:color w:val="auto"/>
          <w:sz w:val="32"/>
          <w:szCs w:val="32"/>
        </w:rPr>
        <w:t>二、《部门收入总表》</w:t>
      </w:r>
    </w:p>
    <w:p>
      <w:pPr>
        <w:spacing w:line="560" w:lineRule="exact"/>
        <w:ind w:left="634" w:leftChars="284" w:hanging="38" w:hangingChars="12"/>
        <w:rPr>
          <w:rFonts w:hint="eastAsia" w:ascii="仿宋" w:hAnsi="仿宋" w:eastAsia="仿宋" w:cs="仿宋"/>
          <w:color w:val="auto"/>
          <w:sz w:val="32"/>
          <w:szCs w:val="32"/>
        </w:rPr>
      </w:pPr>
      <w:r>
        <w:rPr>
          <w:rFonts w:hint="eastAsia" w:ascii="仿宋" w:hAnsi="仿宋" w:eastAsia="仿宋" w:cs="仿宋"/>
          <w:color w:val="auto"/>
          <w:sz w:val="32"/>
          <w:szCs w:val="32"/>
        </w:rPr>
        <w:t>三、《部门支出总表》</w:t>
      </w:r>
    </w:p>
    <w:p>
      <w:pPr>
        <w:spacing w:line="560" w:lineRule="exact"/>
        <w:ind w:left="634" w:leftChars="284" w:hanging="38" w:hangingChars="12"/>
        <w:rPr>
          <w:rFonts w:hint="eastAsia" w:ascii="仿宋" w:hAnsi="仿宋" w:eastAsia="仿宋" w:cs="仿宋"/>
          <w:color w:val="auto"/>
          <w:sz w:val="32"/>
          <w:szCs w:val="32"/>
        </w:rPr>
      </w:pPr>
      <w:r>
        <w:rPr>
          <w:rFonts w:hint="eastAsia" w:ascii="仿宋" w:hAnsi="仿宋" w:eastAsia="仿宋" w:cs="仿宋"/>
          <w:color w:val="auto"/>
          <w:sz w:val="32"/>
          <w:szCs w:val="32"/>
        </w:rPr>
        <w:t>四、《财政拨款收支总表》</w:t>
      </w:r>
    </w:p>
    <w:p>
      <w:pPr>
        <w:spacing w:line="560" w:lineRule="exact"/>
        <w:ind w:left="634" w:leftChars="284" w:hanging="38" w:hangingChars="12"/>
        <w:rPr>
          <w:rFonts w:hint="eastAsia" w:ascii="仿宋" w:hAnsi="仿宋" w:eastAsia="仿宋" w:cs="仿宋"/>
          <w:color w:val="auto"/>
          <w:sz w:val="32"/>
          <w:szCs w:val="32"/>
        </w:rPr>
      </w:pPr>
      <w:r>
        <w:rPr>
          <w:rFonts w:hint="eastAsia" w:ascii="仿宋" w:hAnsi="仿宋" w:eastAsia="仿宋" w:cs="仿宋"/>
          <w:color w:val="auto"/>
          <w:sz w:val="32"/>
          <w:szCs w:val="32"/>
        </w:rPr>
        <w:t>五、《一般公共预算支出表》</w:t>
      </w:r>
    </w:p>
    <w:p>
      <w:pPr>
        <w:spacing w:line="560" w:lineRule="exact"/>
        <w:ind w:left="634" w:leftChars="284" w:hanging="38" w:hangingChars="12"/>
        <w:rPr>
          <w:rFonts w:hint="eastAsia" w:ascii="仿宋" w:hAnsi="仿宋" w:eastAsia="仿宋" w:cs="仿宋"/>
          <w:color w:val="auto"/>
          <w:sz w:val="32"/>
          <w:szCs w:val="32"/>
        </w:rPr>
      </w:pPr>
      <w:r>
        <w:rPr>
          <w:rFonts w:hint="eastAsia" w:ascii="仿宋" w:hAnsi="仿宋" w:eastAsia="仿宋" w:cs="仿宋"/>
          <w:color w:val="auto"/>
          <w:sz w:val="32"/>
          <w:szCs w:val="32"/>
        </w:rPr>
        <w:t>六、《一般公共预算基本支出表》</w:t>
      </w:r>
    </w:p>
    <w:p>
      <w:pPr>
        <w:spacing w:line="560" w:lineRule="exact"/>
        <w:ind w:left="634" w:leftChars="284" w:hanging="38" w:hangingChars="12"/>
        <w:rPr>
          <w:rFonts w:hint="eastAsia" w:ascii="仿宋" w:hAnsi="仿宋" w:eastAsia="仿宋" w:cs="仿宋"/>
          <w:color w:val="auto"/>
          <w:sz w:val="32"/>
          <w:szCs w:val="32"/>
        </w:rPr>
      </w:pPr>
      <w:r>
        <w:rPr>
          <w:rFonts w:hint="eastAsia" w:ascii="仿宋" w:hAnsi="仿宋" w:eastAsia="仿宋" w:cs="仿宋"/>
          <w:color w:val="auto"/>
          <w:sz w:val="32"/>
          <w:szCs w:val="32"/>
        </w:rPr>
        <w:t>七、《一般公共预算“三公”经费支出表》</w:t>
      </w:r>
    </w:p>
    <w:p>
      <w:pPr>
        <w:spacing w:line="560" w:lineRule="exact"/>
        <w:ind w:left="634" w:leftChars="284" w:hanging="38" w:hangingChars="12"/>
        <w:rPr>
          <w:rFonts w:hint="eastAsia" w:ascii="仿宋" w:hAnsi="仿宋" w:eastAsia="仿宋" w:cs="仿宋"/>
          <w:color w:val="auto"/>
          <w:sz w:val="32"/>
          <w:szCs w:val="32"/>
        </w:rPr>
      </w:pPr>
      <w:r>
        <w:rPr>
          <w:rFonts w:hint="eastAsia" w:ascii="仿宋" w:hAnsi="仿宋" w:eastAsia="仿宋" w:cs="仿宋"/>
          <w:color w:val="auto"/>
          <w:sz w:val="32"/>
          <w:szCs w:val="32"/>
        </w:rPr>
        <w:t>八、《政府性基金预算支出表》</w:t>
      </w:r>
    </w:p>
    <w:p>
      <w:pPr>
        <w:spacing w:line="560" w:lineRule="exact"/>
        <w:ind w:left="634" w:leftChars="284" w:hanging="38" w:hangingChars="12"/>
        <w:rPr>
          <w:rFonts w:hint="eastAsia"/>
        </w:rPr>
      </w:pPr>
      <w:r>
        <w:rPr>
          <w:rFonts w:hint="eastAsia" w:ascii="仿宋" w:hAnsi="仿宋" w:eastAsia="仿宋" w:cs="仿宋"/>
          <w:color w:val="auto"/>
          <w:sz w:val="32"/>
          <w:szCs w:val="32"/>
          <w:lang w:val="en-US" w:eastAsia="zh-CN"/>
        </w:rPr>
        <w:t>九、</w:t>
      </w: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国有资本经营预算支出表</w:t>
      </w:r>
      <w:r>
        <w:rPr>
          <w:rFonts w:hint="eastAsia" w:ascii="仿宋" w:hAnsi="仿宋" w:eastAsia="仿宋" w:cs="仿宋"/>
          <w:color w:val="auto"/>
          <w:sz w:val="32"/>
          <w:szCs w:val="32"/>
        </w:rPr>
        <w:t>》</w:t>
      </w:r>
    </w:p>
    <w:p>
      <w:pPr>
        <w:spacing w:line="560" w:lineRule="exact"/>
        <w:ind w:left="634" w:leftChars="284" w:hanging="38" w:hangingChars="12"/>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十</w:t>
      </w:r>
      <w:r>
        <w:rPr>
          <w:rFonts w:hint="eastAsia" w:ascii="仿宋" w:hAnsi="仿宋" w:eastAsia="仿宋" w:cs="仿宋"/>
          <w:color w:val="auto"/>
          <w:sz w:val="32"/>
          <w:szCs w:val="32"/>
        </w:rPr>
        <w:t>、《部门整体支出绩效目标表》</w:t>
      </w:r>
    </w:p>
    <w:p>
      <w:pPr>
        <w:spacing w:line="560" w:lineRule="exact"/>
        <w:ind w:left="10" w:leftChars="5" w:firstLine="620" w:firstLineChars="194"/>
        <w:rPr>
          <w:rFonts w:hint="eastAsia" w:ascii="仿宋" w:hAnsi="仿宋" w:eastAsia="仿宋" w:cs="仿宋"/>
          <w:b/>
          <w:bCs/>
          <w:color w:val="auto"/>
          <w:sz w:val="32"/>
          <w:szCs w:val="32"/>
        </w:rPr>
      </w:pPr>
      <w:r>
        <w:rPr>
          <w:rFonts w:hint="eastAsia" w:ascii="仿宋" w:hAnsi="仿宋" w:eastAsia="仿宋" w:cs="仿宋"/>
          <w:color w:val="auto"/>
          <w:sz w:val="32"/>
          <w:szCs w:val="32"/>
        </w:rPr>
        <w:t>十</w:t>
      </w:r>
      <w:r>
        <w:rPr>
          <w:rFonts w:hint="eastAsia" w:ascii="仿宋" w:hAnsi="仿宋" w:eastAsia="仿宋" w:cs="仿宋"/>
          <w:color w:val="auto"/>
          <w:sz w:val="32"/>
          <w:szCs w:val="32"/>
          <w:lang w:val="en-US" w:eastAsia="zh-CN"/>
        </w:rPr>
        <w:t>一</w:t>
      </w:r>
      <w:r>
        <w:rPr>
          <w:rFonts w:hint="eastAsia" w:ascii="仿宋" w:hAnsi="仿宋" w:eastAsia="仿宋" w:cs="仿宋"/>
          <w:color w:val="auto"/>
          <w:sz w:val="32"/>
          <w:szCs w:val="32"/>
        </w:rPr>
        <w:t>、《项目支出绩效目标表》</w:t>
      </w:r>
      <w:r>
        <w:rPr>
          <w:rFonts w:hint="eastAsia" w:ascii="仿宋" w:hAnsi="仿宋" w:eastAsia="仿宋" w:cs="仿宋"/>
          <w:color w:val="auto"/>
          <w:sz w:val="32"/>
          <w:szCs w:val="32"/>
        </w:rPr>
        <w:cr/>
      </w:r>
      <w:r>
        <w:rPr>
          <w:rFonts w:hint="eastAsia" w:ascii="仿宋" w:hAnsi="仿宋" w:eastAsia="仿宋" w:cs="仿宋"/>
          <w:b/>
          <w:bCs/>
          <w:color w:val="auto"/>
          <w:sz w:val="32"/>
          <w:szCs w:val="32"/>
        </w:rPr>
        <w:t>第四部分 名词解释</w:t>
      </w:r>
    </w:p>
    <w:p>
      <w:pPr>
        <w:spacing w:line="560" w:lineRule="exact"/>
        <w:jc w:val="center"/>
        <w:rPr>
          <w:rFonts w:hint="eastAsia" w:ascii="仿宋" w:hAnsi="仿宋" w:eastAsia="仿宋" w:cs="仿宋"/>
          <w:b/>
          <w:bCs/>
          <w:color w:val="auto"/>
          <w:sz w:val="32"/>
          <w:szCs w:val="32"/>
        </w:rPr>
      </w:pPr>
    </w:p>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第一部分</w:t>
      </w:r>
      <w:r>
        <w:rPr>
          <w:rFonts w:hint="eastAsia" w:ascii="黑体" w:hAnsi="黑体" w:eastAsia="黑体" w:cs="黑体"/>
          <w:b w:val="0"/>
          <w:bCs w:val="0"/>
          <w:sz w:val="32"/>
          <w:szCs w:val="32"/>
          <w:lang w:val="en-US" w:eastAsia="zh-CN"/>
        </w:rPr>
        <w:t xml:space="preserve"> 兴国县计划生育协会</w:t>
      </w:r>
      <w:r>
        <w:rPr>
          <w:rFonts w:hint="eastAsia" w:ascii="黑体" w:hAnsi="黑体" w:eastAsia="黑体" w:cs="黑体"/>
          <w:b w:val="0"/>
          <w:bCs w:val="0"/>
          <w:sz w:val="32"/>
          <w:szCs w:val="32"/>
        </w:rPr>
        <w:t>部门概况</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rPr>
      </w:pPr>
    </w:p>
    <w:p>
      <w:pPr>
        <w:keepNext w:val="0"/>
        <w:keepLines w:val="0"/>
        <w:pageBreakBefore w:val="0"/>
        <w:widowControl w:val="0"/>
        <w:kinsoku/>
        <w:wordWrap/>
        <w:overflowPunct/>
        <w:topLinePunct w:val="0"/>
        <w:autoSpaceDE/>
        <w:autoSpaceDN/>
        <w:bidi w:val="0"/>
        <w:adjustRightInd/>
        <w:snapToGrid/>
        <w:spacing w:line="500" w:lineRule="exact"/>
        <w:ind w:firstLine="643" w:firstLineChars="200"/>
        <w:textAlignment w:val="auto"/>
        <w:rPr>
          <w:rFonts w:hint="eastAsia" w:ascii="楷体" w:hAnsi="楷体" w:eastAsia="楷体" w:cs="楷体"/>
          <w:b/>
          <w:bCs/>
          <w:sz w:val="32"/>
          <w:szCs w:val="32"/>
        </w:rPr>
      </w:pPr>
      <w:r>
        <w:rPr>
          <w:rFonts w:hint="eastAsia" w:ascii="楷体" w:hAnsi="楷体" w:eastAsia="楷体" w:cs="楷体"/>
          <w:b/>
          <w:bCs/>
          <w:sz w:val="32"/>
          <w:szCs w:val="32"/>
        </w:rPr>
        <w:t>一、部门主要职责</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rPr>
      </w:pPr>
      <w:r>
        <w:rPr>
          <w:rStyle w:val="7"/>
          <w:rFonts w:hint="eastAsia" w:ascii="仿宋" w:hAnsi="仿宋" w:eastAsia="仿宋" w:cs="仿宋"/>
          <w:sz w:val="32"/>
          <w:szCs w:val="32"/>
          <w:lang w:eastAsia="zh-CN"/>
        </w:rPr>
        <w:t>兴国</w:t>
      </w:r>
      <w:r>
        <w:rPr>
          <w:rStyle w:val="7"/>
          <w:rFonts w:hint="eastAsia" w:ascii="仿宋" w:hAnsi="仿宋" w:eastAsia="仿宋" w:cs="仿宋"/>
          <w:sz w:val="32"/>
          <w:szCs w:val="32"/>
        </w:rPr>
        <w:t>县</w:t>
      </w:r>
      <w:r>
        <w:rPr>
          <w:rFonts w:hint="eastAsia" w:ascii="仿宋" w:hAnsi="仿宋" w:eastAsia="仿宋" w:cs="仿宋"/>
          <w:kern w:val="0"/>
          <w:sz w:val="32"/>
          <w:szCs w:val="32"/>
        </w:rPr>
        <w:t>计划生育协会是县委领导下的</w:t>
      </w:r>
      <w:r>
        <w:rPr>
          <w:rFonts w:hint="eastAsia" w:ascii="仿宋" w:hAnsi="仿宋" w:eastAsia="仿宋" w:cs="仿宋"/>
          <w:kern w:val="0"/>
          <w:sz w:val="32"/>
          <w:szCs w:val="32"/>
          <w:lang w:val="en-US" w:eastAsia="zh-CN"/>
        </w:rPr>
        <w:t>群众团体</w:t>
      </w:r>
      <w:r>
        <w:rPr>
          <w:rFonts w:hint="eastAsia" w:ascii="仿宋" w:hAnsi="仿宋" w:eastAsia="仿宋" w:cs="仿宋"/>
          <w:sz w:val="32"/>
          <w:szCs w:val="32"/>
        </w:rPr>
        <w:t>，主要职责有：</w:t>
      </w:r>
    </w:p>
    <w:p>
      <w:pPr>
        <w:numPr>
          <w:ilvl w:val="-1"/>
          <w:numId w:val="0"/>
        </w:numPr>
        <w:spacing w:line="600" w:lineRule="exact"/>
        <w:ind w:firstLine="640" w:firstLineChars="200"/>
        <w:rPr>
          <w:rFonts w:hint="eastAsia" w:ascii="仿宋" w:hAnsi="仿宋" w:eastAsia="仿宋" w:cs="仿宋"/>
          <w:kern w:val="0"/>
          <w:sz w:val="32"/>
          <w:szCs w:val="32"/>
          <w:lang w:val="en-US" w:eastAsia="zh-CN" w:bidi="ar"/>
        </w:rPr>
      </w:pPr>
      <w:r>
        <w:rPr>
          <w:rFonts w:hint="eastAsia" w:ascii="仿宋" w:hAnsi="仿宋" w:eastAsia="仿宋" w:cs="仿宋"/>
          <w:kern w:val="0"/>
          <w:sz w:val="32"/>
          <w:szCs w:val="32"/>
          <w:lang w:val="en-US" w:eastAsia="zh-CN" w:bidi="ar"/>
        </w:rPr>
        <w:t>（一）贯彻落实国家人口和计划生育政策、法律、法规和《江西省人口与计划生育条例》，协助政府推动卫生健康、人口和计划生育工作。</w:t>
      </w:r>
    </w:p>
    <w:p>
      <w:pPr>
        <w:numPr>
          <w:ilvl w:val="0"/>
          <w:numId w:val="0"/>
        </w:numPr>
        <w:spacing w:line="600" w:lineRule="exact"/>
        <w:ind w:firstLine="640"/>
        <w:rPr>
          <w:rFonts w:hint="eastAsia" w:ascii="仿宋" w:hAnsi="仿宋" w:eastAsia="仿宋" w:cs="仿宋"/>
          <w:kern w:val="0"/>
          <w:sz w:val="32"/>
          <w:szCs w:val="32"/>
          <w:lang w:val="en-US" w:eastAsia="zh-CN" w:bidi="ar"/>
        </w:rPr>
      </w:pPr>
      <w:r>
        <w:rPr>
          <w:rFonts w:hint="eastAsia" w:ascii="仿宋" w:hAnsi="仿宋" w:eastAsia="仿宋" w:cs="仿宋"/>
          <w:kern w:val="0"/>
          <w:sz w:val="32"/>
          <w:szCs w:val="32"/>
          <w:lang w:val="en-US" w:eastAsia="zh-CN" w:bidi="ar"/>
        </w:rPr>
        <w:t>（二）宣传卫生健康、人口和计划生育相关法律法规、政策，宣传人口科学理论、避孕节育、优生优育、生殖健康等婚育健康科学理论。倡导科学、文明、进步的婚育观念和健康的生活方式。</w:t>
      </w:r>
    </w:p>
    <w:p>
      <w:pPr>
        <w:numPr>
          <w:ilvl w:val="0"/>
          <w:numId w:val="0"/>
        </w:numPr>
        <w:spacing w:line="600" w:lineRule="exact"/>
        <w:ind w:firstLine="640" w:firstLineChars="200"/>
        <w:rPr>
          <w:rFonts w:hint="eastAsia" w:ascii="仿宋" w:hAnsi="仿宋" w:eastAsia="仿宋" w:cs="仿宋"/>
          <w:kern w:val="0"/>
          <w:sz w:val="32"/>
          <w:szCs w:val="32"/>
          <w:lang w:val="en-US" w:eastAsia="zh-CN" w:bidi="ar"/>
        </w:rPr>
      </w:pPr>
      <w:r>
        <w:rPr>
          <w:rFonts w:hint="eastAsia" w:ascii="仿宋" w:hAnsi="仿宋" w:eastAsia="仿宋" w:cs="仿宋"/>
          <w:kern w:val="0"/>
          <w:sz w:val="32"/>
          <w:szCs w:val="32"/>
          <w:lang w:val="en-US" w:eastAsia="zh-CN" w:bidi="ar"/>
        </w:rPr>
        <w:t>（三）组织开展生殖健康咨询、优生优育指导、计划生育保险、计划生育家庭帮扶和流动人口服务等，提高群众健康素养和家庭发展能力。做好计划生育困难家庭和特殊家庭的生活、生产、生育帮扶和精神慰藉等服务，做强“生育关怀”行动品牌。</w:t>
      </w:r>
    </w:p>
    <w:p>
      <w:pPr>
        <w:numPr>
          <w:ilvl w:val="0"/>
          <w:numId w:val="0"/>
        </w:numPr>
        <w:spacing w:line="600" w:lineRule="exact"/>
        <w:ind w:firstLine="640" w:firstLineChars="200"/>
        <w:rPr>
          <w:rFonts w:hint="eastAsia" w:ascii="仿宋" w:hAnsi="仿宋" w:eastAsia="仿宋" w:cs="仿宋"/>
          <w:kern w:val="0"/>
          <w:sz w:val="32"/>
          <w:szCs w:val="32"/>
          <w:lang w:val="en-US" w:eastAsia="zh-CN" w:bidi="ar"/>
        </w:rPr>
      </w:pPr>
      <w:r>
        <w:rPr>
          <w:rFonts w:hint="eastAsia" w:ascii="仿宋" w:hAnsi="仿宋" w:eastAsia="仿宋" w:cs="仿宋"/>
          <w:kern w:val="0"/>
          <w:sz w:val="32"/>
          <w:szCs w:val="32"/>
          <w:lang w:val="en-US" w:eastAsia="zh-CN" w:bidi="ar"/>
        </w:rPr>
        <w:t>（四）维护育龄群众和计划生育家庭合法权益，倾听群众意见，反映群众诉求，促进社会公平正义，发挥党和政府联系群众的桥梁、纽带作用。推动计划生育基层群众自治，动员、引导会员和群众实行自我管理、自我教育、自我服务、自我监督。</w:t>
      </w:r>
    </w:p>
    <w:p>
      <w:pPr>
        <w:numPr>
          <w:ilvl w:val="0"/>
          <w:numId w:val="0"/>
        </w:numPr>
        <w:spacing w:line="600" w:lineRule="exact"/>
        <w:ind w:firstLine="640" w:firstLineChars="200"/>
        <w:rPr>
          <w:rFonts w:hint="eastAsia" w:ascii="仿宋" w:hAnsi="仿宋" w:eastAsia="仿宋" w:cs="仿宋"/>
          <w:kern w:val="0"/>
          <w:sz w:val="32"/>
          <w:szCs w:val="32"/>
          <w:lang w:val="en-US" w:eastAsia="zh-CN" w:bidi="ar"/>
        </w:rPr>
      </w:pPr>
      <w:r>
        <w:rPr>
          <w:rFonts w:hint="eastAsia" w:ascii="仿宋" w:hAnsi="仿宋" w:eastAsia="仿宋" w:cs="仿宋"/>
          <w:kern w:val="0"/>
          <w:sz w:val="32"/>
          <w:szCs w:val="32"/>
          <w:lang w:val="en-US" w:eastAsia="zh-CN" w:bidi="ar"/>
        </w:rPr>
        <w:t>（五）开展调查研究，增强自身科学发展能力，向党委政府提出意见建议，积极参与社会治理和公共服务，组织培训，表彰先进，交流经验。</w:t>
      </w:r>
    </w:p>
    <w:p>
      <w:pPr>
        <w:numPr>
          <w:ilvl w:val="0"/>
          <w:numId w:val="0"/>
        </w:numPr>
        <w:spacing w:line="600" w:lineRule="exact"/>
        <w:ind w:firstLine="640" w:firstLineChars="200"/>
        <w:rPr>
          <w:rFonts w:hint="eastAsia" w:ascii="仿宋" w:hAnsi="仿宋" w:eastAsia="仿宋" w:cs="仿宋"/>
          <w:kern w:val="0"/>
          <w:sz w:val="32"/>
          <w:szCs w:val="32"/>
          <w:lang w:val="en-US" w:eastAsia="zh-CN" w:bidi="ar"/>
        </w:rPr>
      </w:pPr>
      <w:r>
        <w:rPr>
          <w:rFonts w:hint="eastAsia" w:ascii="仿宋" w:hAnsi="仿宋" w:eastAsia="仿宋" w:cs="仿宋"/>
          <w:kern w:val="0"/>
          <w:sz w:val="32"/>
          <w:szCs w:val="32"/>
          <w:lang w:val="en-US" w:eastAsia="zh-CN" w:bidi="ar"/>
        </w:rPr>
        <w:t>（六）指导基层计划生育协会工作。</w:t>
      </w:r>
    </w:p>
    <w:p>
      <w:pPr>
        <w:numPr>
          <w:ilvl w:val="0"/>
          <w:numId w:val="0"/>
        </w:numPr>
        <w:spacing w:line="600" w:lineRule="exact"/>
        <w:ind w:firstLine="640" w:firstLineChars="200"/>
        <w:rPr>
          <w:rFonts w:hint="eastAsia" w:ascii="仿宋" w:hAnsi="仿宋" w:eastAsia="仿宋" w:cs="仿宋"/>
          <w:sz w:val="32"/>
          <w:szCs w:val="32"/>
        </w:rPr>
      </w:pPr>
      <w:r>
        <w:rPr>
          <w:rFonts w:hint="eastAsia" w:ascii="仿宋" w:hAnsi="仿宋" w:eastAsia="仿宋" w:cs="仿宋"/>
          <w:kern w:val="0"/>
          <w:sz w:val="32"/>
          <w:szCs w:val="32"/>
          <w:lang w:val="en-US" w:eastAsia="zh-CN" w:bidi="ar"/>
        </w:rPr>
        <w:t>（七）完成县委、县政府交办的其他工作。</w:t>
      </w:r>
    </w:p>
    <w:p>
      <w:pPr>
        <w:keepNext w:val="0"/>
        <w:keepLines w:val="0"/>
        <w:pageBreakBefore w:val="0"/>
        <w:widowControl w:val="0"/>
        <w:kinsoku/>
        <w:wordWrap/>
        <w:overflowPunct/>
        <w:topLinePunct w:val="0"/>
        <w:autoSpaceDE/>
        <w:autoSpaceDN/>
        <w:bidi w:val="0"/>
        <w:adjustRightInd/>
        <w:snapToGrid/>
        <w:spacing w:line="500" w:lineRule="exact"/>
        <w:ind w:firstLine="643" w:firstLineChars="200"/>
        <w:textAlignment w:val="auto"/>
        <w:rPr>
          <w:rFonts w:hint="eastAsia" w:ascii="楷体" w:hAnsi="楷体" w:eastAsia="楷体" w:cs="楷体"/>
          <w:b/>
          <w:bCs/>
          <w:sz w:val="32"/>
          <w:szCs w:val="32"/>
        </w:rPr>
      </w:pPr>
      <w:r>
        <w:rPr>
          <w:rFonts w:hint="eastAsia" w:ascii="楷体" w:hAnsi="楷体" w:eastAsia="楷体" w:cs="楷体"/>
          <w:b/>
          <w:bCs/>
          <w:sz w:val="32"/>
          <w:szCs w:val="32"/>
        </w:rPr>
        <w:t>二、部门基本情况</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color w:val="FF0000"/>
          <w:sz w:val="32"/>
          <w:szCs w:val="32"/>
          <w:lang w:val="en-US" w:eastAsia="zh-CN"/>
        </w:rPr>
      </w:pPr>
      <w:r>
        <w:rPr>
          <w:rFonts w:hint="eastAsia" w:ascii="仿宋" w:hAnsi="仿宋" w:eastAsia="仿宋" w:cs="仿宋"/>
          <w:color w:val="auto"/>
          <w:sz w:val="32"/>
          <w:szCs w:val="32"/>
          <w:lang w:val="en-US" w:eastAsia="zh-CN"/>
        </w:rPr>
        <w:t>2022年</w:t>
      </w:r>
      <w:r>
        <w:rPr>
          <w:rFonts w:hint="eastAsia" w:ascii="仿宋" w:hAnsi="仿宋" w:eastAsia="仿宋" w:cs="仿宋"/>
          <w:color w:val="auto"/>
          <w:sz w:val="32"/>
          <w:szCs w:val="32"/>
        </w:rPr>
        <w:t>年</w:t>
      </w:r>
      <w:r>
        <w:rPr>
          <w:rFonts w:hint="eastAsia" w:ascii="仿宋" w:hAnsi="仿宋" w:eastAsia="仿宋" w:cs="仿宋"/>
          <w:color w:val="auto"/>
          <w:sz w:val="32"/>
          <w:szCs w:val="32"/>
          <w:lang w:val="en-US" w:eastAsia="zh-CN"/>
        </w:rPr>
        <w:t>兴国县计划生育协会</w:t>
      </w:r>
      <w:r>
        <w:rPr>
          <w:rFonts w:hint="eastAsia" w:ascii="仿宋" w:hAnsi="仿宋" w:eastAsia="仿宋" w:cs="仿宋"/>
          <w:color w:val="auto"/>
          <w:sz w:val="32"/>
          <w:szCs w:val="32"/>
        </w:rPr>
        <w:t>共有预算单位</w:t>
      </w: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rPr>
        <w:t>个，</w:t>
      </w:r>
      <w:r>
        <w:rPr>
          <w:rFonts w:hint="eastAsia" w:ascii="仿宋" w:hAnsi="仿宋" w:eastAsia="仿宋" w:cs="仿宋"/>
          <w:color w:val="auto"/>
          <w:sz w:val="32"/>
          <w:szCs w:val="32"/>
          <w:lang w:val="en-US" w:eastAsia="zh-CN"/>
        </w:rPr>
        <w:fldChar w:fldCharType="begin"/>
      </w:r>
      <w:r>
        <w:rPr>
          <w:rFonts w:hint="eastAsia" w:ascii="仿宋" w:hAnsi="仿宋" w:eastAsia="仿宋" w:cs="仿宋"/>
          <w:color w:val="auto"/>
          <w:sz w:val="32"/>
          <w:szCs w:val="32"/>
          <w:lang w:val="en-US" w:eastAsia="zh-CN"/>
        </w:rPr>
        <w:instrText xml:space="preserve">MERGEFIELD ${page400644146.ds532982397_REP_JX_BAS_AGENCY_INFO_ZYFRS_S_BZRSXJ}</w:instrText>
      </w:r>
      <w:r>
        <w:rPr>
          <w:rFonts w:hint="eastAsia" w:ascii="仿宋" w:hAnsi="仿宋" w:eastAsia="仿宋" w:cs="仿宋"/>
          <w:color w:val="auto"/>
          <w:sz w:val="32"/>
          <w:szCs w:val="32"/>
          <w:lang w:val="en-US" w:eastAsia="zh-CN"/>
        </w:rPr>
        <w:fldChar w:fldCharType="separate"/>
      </w:r>
      <w:r>
        <w:rPr>
          <w:rFonts w:hint="eastAsia" w:ascii="仿宋" w:hAnsi="仿宋" w:eastAsia="仿宋" w:cs="仿宋"/>
          <w:color w:val="auto"/>
          <w:sz w:val="32"/>
          <w:szCs w:val="32"/>
          <w:lang w:val="en-US" w:eastAsia="zh-CN"/>
        </w:rPr>
        <w:t>编制人数小计6人,</w:t>
      </w:r>
      <w:r>
        <w:rPr>
          <w:rFonts w:hint="eastAsia" w:ascii="仿宋" w:hAnsi="仿宋" w:eastAsia="仿宋" w:cs="仿宋"/>
          <w:color w:val="auto"/>
          <w:sz w:val="32"/>
          <w:szCs w:val="32"/>
          <w:lang w:val="en-US" w:eastAsia="zh-CN"/>
        </w:rPr>
        <w:fldChar w:fldCharType="end"/>
      </w:r>
      <w:r>
        <w:rPr>
          <w:rFonts w:hint="eastAsia" w:ascii="仿宋" w:hAnsi="仿宋" w:eastAsia="仿宋" w:cs="仿宋"/>
          <w:color w:val="auto"/>
          <w:sz w:val="32"/>
          <w:szCs w:val="32"/>
          <w:lang w:val="en-US" w:eastAsia="zh-CN"/>
        </w:rPr>
        <w:t>其中：</w:t>
      </w:r>
      <w:r>
        <w:rPr>
          <w:rFonts w:hint="eastAsia" w:ascii="仿宋" w:hAnsi="仿宋" w:eastAsia="仿宋" w:cs="仿宋"/>
          <w:color w:val="auto"/>
          <w:sz w:val="32"/>
          <w:szCs w:val="32"/>
          <w:lang w:val="en-US" w:eastAsia="zh-CN"/>
        </w:rPr>
        <w:fldChar w:fldCharType="begin"/>
      </w:r>
      <w:r>
        <w:rPr>
          <w:rFonts w:hint="eastAsia" w:ascii="仿宋" w:hAnsi="仿宋" w:eastAsia="仿宋" w:cs="仿宋"/>
          <w:color w:val="auto"/>
          <w:sz w:val="32"/>
          <w:szCs w:val="32"/>
          <w:lang w:val="en-US" w:eastAsia="zh-CN"/>
        </w:rPr>
        <w:instrText xml:space="preserve">MERGEFIELD ${page400644146.ds532982397_REP_JX_BAS_AGENCY_INFO_ZYFRS_S_BZRSMX}</w:instrText>
      </w:r>
      <w:r>
        <w:rPr>
          <w:rFonts w:hint="eastAsia" w:ascii="仿宋" w:hAnsi="仿宋" w:eastAsia="仿宋" w:cs="仿宋"/>
          <w:color w:val="auto"/>
          <w:sz w:val="32"/>
          <w:szCs w:val="32"/>
          <w:lang w:val="en-US" w:eastAsia="zh-CN"/>
        </w:rPr>
        <w:fldChar w:fldCharType="separate"/>
      </w:r>
      <w:r>
        <w:rPr>
          <w:rFonts w:hint="eastAsia" w:ascii="仿宋" w:hAnsi="仿宋" w:eastAsia="仿宋" w:cs="仿宋"/>
          <w:color w:val="auto"/>
          <w:sz w:val="32"/>
          <w:szCs w:val="32"/>
          <w:lang w:val="en-US" w:eastAsia="zh-CN"/>
        </w:rPr>
        <w:t>行政编制人数0人,参照公务员管理的事业编制人数6人,全部补助事业编制人数0人,差额补助事业编制人数0人，自收自支编制人数0人。</w:t>
      </w:r>
      <w:r>
        <w:rPr>
          <w:rFonts w:hint="eastAsia" w:ascii="仿宋" w:hAnsi="仿宋" w:eastAsia="仿宋" w:cs="仿宋"/>
          <w:color w:val="auto"/>
          <w:sz w:val="32"/>
          <w:szCs w:val="32"/>
          <w:lang w:val="en-US" w:eastAsia="zh-CN"/>
        </w:rPr>
        <w:fldChar w:fldCharType="end"/>
      </w:r>
      <w:r>
        <w:rPr>
          <w:rFonts w:hint="eastAsia" w:ascii="仿宋" w:hAnsi="仿宋" w:eastAsia="仿宋" w:cs="仿宋"/>
          <w:color w:val="auto"/>
          <w:sz w:val="32"/>
          <w:szCs w:val="32"/>
          <w:lang w:val="en-US" w:eastAsia="zh-CN"/>
        </w:rPr>
        <w:fldChar w:fldCharType="begin"/>
      </w:r>
      <w:r>
        <w:rPr>
          <w:rFonts w:hint="eastAsia" w:ascii="仿宋" w:hAnsi="仿宋" w:eastAsia="仿宋" w:cs="仿宋"/>
          <w:color w:val="auto"/>
          <w:sz w:val="32"/>
          <w:szCs w:val="32"/>
          <w:lang w:val="en-US" w:eastAsia="zh-CN"/>
        </w:rPr>
        <w:instrText xml:space="preserve">MERGEFIELD ${page400644146.ds532982397_REP_JX_BAS_AGENCY_INFO_ZYFRS_S_SYRSXJ}</w:instrText>
      </w:r>
      <w:r>
        <w:rPr>
          <w:rFonts w:hint="eastAsia" w:ascii="仿宋" w:hAnsi="仿宋" w:eastAsia="仿宋" w:cs="仿宋"/>
          <w:color w:val="auto"/>
          <w:sz w:val="32"/>
          <w:szCs w:val="32"/>
          <w:lang w:val="en-US" w:eastAsia="zh-CN"/>
        </w:rPr>
        <w:fldChar w:fldCharType="separate"/>
      </w:r>
      <w:r>
        <w:rPr>
          <w:rFonts w:hint="eastAsia" w:ascii="仿宋" w:hAnsi="仿宋" w:eastAsia="仿宋" w:cs="仿宋"/>
          <w:color w:val="auto"/>
          <w:sz w:val="32"/>
          <w:szCs w:val="32"/>
          <w:lang w:val="en-US" w:eastAsia="zh-CN"/>
        </w:rPr>
        <w:t>实有人数小计6人,</w:t>
      </w:r>
      <w:r>
        <w:rPr>
          <w:rFonts w:hint="eastAsia" w:ascii="仿宋" w:hAnsi="仿宋" w:eastAsia="仿宋" w:cs="仿宋"/>
          <w:color w:val="auto"/>
          <w:sz w:val="32"/>
          <w:szCs w:val="32"/>
          <w:lang w:val="en-US" w:eastAsia="zh-CN"/>
        </w:rPr>
        <w:fldChar w:fldCharType="end"/>
      </w:r>
      <w:r>
        <w:rPr>
          <w:rFonts w:hint="eastAsia" w:ascii="仿宋" w:hAnsi="仿宋" w:eastAsia="仿宋" w:cs="仿宋"/>
          <w:color w:val="auto"/>
          <w:sz w:val="32"/>
          <w:szCs w:val="32"/>
          <w:lang w:val="en-US" w:eastAsia="zh-CN"/>
        </w:rPr>
        <w:t>其中：</w:t>
      </w:r>
      <w:r>
        <w:rPr>
          <w:rFonts w:hint="eastAsia" w:ascii="仿宋" w:hAnsi="仿宋" w:eastAsia="仿宋" w:cs="仿宋"/>
          <w:color w:val="auto"/>
          <w:sz w:val="32"/>
          <w:szCs w:val="32"/>
          <w:lang w:val="en-US" w:eastAsia="zh-CN"/>
        </w:rPr>
        <w:fldChar w:fldCharType="begin"/>
      </w:r>
      <w:r>
        <w:rPr>
          <w:rFonts w:hint="eastAsia" w:ascii="仿宋" w:hAnsi="仿宋" w:eastAsia="仿宋" w:cs="仿宋"/>
          <w:color w:val="auto"/>
          <w:sz w:val="32"/>
          <w:szCs w:val="32"/>
          <w:lang w:val="en-US" w:eastAsia="zh-CN"/>
        </w:rPr>
        <w:instrText xml:space="preserve">MERGEFIELD ${page400644146.ds532982397_REP_JX_BAS_AGENCY_INFO_ZYFRS_S_ZZRSXJ}</w:instrText>
      </w:r>
      <w:r>
        <w:rPr>
          <w:rFonts w:hint="eastAsia" w:ascii="仿宋" w:hAnsi="仿宋" w:eastAsia="仿宋" w:cs="仿宋"/>
          <w:color w:val="auto"/>
          <w:sz w:val="32"/>
          <w:szCs w:val="32"/>
          <w:lang w:val="en-US" w:eastAsia="zh-CN"/>
        </w:rPr>
        <w:fldChar w:fldCharType="separate"/>
      </w:r>
      <w:r>
        <w:rPr>
          <w:rFonts w:hint="eastAsia" w:ascii="仿宋" w:hAnsi="仿宋" w:eastAsia="仿宋" w:cs="仿宋"/>
          <w:color w:val="auto"/>
          <w:sz w:val="32"/>
          <w:szCs w:val="32"/>
          <w:lang w:val="en-US" w:eastAsia="zh-CN"/>
        </w:rPr>
        <w:t>在职人数小计6人,</w:t>
      </w:r>
      <w:r>
        <w:rPr>
          <w:rFonts w:hint="eastAsia" w:ascii="仿宋" w:hAnsi="仿宋" w:eastAsia="仿宋" w:cs="仿宋"/>
          <w:color w:val="auto"/>
          <w:sz w:val="32"/>
          <w:szCs w:val="32"/>
          <w:lang w:val="en-US" w:eastAsia="zh-CN"/>
        </w:rPr>
        <w:fldChar w:fldCharType="end"/>
      </w:r>
      <w:r>
        <w:rPr>
          <w:rFonts w:hint="eastAsia" w:ascii="仿宋" w:hAnsi="仿宋" w:eastAsia="仿宋" w:cs="仿宋"/>
          <w:color w:val="auto"/>
          <w:sz w:val="32"/>
          <w:szCs w:val="32"/>
          <w:lang w:val="en-US" w:eastAsia="zh-CN"/>
        </w:rPr>
        <w:fldChar w:fldCharType="begin"/>
      </w:r>
      <w:r>
        <w:rPr>
          <w:rFonts w:hint="eastAsia" w:ascii="仿宋" w:hAnsi="仿宋" w:eastAsia="仿宋" w:cs="仿宋"/>
          <w:color w:val="auto"/>
          <w:sz w:val="32"/>
          <w:szCs w:val="32"/>
          <w:lang w:val="en-US" w:eastAsia="zh-CN"/>
        </w:rPr>
        <w:instrText xml:space="preserve">MERGEFIELD ${page400644146.ds532982397_REP_JX_BAS_AGENCY_INFO_ZYFRS_S_ZZRSMX}</w:instrText>
      </w:r>
      <w:r>
        <w:rPr>
          <w:rFonts w:hint="eastAsia" w:ascii="仿宋" w:hAnsi="仿宋" w:eastAsia="仿宋" w:cs="仿宋"/>
          <w:color w:val="auto"/>
          <w:sz w:val="32"/>
          <w:szCs w:val="32"/>
          <w:lang w:val="en-US" w:eastAsia="zh-CN"/>
        </w:rPr>
        <w:fldChar w:fldCharType="separate"/>
      </w:r>
      <w:r>
        <w:rPr>
          <w:rFonts w:hint="eastAsia" w:ascii="仿宋" w:hAnsi="仿宋" w:eastAsia="仿宋" w:cs="仿宋"/>
          <w:color w:val="auto"/>
          <w:sz w:val="32"/>
          <w:szCs w:val="32"/>
          <w:lang w:val="en-US" w:eastAsia="zh-CN"/>
        </w:rPr>
        <w:t>行政在职人数0人,参照公务员管理的事业单位在职人数6人,全部补助事业在职人数0人，差额补助事业编制人数0人。</w:t>
      </w:r>
      <w:r>
        <w:rPr>
          <w:rFonts w:hint="eastAsia" w:ascii="仿宋" w:hAnsi="仿宋" w:eastAsia="仿宋" w:cs="仿宋"/>
          <w:color w:val="auto"/>
          <w:sz w:val="32"/>
          <w:szCs w:val="32"/>
          <w:lang w:val="en-US" w:eastAsia="zh-CN"/>
        </w:rPr>
        <w:fldChar w:fldCharType="end"/>
      </w:r>
      <w:r>
        <w:rPr>
          <w:rFonts w:hint="eastAsia" w:ascii="仿宋" w:hAnsi="仿宋" w:eastAsia="仿宋" w:cs="仿宋"/>
          <w:color w:val="auto"/>
          <w:sz w:val="32"/>
          <w:szCs w:val="32"/>
          <w:lang w:val="en-US" w:eastAsia="zh-CN"/>
        </w:rPr>
        <w:fldChar w:fldCharType="begin"/>
      </w:r>
      <w:r>
        <w:rPr>
          <w:rFonts w:hint="eastAsia" w:ascii="仿宋" w:hAnsi="仿宋" w:eastAsia="仿宋" w:cs="仿宋"/>
          <w:color w:val="auto"/>
          <w:sz w:val="32"/>
          <w:szCs w:val="32"/>
          <w:lang w:val="en-US" w:eastAsia="zh-CN"/>
        </w:rPr>
        <w:instrText xml:space="preserve">MERGEFIELD ${page400644146.ds532982397_REP_JX_BAS_AGENCY_INFO_ZYFRS_S_QTRSMX}</w:instrText>
      </w:r>
      <w:r>
        <w:rPr>
          <w:rFonts w:hint="eastAsia" w:ascii="仿宋" w:hAnsi="仿宋" w:eastAsia="仿宋" w:cs="仿宋"/>
          <w:color w:val="auto"/>
          <w:sz w:val="32"/>
          <w:szCs w:val="32"/>
          <w:lang w:val="en-US" w:eastAsia="zh-CN"/>
        </w:rPr>
        <w:fldChar w:fldCharType="separate"/>
      </w:r>
      <w:r>
        <w:rPr>
          <w:rFonts w:hint="eastAsia" w:ascii="仿宋" w:hAnsi="仿宋" w:eastAsia="仿宋" w:cs="仿宋"/>
          <w:color w:val="auto"/>
          <w:sz w:val="32"/>
          <w:szCs w:val="32"/>
          <w:lang w:val="en-US" w:eastAsia="zh-CN"/>
        </w:rPr>
        <w:t>离休人数小计0人,退休人数小计1人,退职人员0人,遗属人数0人。</w:t>
      </w:r>
      <w:r>
        <w:rPr>
          <w:rFonts w:hint="eastAsia" w:ascii="仿宋" w:hAnsi="仿宋" w:eastAsia="仿宋" w:cs="仿宋"/>
          <w:color w:val="auto"/>
          <w:sz w:val="32"/>
          <w:szCs w:val="32"/>
          <w:lang w:val="en-US" w:eastAsia="zh-CN"/>
        </w:rPr>
        <w:fldChar w:fldCharType="end"/>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color w:val="FF0000"/>
          <w:sz w:val="32"/>
          <w:szCs w:val="32"/>
          <w:lang w:val="en-US" w:eastAsia="zh-CN"/>
        </w:rPr>
      </w:pPr>
    </w:p>
    <w:p>
      <w:pPr>
        <w:pStyle w:val="2"/>
        <w:rPr>
          <w:rFonts w:hint="eastAsia" w:ascii="仿宋" w:hAnsi="仿宋" w:eastAsia="仿宋" w:cs="仿宋"/>
          <w:color w:val="auto"/>
          <w:sz w:val="32"/>
          <w:szCs w:val="32"/>
        </w:rPr>
      </w:pPr>
    </w:p>
    <w:p>
      <w:pPr>
        <w:spacing w:line="560" w:lineRule="exact"/>
        <w:jc w:val="center"/>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 xml:space="preserve">第二部分 </w:t>
      </w:r>
      <w:r>
        <w:rPr>
          <w:rFonts w:hint="eastAsia" w:ascii="黑体" w:hAnsi="黑体" w:eastAsia="黑体" w:cs="黑体"/>
          <w:b w:val="0"/>
          <w:bCs w:val="0"/>
          <w:color w:val="auto"/>
          <w:sz w:val="32"/>
          <w:szCs w:val="32"/>
          <w:lang w:val="en-US" w:eastAsia="zh-CN"/>
        </w:rPr>
        <w:t>兴国县计划生育协会</w:t>
      </w:r>
      <w:r>
        <w:rPr>
          <w:rFonts w:hint="eastAsia" w:ascii="黑体" w:hAnsi="黑体" w:eastAsia="黑体" w:cs="黑体"/>
          <w:b w:val="0"/>
          <w:bCs w:val="0"/>
          <w:color w:val="auto"/>
          <w:sz w:val="32"/>
          <w:szCs w:val="32"/>
        </w:rPr>
        <w:t>部门预算情况说明</w:t>
      </w:r>
    </w:p>
    <w:p>
      <w:pPr>
        <w:spacing w:line="560" w:lineRule="exact"/>
        <w:jc w:val="center"/>
        <w:rPr>
          <w:rFonts w:hint="eastAsia" w:ascii="仿宋" w:hAnsi="仿宋" w:eastAsia="仿宋" w:cs="仿宋"/>
          <w:b/>
          <w:bCs/>
          <w:color w:val="auto"/>
          <w:sz w:val="32"/>
          <w:szCs w:val="32"/>
        </w:rPr>
      </w:pPr>
    </w:p>
    <w:p>
      <w:pPr>
        <w:keepNext w:val="0"/>
        <w:keepLines w:val="0"/>
        <w:pageBreakBefore w:val="0"/>
        <w:widowControl w:val="0"/>
        <w:kinsoku/>
        <w:wordWrap/>
        <w:overflowPunct/>
        <w:topLinePunct w:val="0"/>
        <w:autoSpaceDE/>
        <w:autoSpaceDN/>
        <w:bidi w:val="0"/>
        <w:adjustRightInd/>
        <w:snapToGrid/>
        <w:spacing w:line="500" w:lineRule="exact"/>
        <w:ind w:firstLine="643" w:firstLineChars="200"/>
        <w:textAlignment w:val="auto"/>
        <w:rPr>
          <w:rFonts w:hint="eastAsia" w:ascii="楷体" w:hAnsi="楷体" w:eastAsia="楷体" w:cs="楷体"/>
          <w:b/>
          <w:bCs/>
          <w:sz w:val="32"/>
          <w:szCs w:val="32"/>
        </w:rPr>
      </w:pPr>
      <w:r>
        <w:rPr>
          <w:rFonts w:hint="eastAsia" w:ascii="楷体" w:hAnsi="楷体" w:eastAsia="楷体" w:cs="楷体"/>
          <w:b/>
          <w:bCs/>
          <w:sz w:val="32"/>
          <w:szCs w:val="32"/>
        </w:rPr>
        <w:t>一、</w:t>
      </w:r>
      <w:r>
        <w:rPr>
          <w:rFonts w:hint="eastAsia" w:ascii="楷体" w:hAnsi="楷体" w:eastAsia="楷体" w:cs="楷体"/>
          <w:b/>
          <w:bCs/>
          <w:sz w:val="32"/>
          <w:szCs w:val="32"/>
          <w:lang w:val="en-US" w:eastAsia="zh-CN"/>
        </w:rPr>
        <w:t>2022</w:t>
      </w:r>
      <w:r>
        <w:rPr>
          <w:rFonts w:hint="eastAsia" w:ascii="楷体" w:hAnsi="楷体" w:eastAsia="楷体" w:cs="楷体"/>
          <w:b/>
          <w:bCs/>
          <w:sz w:val="32"/>
          <w:szCs w:val="32"/>
        </w:rPr>
        <w:t>年部门预算收支情况说明</w:t>
      </w:r>
    </w:p>
    <w:p>
      <w:pPr>
        <w:keepNext w:val="0"/>
        <w:keepLines w:val="0"/>
        <w:pageBreakBefore w:val="0"/>
        <w:widowControl w:val="0"/>
        <w:kinsoku/>
        <w:wordWrap/>
        <w:overflowPunct/>
        <w:topLinePunct w:val="0"/>
        <w:autoSpaceDE/>
        <w:autoSpaceDN/>
        <w:bidi w:val="0"/>
        <w:adjustRightInd/>
        <w:snapToGrid/>
        <w:spacing w:line="500" w:lineRule="exact"/>
        <w:ind w:firstLine="643" w:firstLineChars="200"/>
        <w:textAlignment w:val="auto"/>
        <w:rPr>
          <w:rFonts w:hint="eastAsia" w:ascii="仿宋" w:hAnsi="仿宋" w:eastAsia="仿宋" w:cs="仿宋"/>
          <w:b/>
          <w:bCs/>
          <w:sz w:val="32"/>
          <w:szCs w:val="32"/>
        </w:rPr>
      </w:pPr>
      <w:r>
        <w:rPr>
          <w:rFonts w:hint="eastAsia" w:ascii="仿宋" w:hAnsi="仿宋" w:eastAsia="仿宋" w:cs="仿宋"/>
          <w:b/>
          <w:bCs/>
          <w:sz w:val="32"/>
          <w:szCs w:val="32"/>
        </w:rPr>
        <w:t>（一）收入预算情况</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w:t>
      </w:r>
      <w:r>
        <w:rPr>
          <w:rFonts w:hint="eastAsia" w:ascii="仿宋" w:hAnsi="仿宋" w:eastAsia="仿宋" w:cs="仿宋"/>
          <w:color w:val="auto"/>
          <w:sz w:val="32"/>
          <w:szCs w:val="32"/>
          <w:lang w:eastAsia="zh-CN"/>
        </w:rPr>
        <w:t>本部门收入</w:t>
      </w:r>
      <w:r>
        <w:rPr>
          <w:rFonts w:hint="eastAsia" w:ascii="仿宋" w:hAnsi="仿宋" w:eastAsia="仿宋" w:cs="仿宋"/>
          <w:color w:val="auto"/>
          <w:sz w:val="32"/>
          <w:szCs w:val="32"/>
        </w:rPr>
        <w:t>预算</w:t>
      </w:r>
      <w:r>
        <w:rPr>
          <w:rFonts w:hint="eastAsia" w:ascii="仿宋" w:hAnsi="仿宋" w:eastAsia="仿宋" w:cs="仿宋"/>
          <w:color w:val="auto"/>
          <w:sz w:val="32"/>
          <w:szCs w:val="32"/>
          <w:lang w:eastAsia="zh-CN"/>
        </w:rPr>
        <w:t>总额</w:t>
      </w:r>
      <w:r>
        <w:rPr>
          <w:rFonts w:hint="eastAsia" w:ascii="仿宋" w:hAnsi="仿宋" w:eastAsia="仿宋" w:cs="仿宋"/>
          <w:color w:val="auto"/>
          <w:sz w:val="32"/>
          <w:szCs w:val="32"/>
          <w:lang w:val="en-US" w:eastAsia="zh-CN"/>
        </w:rPr>
        <w:t>108.12</w:t>
      </w:r>
      <w:r>
        <w:rPr>
          <w:rFonts w:hint="eastAsia" w:ascii="仿宋" w:hAnsi="仿宋" w:eastAsia="仿宋" w:cs="仿宋"/>
          <w:color w:val="auto"/>
          <w:sz w:val="32"/>
          <w:szCs w:val="32"/>
        </w:rPr>
        <w:t>万元，较上年预算安排</w:t>
      </w:r>
      <w:r>
        <w:rPr>
          <w:rFonts w:hint="eastAsia" w:ascii="仿宋" w:hAnsi="仿宋" w:eastAsia="仿宋" w:cs="仿宋"/>
          <w:color w:val="auto"/>
          <w:sz w:val="32"/>
          <w:szCs w:val="32"/>
          <w:lang w:eastAsia="zh-CN"/>
        </w:rPr>
        <w:t>减少</w:t>
      </w:r>
      <w:r>
        <w:rPr>
          <w:rFonts w:hint="eastAsia" w:ascii="仿宋" w:hAnsi="仿宋" w:eastAsia="仿宋" w:cs="仿宋"/>
          <w:color w:val="auto"/>
          <w:sz w:val="32"/>
          <w:szCs w:val="32"/>
          <w:lang w:val="en-US" w:eastAsia="zh-CN"/>
        </w:rPr>
        <w:t>6.25</w:t>
      </w:r>
      <w:r>
        <w:rPr>
          <w:rFonts w:hint="eastAsia" w:ascii="仿宋" w:hAnsi="仿宋" w:eastAsia="仿宋" w:cs="仿宋"/>
          <w:color w:val="auto"/>
          <w:sz w:val="32"/>
          <w:szCs w:val="32"/>
          <w:lang w:eastAsia="zh-CN"/>
        </w:rPr>
        <w:t>万元，减少</w:t>
      </w:r>
      <w:r>
        <w:rPr>
          <w:rFonts w:hint="eastAsia" w:ascii="仿宋" w:hAnsi="仿宋" w:eastAsia="仿宋" w:cs="仿宋"/>
          <w:color w:val="auto"/>
          <w:sz w:val="32"/>
          <w:szCs w:val="32"/>
          <w:lang w:val="en-US" w:eastAsia="zh-CN"/>
        </w:rPr>
        <w:t>5.46%</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增减变化主要原因是：</w:t>
      </w:r>
      <w:r>
        <w:rPr>
          <w:rFonts w:hint="eastAsia" w:ascii="仿宋" w:hAnsi="仿宋" w:eastAsia="仿宋" w:cs="仿宋"/>
          <w:color w:val="auto"/>
          <w:sz w:val="32"/>
          <w:szCs w:val="32"/>
          <w:lang w:val="en-US" w:eastAsia="zh-CN"/>
        </w:rPr>
        <w:t>上年财政结转结余4.79元，非财政拨款结余10.2万元。</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具体为：财政拨款收入（一般公共预算收入）75.25万元，占收入预算总额的61.12%，较上年预算安排减少1.82万元；事业收入0万元，占收入预算总额的0%，较上年预算安排增加0万元；其他收入32.87万元，占收入预算总额的26.70%，较上年预算安排增加1.07万元，上年结转14.99万元（上年财政结转结余4.79元，非财政拨款结余10.2万元。）</w:t>
      </w:r>
      <w:bookmarkStart w:id="0" w:name="_GoBack"/>
      <w:bookmarkEnd w:id="0"/>
    </w:p>
    <w:p>
      <w:pPr>
        <w:keepNext w:val="0"/>
        <w:keepLines w:val="0"/>
        <w:pageBreakBefore w:val="0"/>
        <w:widowControl w:val="0"/>
        <w:kinsoku/>
        <w:wordWrap/>
        <w:overflowPunct/>
        <w:topLinePunct w:val="0"/>
        <w:autoSpaceDE/>
        <w:autoSpaceDN/>
        <w:bidi w:val="0"/>
        <w:adjustRightInd/>
        <w:snapToGrid/>
        <w:spacing w:line="500" w:lineRule="exact"/>
        <w:ind w:firstLine="643" w:firstLineChars="200"/>
        <w:textAlignment w:val="auto"/>
        <w:rPr>
          <w:rFonts w:hint="eastAsia" w:ascii="仿宋" w:hAnsi="仿宋" w:eastAsia="仿宋" w:cs="仿宋"/>
          <w:b/>
          <w:bCs/>
          <w:color w:val="auto"/>
          <w:sz w:val="32"/>
          <w:szCs w:val="32"/>
        </w:rPr>
      </w:pPr>
      <w:r>
        <w:rPr>
          <w:rFonts w:hint="eastAsia" w:ascii="仿宋" w:hAnsi="仿宋" w:eastAsia="仿宋" w:cs="仿宋"/>
          <w:b/>
          <w:bCs/>
          <w:color w:val="auto"/>
          <w:sz w:val="32"/>
          <w:szCs w:val="32"/>
        </w:rPr>
        <w:t>（二）支出预算情况</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w:t>
      </w:r>
      <w:r>
        <w:rPr>
          <w:rFonts w:hint="eastAsia" w:ascii="仿宋" w:hAnsi="仿宋" w:eastAsia="仿宋" w:cs="仿宋"/>
          <w:color w:val="auto"/>
          <w:sz w:val="32"/>
          <w:szCs w:val="32"/>
          <w:lang w:eastAsia="zh-CN"/>
        </w:rPr>
        <w:t>本部门</w:t>
      </w:r>
      <w:r>
        <w:rPr>
          <w:rFonts w:hint="eastAsia" w:ascii="仿宋" w:hAnsi="仿宋" w:eastAsia="仿宋" w:cs="仿宋"/>
          <w:color w:val="auto"/>
          <w:sz w:val="32"/>
          <w:szCs w:val="32"/>
        </w:rPr>
        <w:t>支出预算</w:t>
      </w:r>
      <w:r>
        <w:rPr>
          <w:rFonts w:hint="eastAsia" w:ascii="仿宋" w:hAnsi="仿宋" w:eastAsia="仿宋" w:cs="仿宋"/>
          <w:color w:val="auto"/>
          <w:sz w:val="32"/>
          <w:szCs w:val="32"/>
          <w:lang w:eastAsia="zh-CN"/>
        </w:rPr>
        <w:t>总额</w:t>
      </w:r>
      <w:r>
        <w:rPr>
          <w:rFonts w:hint="eastAsia" w:ascii="仿宋" w:hAnsi="仿宋" w:eastAsia="仿宋" w:cs="仿宋"/>
          <w:color w:val="auto"/>
          <w:sz w:val="32"/>
          <w:szCs w:val="32"/>
          <w:lang w:val="en-US" w:eastAsia="zh-CN"/>
        </w:rPr>
        <w:t>123.11</w:t>
      </w:r>
      <w:r>
        <w:rPr>
          <w:rFonts w:hint="eastAsia" w:ascii="仿宋" w:hAnsi="仿宋" w:eastAsia="仿宋" w:cs="仿宋"/>
          <w:color w:val="auto"/>
          <w:sz w:val="32"/>
          <w:szCs w:val="32"/>
        </w:rPr>
        <w:t>万元，较上年预算安排增</w:t>
      </w:r>
      <w:r>
        <w:rPr>
          <w:rFonts w:hint="eastAsia" w:ascii="仿宋" w:hAnsi="仿宋" w:eastAsia="仿宋" w:cs="仿宋"/>
          <w:color w:val="auto"/>
          <w:sz w:val="32"/>
          <w:szCs w:val="32"/>
          <w:lang w:val="en-US" w:eastAsia="zh-CN"/>
        </w:rPr>
        <w:t>加8.74</w:t>
      </w:r>
      <w:r>
        <w:rPr>
          <w:rFonts w:hint="eastAsia" w:ascii="仿宋" w:hAnsi="仿宋" w:eastAsia="仿宋" w:cs="仿宋"/>
          <w:color w:val="auto"/>
          <w:sz w:val="32"/>
          <w:szCs w:val="32"/>
          <w:lang w:eastAsia="zh-CN"/>
        </w:rPr>
        <w:t>万元，</w:t>
      </w:r>
      <w:r>
        <w:rPr>
          <w:rFonts w:hint="eastAsia" w:ascii="仿宋" w:hAnsi="仿宋" w:eastAsia="仿宋" w:cs="仿宋"/>
          <w:color w:val="auto"/>
          <w:sz w:val="32"/>
          <w:szCs w:val="32"/>
        </w:rPr>
        <w:t>增</w:t>
      </w:r>
      <w:r>
        <w:rPr>
          <w:rFonts w:hint="eastAsia" w:ascii="仿宋" w:hAnsi="仿宋" w:eastAsia="仿宋" w:cs="仿宋"/>
          <w:color w:val="auto"/>
          <w:sz w:val="32"/>
          <w:szCs w:val="32"/>
          <w:lang w:val="en-US" w:eastAsia="zh-CN"/>
        </w:rPr>
        <w:t>加7.64%</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增减变化主要原因是：</w:t>
      </w:r>
      <w:r>
        <w:rPr>
          <w:rFonts w:hint="eastAsia" w:ascii="仿宋" w:hAnsi="仿宋" w:eastAsia="仿宋" w:cs="仿宋"/>
          <w:color w:val="auto"/>
          <w:sz w:val="32"/>
          <w:szCs w:val="32"/>
          <w:lang w:val="en-US" w:eastAsia="zh-CN"/>
        </w:rPr>
        <w:t>职工工资增加的支出</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具体为：</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按支出项目类别及经济分类科目划分：基本支出</w:t>
      </w:r>
      <w:r>
        <w:rPr>
          <w:rFonts w:hint="eastAsia" w:ascii="仿宋" w:hAnsi="仿宋" w:eastAsia="仿宋" w:cs="仿宋"/>
          <w:color w:val="auto"/>
          <w:sz w:val="32"/>
          <w:szCs w:val="32"/>
          <w:lang w:val="en-US" w:eastAsia="zh-CN"/>
        </w:rPr>
        <w:t>87.99</w:t>
      </w:r>
      <w:r>
        <w:rPr>
          <w:rFonts w:hint="eastAsia" w:ascii="仿宋" w:hAnsi="仿宋" w:eastAsia="仿宋" w:cs="仿宋"/>
          <w:color w:val="auto"/>
          <w:sz w:val="32"/>
          <w:szCs w:val="32"/>
        </w:rPr>
        <w:t>万元</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较上年预算安排</w:t>
      </w:r>
      <w:r>
        <w:rPr>
          <w:rFonts w:hint="eastAsia" w:ascii="仿宋" w:hAnsi="仿宋" w:eastAsia="仿宋" w:cs="仿宋"/>
          <w:color w:val="auto"/>
          <w:sz w:val="32"/>
          <w:szCs w:val="32"/>
          <w:lang w:eastAsia="zh-CN"/>
        </w:rPr>
        <w:t>减少</w:t>
      </w:r>
      <w:r>
        <w:rPr>
          <w:rFonts w:hint="eastAsia" w:ascii="仿宋" w:hAnsi="仿宋" w:eastAsia="仿宋" w:cs="仿宋"/>
          <w:color w:val="auto"/>
          <w:sz w:val="32"/>
          <w:szCs w:val="32"/>
          <w:lang w:val="en-US" w:eastAsia="zh-CN"/>
        </w:rPr>
        <w:t>17.38</w:t>
      </w:r>
      <w:r>
        <w:rPr>
          <w:rFonts w:hint="eastAsia" w:ascii="仿宋" w:hAnsi="仿宋" w:eastAsia="仿宋" w:cs="仿宋"/>
          <w:color w:val="auto"/>
          <w:sz w:val="32"/>
          <w:szCs w:val="32"/>
          <w:lang w:eastAsia="zh-CN"/>
        </w:rPr>
        <w:t>万元，其中：</w:t>
      </w:r>
      <w:r>
        <w:rPr>
          <w:rFonts w:hint="eastAsia" w:ascii="仿宋" w:hAnsi="仿宋" w:eastAsia="仿宋" w:cs="仿宋"/>
          <w:color w:val="auto"/>
          <w:sz w:val="32"/>
          <w:szCs w:val="32"/>
          <w:lang w:val="en-US" w:eastAsia="zh-CN"/>
        </w:rPr>
        <w:t>工资福利支出66.43万元，占预算总额的53.96%，</w:t>
      </w:r>
      <w:r>
        <w:rPr>
          <w:rFonts w:hint="eastAsia" w:ascii="仿宋" w:hAnsi="仿宋" w:eastAsia="仿宋" w:cs="仿宋"/>
          <w:color w:val="auto"/>
          <w:sz w:val="32"/>
          <w:szCs w:val="32"/>
        </w:rPr>
        <w:t>较上年预算安排增</w:t>
      </w:r>
      <w:r>
        <w:rPr>
          <w:rFonts w:hint="eastAsia" w:ascii="仿宋" w:hAnsi="仿宋" w:eastAsia="仿宋" w:cs="仿宋"/>
          <w:color w:val="auto"/>
          <w:sz w:val="32"/>
          <w:szCs w:val="32"/>
          <w:lang w:val="en-US" w:eastAsia="zh-CN"/>
        </w:rPr>
        <w:t>加 5.98</w:t>
      </w:r>
      <w:r>
        <w:rPr>
          <w:rFonts w:hint="eastAsia" w:ascii="仿宋" w:hAnsi="仿宋" w:eastAsia="仿宋" w:cs="仿宋"/>
          <w:color w:val="auto"/>
          <w:sz w:val="32"/>
          <w:szCs w:val="32"/>
          <w:lang w:eastAsia="zh-CN"/>
        </w:rPr>
        <w:t>万元；</w:t>
      </w:r>
      <w:r>
        <w:rPr>
          <w:rFonts w:hint="eastAsia" w:ascii="仿宋" w:hAnsi="仿宋" w:eastAsia="仿宋" w:cs="仿宋"/>
          <w:color w:val="auto"/>
          <w:sz w:val="32"/>
          <w:szCs w:val="32"/>
          <w:lang w:val="en-US" w:eastAsia="zh-CN"/>
        </w:rPr>
        <w:t>商品和服务支出6.42万元，占预算总额的5.21%，</w:t>
      </w:r>
      <w:r>
        <w:rPr>
          <w:rFonts w:hint="eastAsia" w:ascii="仿宋" w:hAnsi="仿宋" w:eastAsia="仿宋" w:cs="仿宋"/>
          <w:color w:val="auto"/>
          <w:sz w:val="32"/>
          <w:szCs w:val="32"/>
        </w:rPr>
        <w:t>较上年预算安排</w:t>
      </w:r>
      <w:r>
        <w:rPr>
          <w:rFonts w:hint="eastAsia" w:ascii="仿宋" w:hAnsi="仿宋" w:eastAsia="仿宋" w:cs="仿宋"/>
          <w:color w:val="auto"/>
          <w:sz w:val="32"/>
          <w:szCs w:val="32"/>
          <w:lang w:eastAsia="zh-CN"/>
        </w:rPr>
        <w:t>减少</w:t>
      </w:r>
      <w:r>
        <w:rPr>
          <w:rFonts w:hint="eastAsia" w:ascii="仿宋" w:hAnsi="仿宋" w:eastAsia="仿宋" w:cs="仿宋"/>
          <w:color w:val="auto"/>
          <w:sz w:val="32"/>
          <w:szCs w:val="32"/>
          <w:lang w:val="en-US" w:eastAsia="zh-CN"/>
        </w:rPr>
        <w:t xml:space="preserve">1.2 </w:t>
      </w:r>
      <w:r>
        <w:rPr>
          <w:rFonts w:hint="eastAsia" w:ascii="仿宋" w:hAnsi="仿宋" w:eastAsia="仿宋" w:cs="仿宋"/>
          <w:color w:val="auto"/>
          <w:sz w:val="32"/>
          <w:szCs w:val="32"/>
          <w:lang w:eastAsia="zh-CN"/>
        </w:rPr>
        <w:t>万元；</w:t>
      </w:r>
      <w:r>
        <w:rPr>
          <w:rFonts w:hint="eastAsia" w:ascii="仿宋" w:hAnsi="仿宋" w:eastAsia="仿宋" w:cs="仿宋"/>
          <w:color w:val="auto"/>
          <w:sz w:val="32"/>
          <w:szCs w:val="32"/>
          <w:lang w:val="en-US" w:eastAsia="zh-CN"/>
        </w:rPr>
        <w:t>对个人和家庭的补助0万元，占预算总额的0%、资本性支出2.4万元，占预算总额的2%，</w:t>
      </w:r>
      <w:r>
        <w:rPr>
          <w:rFonts w:hint="eastAsia" w:ascii="仿宋" w:hAnsi="仿宋" w:eastAsia="仿宋" w:cs="仿宋"/>
          <w:color w:val="auto"/>
          <w:sz w:val="32"/>
          <w:szCs w:val="32"/>
        </w:rPr>
        <w:t>较上年预算安排增</w:t>
      </w:r>
      <w:r>
        <w:rPr>
          <w:rFonts w:hint="eastAsia" w:ascii="仿宋" w:hAnsi="仿宋" w:eastAsia="仿宋" w:cs="仿宋"/>
          <w:color w:val="auto"/>
          <w:sz w:val="32"/>
          <w:szCs w:val="32"/>
          <w:lang w:val="en-US" w:eastAsia="zh-CN"/>
        </w:rPr>
        <w:t xml:space="preserve">加2.4 </w:t>
      </w:r>
      <w:r>
        <w:rPr>
          <w:rFonts w:hint="eastAsia" w:ascii="仿宋" w:hAnsi="仿宋" w:eastAsia="仿宋" w:cs="仿宋"/>
          <w:color w:val="auto"/>
          <w:sz w:val="32"/>
          <w:szCs w:val="32"/>
          <w:lang w:eastAsia="zh-CN"/>
        </w:rPr>
        <w:t>万元；项目支出</w:t>
      </w:r>
      <w:r>
        <w:rPr>
          <w:rFonts w:hint="eastAsia" w:ascii="仿宋" w:hAnsi="仿宋" w:eastAsia="仿宋" w:cs="仿宋"/>
          <w:color w:val="auto"/>
          <w:sz w:val="32"/>
          <w:szCs w:val="32"/>
          <w:lang w:val="en-US" w:eastAsia="zh-CN"/>
        </w:rPr>
        <w:t>35.12</w:t>
      </w:r>
      <w:r>
        <w:rPr>
          <w:rFonts w:hint="eastAsia" w:ascii="仿宋" w:hAnsi="仿宋" w:eastAsia="仿宋" w:cs="仿宋"/>
          <w:color w:val="auto"/>
          <w:sz w:val="32"/>
          <w:szCs w:val="32"/>
        </w:rPr>
        <w:t>万元</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占预算总额的28.52%，</w:t>
      </w:r>
      <w:r>
        <w:rPr>
          <w:rFonts w:hint="eastAsia" w:ascii="仿宋" w:hAnsi="仿宋" w:eastAsia="仿宋" w:cs="仿宋"/>
          <w:color w:val="auto"/>
          <w:sz w:val="32"/>
          <w:szCs w:val="32"/>
        </w:rPr>
        <w:t>较上年预算安排</w:t>
      </w:r>
      <w:r>
        <w:rPr>
          <w:rFonts w:hint="eastAsia" w:ascii="仿宋" w:hAnsi="仿宋" w:eastAsia="仿宋" w:cs="仿宋"/>
          <w:color w:val="auto"/>
          <w:sz w:val="32"/>
          <w:szCs w:val="32"/>
          <w:lang w:val="en-US" w:eastAsia="zh-CN"/>
        </w:rPr>
        <w:t>增加26.12</w:t>
      </w:r>
      <w:r>
        <w:rPr>
          <w:rFonts w:hint="eastAsia" w:ascii="仿宋" w:hAnsi="仿宋" w:eastAsia="仿宋" w:cs="仿宋"/>
          <w:color w:val="auto"/>
          <w:sz w:val="32"/>
          <w:szCs w:val="32"/>
          <w:lang w:eastAsia="zh-CN"/>
        </w:rPr>
        <w:t>万元，其中：</w:t>
      </w:r>
      <w:r>
        <w:rPr>
          <w:rFonts w:hint="eastAsia" w:ascii="仿宋" w:hAnsi="仿宋" w:eastAsia="仿宋" w:cs="仿宋"/>
          <w:color w:val="auto"/>
          <w:sz w:val="32"/>
          <w:szCs w:val="32"/>
          <w:lang w:val="en-US" w:eastAsia="zh-CN"/>
        </w:rPr>
        <w:t>其他计划生育支出2.25万元，占预算总额的1.8%，较</w:t>
      </w:r>
      <w:r>
        <w:rPr>
          <w:rFonts w:hint="eastAsia" w:ascii="仿宋" w:hAnsi="仿宋" w:eastAsia="仿宋" w:cs="仿宋"/>
          <w:color w:val="auto"/>
          <w:sz w:val="32"/>
          <w:szCs w:val="32"/>
        </w:rPr>
        <w:t>上年预算安排</w:t>
      </w:r>
      <w:r>
        <w:rPr>
          <w:rFonts w:hint="eastAsia" w:ascii="仿宋" w:hAnsi="仿宋" w:eastAsia="仿宋" w:cs="仿宋"/>
          <w:color w:val="auto"/>
          <w:sz w:val="32"/>
          <w:szCs w:val="32"/>
          <w:lang w:eastAsia="zh-CN"/>
        </w:rPr>
        <w:t>减少</w:t>
      </w:r>
      <w:r>
        <w:rPr>
          <w:rFonts w:hint="eastAsia" w:ascii="仿宋" w:hAnsi="仿宋" w:eastAsia="仿宋" w:cs="仿宋"/>
          <w:color w:val="auto"/>
          <w:sz w:val="32"/>
          <w:szCs w:val="32"/>
          <w:lang w:val="en-US" w:eastAsia="zh-CN"/>
        </w:rPr>
        <w:t xml:space="preserve">6.5 </w:t>
      </w:r>
      <w:r>
        <w:rPr>
          <w:rFonts w:hint="eastAsia" w:ascii="仿宋" w:hAnsi="仿宋" w:eastAsia="仿宋" w:cs="仿宋"/>
          <w:color w:val="auto"/>
          <w:sz w:val="32"/>
          <w:szCs w:val="32"/>
          <w:lang w:eastAsia="zh-CN"/>
        </w:rPr>
        <w:t>万元；</w:t>
      </w:r>
      <w:r>
        <w:rPr>
          <w:rFonts w:hint="eastAsia" w:ascii="仿宋" w:hAnsi="仿宋" w:eastAsia="仿宋" w:cs="仿宋"/>
          <w:color w:val="auto"/>
          <w:sz w:val="32"/>
          <w:szCs w:val="32"/>
          <w:lang w:val="en-US" w:eastAsia="zh-CN"/>
        </w:rPr>
        <w:t>商品和服务支出0万元，占预算总额的0%、对个人和家庭的补助0万元，占预算总额的0%、资本性支出0万元，占预算总额的0%、其他相关支出32.87万元，占预算总额的26.70%，</w:t>
      </w:r>
      <w:r>
        <w:rPr>
          <w:rFonts w:hint="eastAsia" w:ascii="仿宋" w:hAnsi="仿宋" w:eastAsia="仿宋" w:cs="仿宋"/>
          <w:color w:val="auto"/>
          <w:sz w:val="32"/>
          <w:szCs w:val="32"/>
        </w:rPr>
        <w:t>上年预算安排增</w:t>
      </w:r>
      <w:r>
        <w:rPr>
          <w:rFonts w:hint="eastAsia" w:ascii="仿宋" w:hAnsi="仿宋" w:eastAsia="仿宋" w:cs="仿宋"/>
          <w:color w:val="auto"/>
          <w:sz w:val="32"/>
          <w:szCs w:val="32"/>
          <w:lang w:val="en-US" w:eastAsia="zh-CN"/>
        </w:rPr>
        <w:t xml:space="preserve">加32.87 </w:t>
      </w:r>
      <w:r>
        <w:rPr>
          <w:rFonts w:hint="eastAsia" w:ascii="仿宋" w:hAnsi="仿宋" w:eastAsia="仿宋" w:cs="仿宋"/>
          <w:color w:val="auto"/>
          <w:sz w:val="32"/>
          <w:szCs w:val="32"/>
          <w:lang w:eastAsia="zh-CN"/>
        </w:rPr>
        <w:t>万元；。</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按支出功能分类科目划分：</w:t>
      </w:r>
      <w:r>
        <w:rPr>
          <w:rFonts w:hint="eastAsia" w:ascii="仿宋" w:hAnsi="仿宋" w:eastAsia="仿宋" w:cs="仿宋"/>
          <w:color w:val="auto"/>
          <w:sz w:val="32"/>
          <w:szCs w:val="32"/>
          <w:lang w:val="en-US" w:eastAsia="zh-CN"/>
        </w:rPr>
        <w:t>教育</w:t>
      </w:r>
      <w:r>
        <w:rPr>
          <w:rFonts w:hint="eastAsia" w:ascii="仿宋" w:hAnsi="仿宋" w:eastAsia="仿宋" w:cs="仿宋"/>
          <w:color w:val="auto"/>
          <w:sz w:val="32"/>
          <w:szCs w:val="32"/>
          <w:lang w:eastAsia="zh-CN"/>
        </w:rPr>
        <w:t>支出</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占预算总额的0%，</w:t>
      </w:r>
      <w:r>
        <w:rPr>
          <w:rFonts w:hint="eastAsia" w:ascii="仿宋" w:hAnsi="仿宋" w:eastAsia="仿宋" w:cs="仿宋"/>
          <w:color w:val="auto"/>
          <w:sz w:val="32"/>
          <w:szCs w:val="32"/>
        </w:rPr>
        <w:t>较上年预算安排增</w:t>
      </w:r>
      <w:r>
        <w:rPr>
          <w:rFonts w:hint="eastAsia" w:ascii="仿宋" w:hAnsi="仿宋" w:eastAsia="仿宋" w:cs="仿宋"/>
          <w:color w:val="auto"/>
          <w:sz w:val="32"/>
          <w:szCs w:val="32"/>
          <w:lang w:val="en-US" w:eastAsia="zh-CN"/>
        </w:rPr>
        <w:t>加0</w:t>
      </w:r>
      <w:r>
        <w:rPr>
          <w:rFonts w:hint="eastAsia" w:ascii="仿宋" w:hAnsi="仿宋" w:eastAsia="仿宋" w:cs="仿宋"/>
          <w:color w:val="auto"/>
          <w:sz w:val="32"/>
          <w:szCs w:val="32"/>
          <w:lang w:eastAsia="zh-CN"/>
        </w:rPr>
        <w:t>万元；</w:t>
      </w:r>
      <w:r>
        <w:rPr>
          <w:rFonts w:hint="eastAsia" w:ascii="仿宋" w:hAnsi="仿宋" w:eastAsia="仿宋" w:cs="仿宋"/>
          <w:color w:val="auto"/>
          <w:sz w:val="32"/>
          <w:szCs w:val="32"/>
          <w:lang w:val="en-US" w:eastAsia="zh-CN"/>
        </w:rPr>
        <w:t>社会保障和就业</w:t>
      </w:r>
      <w:r>
        <w:rPr>
          <w:rFonts w:hint="eastAsia" w:ascii="仿宋" w:hAnsi="仿宋" w:eastAsia="仿宋" w:cs="仿宋"/>
          <w:color w:val="auto"/>
          <w:sz w:val="32"/>
          <w:szCs w:val="32"/>
          <w:lang w:eastAsia="zh-CN"/>
        </w:rPr>
        <w:t>支出</w:t>
      </w:r>
      <w:r>
        <w:rPr>
          <w:rFonts w:hint="eastAsia" w:ascii="仿宋" w:hAnsi="仿宋" w:eastAsia="仿宋" w:cs="仿宋"/>
          <w:color w:val="auto"/>
          <w:sz w:val="32"/>
          <w:szCs w:val="32"/>
          <w:lang w:val="en-US" w:eastAsia="zh-CN"/>
        </w:rPr>
        <w:t>11.16</w:t>
      </w:r>
      <w:r>
        <w:rPr>
          <w:rFonts w:hint="eastAsia" w:ascii="仿宋" w:hAnsi="仿宋" w:eastAsia="仿宋" w:cs="仿宋"/>
          <w:color w:val="auto"/>
          <w:sz w:val="32"/>
          <w:szCs w:val="32"/>
        </w:rPr>
        <w:t>万元</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占预算总额的9.1%，</w:t>
      </w:r>
      <w:r>
        <w:rPr>
          <w:rFonts w:hint="eastAsia" w:ascii="仿宋" w:hAnsi="仿宋" w:eastAsia="仿宋" w:cs="仿宋"/>
          <w:color w:val="auto"/>
          <w:sz w:val="32"/>
          <w:szCs w:val="32"/>
        </w:rPr>
        <w:t>较上年预算安排</w:t>
      </w:r>
      <w:r>
        <w:rPr>
          <w:rFonts w:hint="eastAsia" w:ascii="仿宋" w:hAnsi="仿宋" w:eastAsia="仿宋" w:cs="仿宋"/>
          <w:color w:val="auto"/>
          <w:sz w:val="32"/>
          <w:szCs w:val="32"/>
          <w:lang w:val="en-US" w:eastAsia="zh-CN"/>
        </w:rPr>
        <w:t>增加5.02</w:t>
      </w:r>
      <w:r>
        <w:rPr>
          <w:rFonts w:hint="eastAsia" w:ascii="仿宋" w:hAnsi="仿宋" w:eastAsia="仿宋" w:cs="仿宋"/>
          <w:color w:val="auto"/>
          <w:sz w:val="32"/>
          <w:szCs w:val="32"/>
          <w:lang w:eastAsia="zh-CN"/>
        </w:rPr>
        <w:t>万元；</w:t>
      </w:r>
      <w:r>
        <w:rPr>
          <w:rFonts w:hint="eastAsia" w:ascii="仿宋" w:hAnsi="仿宋" w:eastAsia="仿宋" w:cs="仿宋"/>
          <w:color w:val="auto"/>
          <w:sz w:val="32"/>
          <w:szCs w:val="32"/>
          <w:lang w:val="en-US" w:eastAsia="zh-CN"/>
        </w:rPr>
        <w:t>卫生健康</w:t>
      </w:r>
      <w:r>
        <w:rPr>
          <w:rFonts w:hint="eastAsia" w:ascii="仿宋" w:hAnsi="仿宋" w:eastAsia="仿宋" w:cs="仿宋"/>
          <w:color w:val="auto"/>
          <w:sz w:val="32"/>
          <w:szCs w:val="32"/>
          <w:lang w:eastAsia="zh-CN"/>
        </w:rPr>
        <w:t>支出</w:t>
      </w:r>
      <w:r>
        <w:rPr>
          <w:rFonts w:hint="eastAsia" w:ascii="仿宋" w:hAnsi="仿宋" w:eastAsia="仿宋" w:cs="仿宋"/>
          <w:color w:val="auto"/>
          <w:sz w:val="32"/>
          <w:szCs w:val="32"/>
          <w:lang w:val="en-US" w:eastAsia="zh-CN"/>
        </w:rPr>
        <w:t>72.35</w:t>
      </w:r>
      <w:r>
        <w:rPr>
          <w:rFonts w:hint="eastAsia" w:ascii="仿宋" w:hAnsi="仿宋" w:eastAsia="仿宋" w:cs="仿宋"/>
          <w:color w:val="auto"/>
          <w:sz w:val="32"/>
          <w:szCs w:val="32"/>
        </w:rPr>
        <w:t>万元</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占预算总额的58.76%，</w:t>
      </w:r>
      <w:r>
        <w:rPr>
          <w:rFonts w:hint="eastAsia" w:ascii="仿宋" w:hAnsi="仿宋" w:eastAsia="仿宋" w:cs="仿宋"/>
          <w:color w:val="auto"/>
          <w:sz w:val="32"/>
          <w:szCs w:val="32"/>
        </w:rPr>
        <w:t>较上年预算安排</w:t>
      </w:r>
      <w:r>
        <w:rPr>
          <w:rFonts w:hint="eastAsia" w:ascii="仿宋" w:hAnsi="仿宋" w:eastAsia="仿宋" w:cs="仿宋"/>
          <w:color w:val="auto"/>
          <w:sz w:val="32"/>
          <w:szCs w:val="32"/>
          <w:lang w:val="en-US" w:eastAsia="zh-CN"/>
        </w:rPr>
        <w:t>减少30.33</w:t>
      </w:r>
      <w:r>
        <w:rPr>
          <w:rFonts w:hint="eastAsia" w:ascii="仿宋" w:hAnsi="仿宋" w:eastAsia="仿宋" w:cs="仿宋"/>
          <w:color w:val="auto"/>
          <w:sz w:val="32"/>
          <w:szCs w:val="32"/>
          <w:lang w:eastAsia="zh-CN"/>
        </w:rPr>
        <w:t>万元；</w:t>
      </w:r>
      <w:r>
        <w:rPr>
          <w:rFonts w:hint="eastAsia" w:ascii="仿宋" w:hAnsi="仿宋" w:eastAsia="仿宋" w:cs="仿宋"/>
          <w:color w:val="auto"/>
          <w:sz w:val="32"/>
          <w:szCs w:val="32"/>
          <w:lang w:val="en-US" w:eastAsia="zh-CN"/>
        </w:rPr>
        <w:t>援助其他地区</w:t>
      </w:r>
      <w:r>
        <w:rPr>
          <w:rFonts w:hint="eastAsia" w:ascii="仿宋" w:hAnsi="仿宋" w:eastAsia="仿宋" w:cs="仿宋"/>
          <w:color w:val="auto"/>
          <w:sz w:val="32"/>
          <w:szCs w:val="32"/>
          <w:lang w:eastAsia="zh-CN"/>
        </w:rPr>
        <w:t>支出</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占预算总额的0%，</w:t>
      </w:r>
      <w:r>
        <w:rPr>
          <w:rFonts w:hint="eastAsia" w:ascii="仿宋" w:hAnsi="仿宋" w:eastAsia="仿宋" w:cs="仿宋"/>
          <w:color w:val="auto"/>
          <w:sz w:val="32"/>
          <w:szCs w:val="32"/>
        </w:rPr>
        <w:t>较上年预算安排增</w:t>
      </w:r>
      <w:r>
        <w:rPr>
          <w:rFonts w:hint="eastAsia" w:ascii="仿宋" w:hAnsi="仿宋" w:eastAsia="仿宋" w:cs="仿宋"/>
          <w:color w:val="auto"/>
          <w:sz w:val="32"/>
          <w:szCs w:val="32"/>
          <w:lang w:val="en-US" w:eastAsia="zh-CN"/>
        </w:rPr>
        <w:t>加0</w:t>
      </w:r>
      <w:r>
        <w:rPr>
          <w:rFonts w:hint="eastAsia" w:ascii="仿宋" w:hAnsi="仿宋" w:eastAsia="仿宋" w:cs="仿宋"/>
          <w:color w:val="auto"/>
          <w:sz w:val="32"/>
          <w:szCs w:val="32"/>
          <w:lang w:eastAsia="zh-CN"/>
        </w:rPr>
        <w:t>万元；</w:t>
      </w:r>
      <w:r>
        <w:rPr>
          <w:rFonts w:hint="eastAsia" w:ascii="仿宋" w:hAnsi="仿宋" w:eastAsia="仿宋" w:cs="仿宋"/>
          <w:color w:val="auto"/>
          <w:sz w:val="32"/>
          <w:szCs w:val="32"/>
          <w:lang w:val="en-US" w:eastAsia="zh-CN"/>
        </w:rPr>
        <w:t>住房保障</w:t>
      </w:r>
      <w:r>
        <w:rPr>
          <w:rFonts w:hint="eastAsia" w:ascii="仿宋" w:hAnsi="仿宋" w:eastAsia="仿宋" w:cs="仿宋"/>
          <w:color w:val="auto"/>
          <w:sz w:val="32"/>
          <w:szCs w:val="32"/>
          <w:lang w:eastAsia="zh-CN"/>
        </w:rPr>
        <w:t>支出</w:t>
      </w:r>
      <w:r>
        <w:rPr>
          <w:rFonts w:hint="eastAsia" w:ascii="仿宋" w:hAnsi="仿宋" w:eastAsia="仿宋" w:cs="仿宋"/>
          <w:color w:val="auto"/>
          <w:sz w:val="32"/>
          <w:szCs w:val="32"/>
          <w:lang w:val="en-US" w:eastAsia="zh-CN"/>
        </w:rPr>
        <w:t>6.74</w:t>
      </w:r>
      <w:r>
        <w:rPr>
          <w:rFonts w:hint="eastAsia" w:ascii="仿宋" w:hAnsi="仿宋" w:eastAsia="仿宋" w:cs="仿宋"/>
          <w:color w:val="auto"/>
          <w:sz w:val="32"/>
          <w:szCs w:val="32"/>
        </w:rPr>
        <w:t>万元</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占预算总额的5.47%，</w:t>
      </w:r>
      <w:r>
        <w:rPr>
          <w:rFonts w:hint="eastAsia" w:ascii="仿宋" w:hAnsi="仿宋" w:eastAsia="仿宋" w:cs="仿宋"/>
          <w:color w:val="auto"/>
          <w:sz w:val="32"/>
          <w:szCs w:val="32"/>
        </w:rPr>
        <w:t>较上年预算安排</w:t>
      </w:r>
      <w:r>
        <w:rPr>
          <w:rFonts w:hint="eastAsia" w:ascii="仿宋" w:hAnsi="仿宋" w:eastAsia="仿宋" w:cs="仿宋"/>
          <w:color w:val="auto"/>
          <w:sz w:val="32"/>
          <w:szCs w:val="32"/>
          <w:lang w:val="en-US" w:eastAsia="zh-CN"/>
        </w:rPr>
        <w:t>减少1.89</w:t>
      </w:r>
      <w:r>
        <w:rPr>
          <w:rFonts w:hint="eastAsia" w:ascii="仿宋" w:hAnsi="仿宋" w:eastAsia="仿宋" w:cs="仿宋"/>
          <w:color w:val="auto"/>
          <w:sz w:val="32"/>
          <w:szCs w:val="32"/>
          <w:lang w:eastAsia="zh-CN"/>
        </w:rPr>
        <w:t>万元；</w:t>
      </w:r>
      <w:r>
        <w:rPr>
          <w:rFonts w:hint="eastAsia" w:ascii="仿宋" w:hAnsi="仿宋" w:eastAsia="仿宋" w:cs="仿宋"/>
          <w:color w:val="auto"/>
          <w:sz w:val="32"/>
          <w:szCs w:val="32"/>
          <w:lang w:val="en-US" w:eastAsia="zh-CN"/>
        </w:rPr>
        <w:t>其他</w:t>
      </w:r>
      <w:r>
        <w:rPr>
          <w:rFonts w:hint="eastAsia" w:ascii="仿宋" w:hAnsi="仿宋" w:eastAsia="仿宋" w:cs="仿宋"/>
          <w:color w:val="auto"/>
          <w:sz w:val="32"/>
          <w:szCs w:val="32"/>
          <w:lang w:eastAsia="zh-CN"/>
        </w:rPr>
        <w:t>支出</w:t>
      </w:r>
      <w:r>
        <w:rPr>
          <w:rFonts w:hint="eastAsia" w:ascii="仿宋" w:hAnsi="仿宋" w:eastAsia="仿宋" w:cs="仿宋"/>
          <w:color w:val="auto"/>
          <w:sz w:val="32"/>
          <w:szCs w:val="32"/>
          <w:lang w:val="en-US" w:eastAsia="zh-CN"/>
        </w:rPr>
        <w:t>32.87</w:t>
      </w:r>
      <w:r>
        <w:rPr>
          <w:rFonts w:hint="eastAsia" w:ascii="仿宋" w:hAnsi="仿宋" w:eastAsia="仿宋" w:cs="仿宋"/>
          <w:color w:val="auto"/>
          <w:sz w:val="32"/>
          <w:szCs w:val="32"/>
        </w:rPr>
        <w:t>万元</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占预算总额的26.7%，</w:t>
      </w:r>
      <w:r>
        <w:rPr>
          <w:rFonts w:hint="eastAsia" w:ascii="仿宋" w:hAnsi="仿宋" w:eastAsia="仿宋" w:cs="仿宋"/>
          <w:color w:val="auto"/>
          <w:sz w:val="32"/>
          <w:szCs w:val="32"/>
        </w:rPr>
        <w:t>较上年预算安排</w:t>
      </w:r>
      <w:r>
        <w:rPr>
          <w:rFonts w:hint="eastAsia" w:ascii="仿宋" w:hAnsi="仿宋" w:eastAsia="仿宋" w:cs="仿宋"/>
          <w:color w:val="auto"/>
          <w:sz w:val="32"/>
          <w:szCs w:val="32"/>
          <w:lang w:val="en-US" w:eastAsia="zh-CN"/>
        </w:rPr>
        <w:t>加32.87</w:t>
      </w:r>
      <w:r>
        <w:rPr>
          <w:rFonts w:hint="eastAsia" w:ascii="仿宋" w:hAnsi="仿宋" w:eastAsia="仿宋" w:cs="仿宋"/>
          <w:color w:val="auto"/>
          <w:sz w:val="32"/>
          <w:szCs w:val="32"/>
          <w:lang w:eastAsia="zh-CN"/>
        </w:rPr>
        <w:t>万元。</w:t>
      </w:r>
    </w:p>
    <w:p>
      <w:pPr>
        <w:keepNext w:val="0"/>
        <w:keepLines w:val="0"/>
        <w:pageBreakBefore w:val="0"/>
        <w:widowControl w:val="0"/>
        <w:kinsoku/>
        <w:wordWrap/>
        <w:overflowPunct/>
        <w:topLinePunct w:val="0"/>
        <w:autoSpaceDE/>
        <w:autoSpaceDN/>
        <w:bidi w:val="0"/>
        <w:adjustRightInd/>
        <w:snapToGrid/>
        <w:spacing w:line="500" w:lineRule="exact"/>
        <w:ind w:firstLine="643" w:firstLineChars="200"/>
        <w:textAlignment w:val="auto"/>
        <w:rPr>
          <w:rFonts w:hint="eastAsia" w:ascii="仿宋" w:hAnsi="仿宋" w:eastAsia="仿宋" w:cs="仿宋"/>
          <w:b/>
          <w:bCs/>
          <w:color w:val="auto"/>
          <w:sz w:val="32"/>
          <w:szCs w:val="32"/>
        </w:rPr>
      </w:pPr>
      <w:r>
        <w:rPr>
          <w:rFonts w:hint="eastAsia" w:ascii="仿宋" w:hAnsi="仿宋" w:eastAsia="仿宋" w:cs="仿宋"/>
          <w:b/>
          <w:bCs/>
          <w:color w:val="auto"/>
          <w:sz w:val="32"/>
          <w:szCs w:val="32"/>
        </w:rPr>
        <w:t>（三）财政拨款支出情况</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2020</w:t>
      </w:r>
      <w:r>
        <w:rPr>
          <w:rFonts w:hint="eastAsia" w:ascii="仿宋" w:hAnsi="仿宋" w:eastAsia="仿宋" w:cs="仿宋"/>
          <w:color w:val="auto"/>
          <w:sz w:val="32"/>
          <w:szCs w:val="32"/>
        </w:rPr>
        <w:t>年</w:t>
      </w:r>
      <w:r>
        <w:rPr>
          <w:rFonts w:hint="eastAsia" w:ascii="仿宋" w:hAnsi="仿宋" w:eastAsia="仿宋" w:cs="仿宋"/>
          <w:color w:val="auto"/>
          <w:sz w:val="32"/>
          <w:szCs w:val="32"/>
          <w:lang w:eastAsia="zh-CN"/>
        </w:rPr>
        <w:t>本部门</w:t>
      </w:r>
      <w:r>
        <w:rPr>
          <w:rFonts w:hint="eastAsia" w:ascii="仿宋" w:hAnsi="仿宋" w:eastAsia="仿宋" w:cs="仿宋"/>
          <w:color w:val="auto"/>
          <w:sz w:val="32"/>
          <w:szCs w:val="32"/>
        </w:rPr>
        <w:t>财政拨款（补助）支出预算</w:t>
      </w:r>
      <w:r>
        <w:rPr>
          <w:rFonts w:hint="eastAsia" w:ascii="仿宋" w:hAnsi="仿宋" w:eastAsia="仿宋" w:cs="仿宋"/>
          <w:color w:val="auto"/>
          <w:sz w:val="32"/>
          <w:szCs w:val="32"/>
          <w:lang w:val="en-US" w:eastAsia="zh-CN"/>
        </w:rPr>
        <w:t>75.25</w:t>
      </w:r>
      <w:r>
        <w:rPr>
          <w:rFonts w:hint="eastAsia" w:ascii="仿宋" w:hAnsi="仿宋" w:eastAsia="仿宋" w:cs="仿宋"/>
          <w:color w:val="auto"/>
          <w:sz w:val="32"/>
          <w:szCs w:val="32"/>
        </w:rPr>
        <w:t>万元，占</w:t>
      </w:r>
      <w:r>
        <w:rPr>
          <w:rFonts w:hint="eastAsia" w:ascii="仿宋" w:hAnsi="仿宋" w:eastAsia="仿宋" w:cs="仿宋"/>
          <w:color w:val="auto"/>
          <w:sz w:val="32"/>
          <w:szCs w:val="32"/>
          <w:lang w:eastAsia="zh-CN"/>
        </w:rPr>
        <w:t>本年</w:t>
      </w:r>
      <w:r>
        <w:rPr>
          <w:rFonts w:hint="eastAsia" w:ascii="仿宋" w:hAnsi="仿宋" w:eastAsia="仿宋" w:cs="仿宋"/>
          <w:color w:val="auto"/>
          <w:sz w:val="32"/>
          <w:szCs w:val="32"/>
        </w:rPr>
        <w:t>支出预算额的</w:t>
      </w:r>
      <w:r>
        <w:rPr>
          <w:rFonts w:hint="eastAsia" w:ascii="仿宋" w:hAnsi="仿宋" w:eastAsia="仿宋" w:cs="仿宋"/>
          <w:color w:val="auto"/>
          <w:sz w:val="32"/>
          <w:szCs w:val="32"/>
          <w:lang w:val="en-US" w:eastAsia="zh-CN"/>
        </w:rPr>
        <w:t>61.12</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较上年预算安排</w:t>
      </w:r>
      <w:r>
        <w:rPr>
          <w:rFonts w:hint="eastAsia" w:ascii="仿宋" w:hAnsi="仿宋" w:eastAsia="仿宋" w:cs="仿宋"/>
          <w:color w:val="auto"/>
          <w:sz w:val="32"/>
          <w:szCs w:val="32"/>
          <w:lang w:val="en-US" w:eastAsia="zh-CN"/>
        </w:rPr>
        <w:t>减少1.82</w:t>
      </w:r>
      <w:r>
        <w:rPr>
          <w:rFonts w:hint="eastAsia" w:ascii="仿宋" w:hAnsi="仿宋" w:eastAsia="仿宋" w:cs="仿宋"/>
          <w:color w:val="auto"/>
          <w:sz w:val="32"/>
          <w:szCs w:val="32"/>
          <w:lang w:eastAsia="zh-CN"/>
        </w:rPr>
        <w:t>万元，</w:t>
      </w:r>
      <w:r>
        <w:rPr>
          <w:rFonts w:hint="eastAsia" w:ascii="仿宋" w:hAnsi="仿宋" w:eastAsia="仿宋" w:cs="仿宋"/>
          <w:color w:val="auto"/>
          <w:sz w:val="32"/>
          <w:szCs w:val="32"/>
          <w:lang w:val="en-US" w:eastAsia="zh-CN"/>
        </w:rPr>
        <w:t>减少0%</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增减变化主要原因是：上年结转有余额。</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具体为：</w:t>
      </w:r>
      <w:r>
        <w:rPr>
          <w:rFonts w:hint="eastAsia" w:ascii="仿宋" w:hAnsi="仿宋" w:eastAsia="仿宋" w:cs="仿宋"/>
          <w:color w:val="auto"/>
          <w:sz w:val="32"/>
          <w:szCs w:val="32"/>
          <w:lang w:eastAsia="zh-CN"/>
        </w:rPr>
        <w:t>按支出经济分类科目划分：基本支出</w:t>
      </w:r>
      <w:r>
        <w:rPr>
          <w:rFonts w:hint="eastAsia" w:ascii="仿宋" w:hAnsi="仿宋" w:eastAsia="仿宋" w:cs="仿宋"/>
          <w:color w:val="auto"/>
          <w:sz w:val="32"/>
          <w:szCs w:val="32"/>
          <w:lang w:val="en-US" w:eastAsia="zh-CN"/>
        </w:rPr>
        <w:t>75.25</w:t>
      </w:r>
      <w:r>
        <w:rPr>
          <w:rFonts w:hint="eastAsia" w:ascii="仿宋" w:hAnsi="仿宋" w:eastAsia="仿宋" w:cs="仿宋"/>
          <w:color w:val="auto"/>
          <w:sz w:val="32"/>
          <w:szCs w:val="32"/>
        </w:rPr>
        <w:t>万元</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较上年预算安排</w:t>
      </w:r>
      <w:r>
        <w:rPr>
          <w:rFonts w:hint="eastAsia" w:ascii="仿宋" w:hAnsi="仿宋" w:eastAsia="仿宋" w:cs="仿宋"/>
          <w:color w:val="auto"/>
          <w:sz w:val="32"/>
          <w:szCs w:val="32"/>
          <w:lang w:val="en-US" w:eastAsia="zh-CN"/>
        </w:rPr>
        <w:t>增加7.18</w:t>
      </w:r>
      <w:r>
        <w:rPr>
          <w:rFonts w:hint="eastAsia" w:ascii="仿宋" w:hAnsi="仿宋" w:eastAsia="仿宋" w:cs="仿宋"/>
          <w:color w:val="auto"/>
          <w:sz w:val="32"/>
          <w:szCs w:val="32"/>
          <w:lang w:eastAsia="zh-CN"/>
        </w:rPr>
        <w:t>万元，其中：</w:t>
      </w:r>
      <w:r>
        <w:rPr>
          <w:rFonts w:hint="eastAsia" w:ascii="仿宋" w:hAnsi="仿宋" w:eastAsia="仿宋" w:cs="仿宋"/>
          <w:color w:val="auto"/>
          <w:sz w:val="32"/>
          <w:szCs w:val="32"/>
          <w:lang w:val="en-US" w:eastAsia="zh-CN"/>
        </w:rPr>
        <w:t>工资福利支出66.43万元，占财政拨款总额的88.28%，较</w:t>
      </w:r>
      <w:r>
        <w:rPr>
          <w:rFonts w:hint="eastAsia" w:ascii="仿宋" w:hAnsi="仿宋" w:eastAsia="仿宋" w:cs="仿宋"/>
          <w:color w:val="auto"/>
          <w:sz w:val="32"/>
          <w:szCs w:val="32"/>
        </w:rPr>
        <w:t>上年预算安排增</w:t>
      </w:r>
      <w:r>
        <w:rPr>
          <w:rFonts w:hint="eastAsia" w:ascii="仿宋" w:hAnsi="仿宋" w:eastAsia="仿宋" w:cs="仿宋"/>
          <w:color w:val="auto"/>
          <w:sz w:val="32"/>
          <w:szCs w:val="32"/>
          <w:lang w:val="en-US" w:eastAsia="zh-CN"/>
        </w:rPr>
        <w:t xml:space="preserve">加5.98 </w:t>
      </w:r>
      <w:r>
        <w:rPr>
          <w:rFonts w:hint="eastAsia" w:ascii="仿宋" w:hAnsi="仿宋" w:eastAsia="仿宋" w:cs="仿宋"/>
          <w:color w:val="auto"/>
          <w:sz w:val="32"/>
          <w:szCs w:val="32"/>
          <w:lang w:eastAsia="zh-CN"/>
        </w:rPr>
        <w:t>万元；</w:t>
      </w:r>
      <w:r>
        <w:rPr>
          <w:rFonts w:hint="eastAsia" w:ascii="仿宋" w:hAnsi="仿宋" w:eastAsia="仿宋" w:cs="仿宋"/>
          <w:color w:val="auto"/>
          <w:sz w:val="32"/>
          <w:szCs w:val="32"/>
          <w:lang w:val="en-US" w:eastAsia="zh-CN"/>
        </w:rPr>
        <w:t>商品和服务支出6.42万元，占财政拨款总额的8.53%，较</w:t>
      </w:r>
      <w:r>
        <w:rPr>
          <w:rFonts w:hint="eastAsia" w:ascii="仿宋" w:hAnsi="仿宋" w:eastAsia="仿宋" w:cs="仿宋"/>
          <w:color w:val="auto"/>
          <w:sz w:val="32"/>
          <w:szCs w:val="32"/>
        </w:rPr>
        <w:t>上年预算安排</w:t>
      </w:r>
      <w:r>
        <w:rPr>
          <w:rFonts w:hint="eastAsia" w:ascii="仿宋" w:hAnsi="仿宋" w:eastAsia="仿宋" w:cs="仿宋"/>
          <w:color w:val="auto"/>
          <w:sz w:val="32"/>
          <w:szCs w:val="32"/>
          <w:lang w:eastAsia="zh-CN"/>
        </w:rPr>
        <w:t>减少</w:t>
      </w:r>
      <w:r>
        <w:rPr>
          <w:rFonts w:hint="eastAsia" w:ascii="仿宋" w:hAnsi="仿宋" w:eastAsia="仿宋" w:cs="仿宋"/>
          <w:color w:val="auto"/>
          <w:sz w:val="32"/>
          <w:szCs w:val="32"/>
          <w:lang w:val="en-US" w:eastAsia="zh-CN"/>
        </w:rPr>
        <w:t>1.2</w:t>
      </w:r>
      <w:r>
        <w:rPr>
          <w:rFonts w:hint="eastAsia" w:ascii="仿宋" w:hAnsi="仿宋" w:eastAsia="仿宋" w:cs="仿宋"/>
          <w:color w:val="auto"/>
          <w:sz w:val="32"/>
          <w:szCs w:val="32"/>
          <w:lang w:eastAsia="zh-CN"/>
        </w:rPr>
        <w:t>万元；</w:t>
      </w:r>
      <w:r>
        <w:rPr>
          <w:rFonts w:hint="eastAsia" w:ascii="仿宋" w:hAnsi="仿宋" w:eastAsia="仿宋" w:cs="仿宋"/>
          <w:color w:val="auto"/>
          <w:sz w:val="32"/>
          <w:szCs w:val="32"/>
          <w:lang w:val="en-US" w:eastAsia="zh-CN"/>
        </w:rPr>
        <w:t>对个人和家庭的补助0万元，占财政拨款总额的0%、资本性支出2.4万元，占财政拨款总额的3.19%</w:t>
      </w:r>
      <w:r>
        <w:rPr>
          <w:rFonts w:hint="eastAsia" w:ascii="仿宋" w:hAnsi="仿宋" w:eastAsia="仿宋" w:cs="仿宋"/>
          <w:color w:val="auto"/>
          <w:sz w:val="32"/>
          <w:szCs w:val="32"/>
          <w:lang w:eastAsia="zh-CN"/>
        </w:rPr>
        <w:t>，较</w:t>
      </w:r>
      <w:r>
        <w:rPr>
          <w:rFonts w:hint="eastAsia" w:ascii="仿宋" w:hAnsi="仿宋" w:eastAsia="仿宋" w:cs="仿宋"/>
          <w:color w:val="auto"/>
          <w:sz w:val="32"/>
          <w:szCs w:val="32"/>
        </w:rPr>
        <w:t>上年预算安排增</w:t>
      </w:r>
      <w:r>
        <w:rPr>
          <w:rFonts w:hint="eastAsia" w:ascii="仿宋" w:hAnsi="仿宋" w:eastAsia="仿宋" w:cs="仿宋"/>
          <w:color w:val="auto"/>
          <w:sz w:val="32"/>
          <w:szCs w:val="32"/>
          <w:lang w:val="en-US" w:eastAsia="zh-CN"/>
        </w:rPr>
        <w:t>加 2.4</w:t>
      </w:r>
      <w:r>
        <w:rPr>
          <w:rFonts w:hint="eastAsia" w:ascii="仿宋" w:hAnsi="仿宋" w:eastAsia="仿宋" w:cs="仿宋"/>
          <w:color w:val="auto"/>
          <w:sz w:val="32"/>
          <w:szCs w:val="32"/>
          <w:lang w:eastAsia="zh-CN"/>
        </w:rPr>
        <w:t>万元；项目支出</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较上年预算安排</w:t>
      </w:r>
      <w:r>
        <w:rPr>
          <w:rFonts w:hint="eastAsia" w:ascii="仿宋" w:hAnsi="仿宋" w:eastAsia="仿宋" w:cs="仿宋"/>
          <w:color w:val="auto"/>
          <w:sz w:val="32"/>
          <w:szCs w:val="32"/>
          <w:lang w:val="en-US" w:eastAsia="zh-CN"/>
        </w:rPr>
        <w:t>增加0</w:t>
      </w:r>
      <w:r>
        <w:rPr>
          <w:rFonts w:hint="eastAsia" w:ascii="仿宋" w:hAnsi="仿宋" w:eastAsia="仿宋" w:cs="仿宋"/>
          <w:color w:val="auto"/>
          <w:sz w:val="32"/>
          <w:szCs w:val="32"/>
          <w:lang w:eastAsia="zh-CN"/>
        </w:rPr>
        <w:t>万元，其中：</w:t>
      </w:r>
      <w:r>
        <w:rPr>
          <w:rFonts w:hint="eastAsia" w:ascii="仿宋" w:hAnsi="仿宋" w:eastAsia="仿宋" w:cs="仿宋"/>
          <w:color w:val="auto"/>
          <w:sz w:val="32"/>
          <w:szCs w:val="32"/>
          <w:lang w:val="en-US" w:eastAsia="zh-CN"/>
        </w:rPr>
        <w:t>工资福利支出0万元，占财政拨款总额的0%、商品和服务支出0万元，占财政拨款总额的0%、对个人和家庭的补助0万元，占财政拨款总额的0%、其他相关支出0万元，占财政拨款总额的0%</w:t>
      </w:r>
      <w:r>
        <w:rPr>
          <w:rFonts w:hint="eastAsia" w:ascii="仿宋" w:hAnsi="仿宋" w:eastAsia="仿宋" w:cs="仿宋"/>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按支出功能分类科目划分：</w:t>
      </w:r>
      <w:r>
        <w:rPr>
          <w:rFonts w:hint="eastAsia" w:ascii="仿宋" w:hAnsi="仿宋" w:eastAsia="仿宋" w:cs="仿宋"/>
          <w:color w:val="auto"/>
          <w:sz w:val="32"/>
          <w:szCs w:val="32"/>
          <w:lang w:val="en-US" w:eastAsia="zh-CN"/>
        </w:rPr>
        <w:t>教育</w:t>
      </w:r>
      <w:r>
        <w:rPr>
          <w:rFonts w:hint="eastAsia" w:ascii="仿宋" w:hAnsi="仿宋" w:eastAsia="仿宋" w:cs="仿宋"/>
          <w:color w:val="auto"/>
          <w:sz w:val="32"/>
          <w:szCs w:val="32"/>
          <w:lang w:eastAsia="zh-CN"/>
        </w:rPr>
        <w:t>支出</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占财政拨款总额的0%，</w:t>
      </w:r>
      <w:r>
        <w:rPr>
          <w:rFonts w:hint="eastAsia" w:ascii="仿宋" w:hAnsi="仿宋" w:eastAsia="仿宋" w:cs="仿宋"/>
          <w:color w:val="auto"/>
          <w:sz w:val="32"/>
          <w:szCs w:val="32"/>
        </w:rPr>
        <w:t>较上年预算安排增</w:t>
      </w:r>
      <w:r>
        <w:rPr>
          <w:rFonts w:hint="eastAsia" w:ascii="仿宋" w:hAnsi="仿宋" w:eastAsia="仿宋" w:cs="仿宋"/>
          <w:color w:val="auto"/>
          <w:sz w:val="32"/>
          <w:szCs w:val="32"/>
          <w:lang w:val="en-US" w:eastAsia="zh-CN"/>
        </w:rPr>
        <w:t>加0</w:t>
      </w:r>
      <w:r>
        <w:rPr>
          <w:rFonts w:hint="eastAsia" w:ascii="仿宋" w:hAnsi="仿宋" w:eastAsia="仿宋" w:cs="仿宋"/>
          <w:color w:val="auto"/>
          <w:sz w:val="32"/>
          <w:szCs w:val="32"/>
          <w:lang w:eastAsia="zh-CN"/>
        </w:rPr>
        <w:t>万元；</w:t>
      </w:r>
      <w:r>
        <w:rPr>
          <w:rFonts w:hint="eastAsia" w:ascii="仿宋" w:hAnsi="仿宋" w:eastAsia="仿宋" w:cs="仿宋"/>
          <w:color w:val="auto"/>
          <w:sz w:val="32"/>
          <w:szCs w:val="32"/>
          <w:lang w:val="en-US" w:eastAsia="zh-CN"/>
        </w:rPr>
        <w:t>社会保障和就业</w:t>
      </w:r>
      <w:r>
        <w:rPr>
          <w:rFonts w:hint="eastAsia" w:ascii="仿宋" w:hAnsi="仿宋" w:eastAsia="仿宋" w:cs="仿宋"/>
          <w:color w:val="auto"/>
          <w:sz w:val="32"/>
          <w:szCs w:val="32"/>
          <w:lang w:eastAsia="zh-CN"/>
        </w:rPr>
        <w:t>支出</w:t>
      </w:r>
      <w:r>
        <w:rPr>
          <w:rFonts w:hint="eastAsia" w:ascii="仿宋" w:hAnsi="仿宋" w:eastAsia="仿宋" w:cs="仿宋"/>
          <w:color w:val="auto"/>
          <w:sz w:val="32"/>
          <w:szCs w:val="32"/>
          <w:lang w:val="en-US" w:eastAsia="zh-CN"/>
        </w:rPr>
        <w:t>9.83</w:t>
      </w:r>
      <w:r>
        <w:rPr>
          <w:rFonts w:hint="eastAsia" w:ascii="仿宋" w:hAnsi="仿宋" w:eastAsia="仿宋" w:cs="仿宋"/>
          <w:color w:val="auto"/>
          <w:sz w:val="32"/>
          <w:szCs w:val="32"/>
        </w:rPr>
        <w:t>万元</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占财政拨款总额的13.06%，</w:t>
      </w:r>
      <w:r>
        <w:rPr>
          <w:rFonts w:hint="eastAsia" w:ascii="仿宋" w:hAnsi="仿宋" w:eastAsia="仿宋" w:cs="仿宋"/>
          <w:color w:val="auto"/>
          <w:sz w:val="32"/>
          <w:szCs w:val="32"/>
        </w:rPr>
        <w:t>较上年预算安排增</w:t>
      </w:r>
      <w:r>
        <w:rPr>
          <w:rFonts w:hint="eastAsia" w:ascii="仿宋" w:hAnsi="仿宋" w:eastAsia="仿宋" w:cs="仿宋"/>
          <w:color w:val="auto"/>
          <w:sz w:val="32"/>
          <w:szCs w:val="32"/>
          <w:lang w:val="en-US" w:eastAsia="zh-CN"/>
        </w:rPr>
        <w:t>加2.99</w:t>
      </w:r>
      <w:r>
        <w:rPr>
          <w:rFonts w:hint="eastAsia" w:ascii="仿宋" w:hAnsi="仿宋" w:eastAsia="仿宋" w:cs="仿宋"/>
          <w:color w:val="auto"/>
          <w:sz w:val="32"/>
          <w:szCs w:val="32"/>
          <w:lang w:eastAsia="zh-CN"/>
        </w:rPr>
        <w:t>万元；</w:t>
      </w:r>
      <w:r>
        <w:rPr>
          <w:rFonts w:hint="eastAsia" w:ascii="仿宋" w:hAnsi="仿宋" w:eastAsia="仿宋" w:cs="仿宋"/>
          <w:color w:val="auto"/>
          <w:sz w:val="32"/>
          <w:szCs w:val="32"/>
          <w:lang w:val="en-US" w:eastAsia="zh-CN"/>
        </w:rPr>
        <w:t>卫生健康</w:t>
      </w:r>
      <w:r>
        <w:rPr>
          <w:rFonts w:hint="eastAsia" w:ascii="仿宋" w:hAnsi="仿宋" w:eastAsia="仿宋" w:cs="仿宋"/>
          <w:color w:val="auto"/>
          <w:sz w:val="32"/>
          <w:szCs w:val="32"/>
          <w:lang w:eastAsia="zh-CN"/>
        </w:rPr>
        <w:t>支出</w:t>
      </w:r>
      <w:r>
        <w:rPr>
          <w:rFonts w:hint="eastAsia" w:ascii="仿宋" w:hAnsi="仿宋" w:eastAsia="仿宋" w:cs="仿宋"/>
          <w:color w:val="auto"/>
          <w:sz w:val="32"/>
          <w:szCs w:val="32"/>
          <w:lang w:val="en-US" w:eastAsia="zh-CN"/>
        </w:rPr>
        <w:t>58.68</w:t>
      </w:r>
      <w:r>
        <w:rPr>
          <w:rFonts w:hint="eastAsia" w:ascii="仿宋" w:hAnsi="仿宋" w:eastAsia="仿宋" w:cs="仿宋"/>
          <w:color w:val="auto"/>
          <w:sz w:val="32"/>
          <w:szCs w:val="32"/>
        </w:rPr>
        <w:t>万元</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占财政拨款总额的77.98%，</w:t>
      </w:r>
      <w:r>
        <w:rPr>
          <w:rFonts w:hint="eastAsia" w:ascii="仿宋" w:hAnsi="仿宋" w:eastAsia="仿宋" w:cs="仿宋"/>
          <w:color w:val="auto"/>
          <w:sz w:val="32"/>
          <w:szCs w:val="32"/>
        </w:rPr>
        <w:t>较上年预算安排</w:t>
      </w:r>
      <w:r>
        <w:rPr>
          <w:rFonts w:hint="eastAsia" w:ascii="仿宋" w:hAnsi="仿宋" w:eastAsia="仿宋" w:cs="仿宋"/>
          <w:color w:val="auto"/>
          <w:sz w:val="32"/>
          <w:szCs w:val="32"/>
          <w:lang w:val="en-US" w:eastAsia="zh-CN"/>
        </w:rPr>
        <w:t>增加2.3</w:t>
      </w:r>
      <w:r>
        <w:rPr>
          <w:rFonts w:hint="eastAsia" w:ascii="仿宋" w:hAnsi="仿宋" w:eastAsia="仿宋" w:cs="仿宋"/>
          <w:color w:val="auto"/>
          <w:sz w:val="32"/>
          <w:szCs w:val="32"/>
          <w:lang w:eastAsia="zh-CN"/>
        </w:rPr>
        <w:t>万元；</w:t>
      </w:r>
      <w:r>
        <w:rPr>
          <w:rFonts w:hint="eastAsia" w:ascii="仿宋" w:hAnsi="仿宋" w:eastAsia="仿宋" w:cs="仿宋"/>
          <w:color w:val="auto"/>
          <w:sz w:val="32"/>
          <w:szCs w:val="32"/>
          <w:lang w:val="en-US" w:eastAsia="zh-CN"/>
        </w:rPr>
        <w:t>援助其他地区</w:t>
      </w:r>
      <w:r>
        <w:rPr>
          <w:rFonts w:hint="eastAsia" w:ascii="仿宋" w:hAnsi="仿宋" w:eastAsia="仿宋" w:cs="仿宋"/>
          <w:color w:val="auto"/>
          <w:sz w:val="32"/>
          <w:szCs w:val="32"/>
          <w:lang w:eastAsia="zh-CN"/>
        </w:rPr>
        <w:t>支出</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占财政拨款总额的0%，</w:t>
      </w:r>
      <w:r>
        <w:rPr>
          <w:rFonts w:hint="eastAsia" w:ascii="仿宋" w:hAnsi="仿宋" w:eastAsia="仿宋" w:cs="仿宋"/>
          <w:color w:val="auto"/>
          <w:sz w:val="32"/>
          <w:szCs w:val="32"/>
        </w:rPr>
        <w:t>较上年预算安排增</w:t>
      </w:r>
      <w:r>
        <w:rPr>
          <w:rFonts w:hint="eastAsia" w:ascii="仿宋" w:hAnsi="仿宋" w:eastAsia="仿宋" w:cs="仿宋"/>
          <w:color w:val="auto"/>
          <w:sz w:val="32"/>
          <w:szCs w:val="32"/>
          <w:lang w:val="en-US" w:eastAsia="zh-CN"/>
        </w:rPr>
        <w:t>加0</w:t>
      </w:r>
      <w:r>
        <w:rPr>
          <w:rFonts w:hint="eastAsia" w:ascii="仿宋" w:hAnsi="仿宋" w:eastAsia="仿宋" w:cs="仿宋"/>
          <w:color w:val="auto"/>
          <w:sz w:val="32"/>
          <w:szCs w:val="32"/>
          <w:lang w:eastAsia="zh-CN"/>
        </w:rPr>
        <w:t>万元；</w:t>
      </w:r>
      <w:r>
        <w:rPr>
          <w:rFonts w:hint="eastAsia" w:ascii="仿宋" w:hAnsi="仿宋" w:eastAsia="仿宋" w:cs="仿宋"/>
          <w:color w:val="auto"/>
          <w:sz w:val="32"/>
          <w:szCs w:val="32"/>
          <w:lang w:val="en-US" w:eastAsia="zh-CN"/>
        </w:rPr>
        <w:t>住房保障</w:t>
      </w:r>
      <w:r>
        <w:rPr>
          <w:rFonts w:hint="eastAsia" w:ascii="仿宋" w:hAnsi="仿宋" w:eastAsia="仿宋" w:cs="仿宋"/>
          <w:color w:val="auto"/>
          <w:sz w:val="32"/>
          <w:szCs w:val="32"/>
          <w:lang w:eastAsia="zh-CN"/>
        </w:rPr>
        <w:t>支出</w:t>
      </w:r>
      <w:r>
        <w:rPr>
          <w:rFonts w:hint="eastAsia" w:ascii="仿宋" w:hAnsi="仿宋" w:eastAsia="仿宋" w:cs="仿宋"/>
          <w:color w:val="auto"/>
          <w:sz w:val="32"/>
          <w:szCs w:val="32"/>
          <w:lang w:val="en-US" w:eastAsia="zh-CN"/>
        </w:rPr>
        <w:t>6.74</w:t>
      </w:r>
      <w:r>
        <w:rPr>
          <w:rFonts w:hint="eastAsia" w:ascii="仿宋" w:hAnsi="仿宋" w:eastAsia="仿宋" w:cs="仿宋"/>
          <w:color w:val="auto"/>
          <w:sz w:val="32"/>
          <w:szCs w:val="32"/>
        </w:rPr>
        <w:t>万元</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占财政拨款总额的8.96%，</w:t>
      </w:r>
      <w:r>
        <w:rPr>
          <w:rFonts w:hint="eastAsia" w:ascii="仿宋" w:hAnsi="仿宋" w:eastAsia="仿宋" w:cs="仿宋"/>
          <w:color w:val="auto"/>
          <w:sz w:val="32"/>
          <w:szCs w:val="32"/>
        </w:rPr>
        <w:t>较上年预算安排增</w:t>
      </w:r>
      <w:r>
        <w:rPr>
          <w:rFonts w:hint="eastAsia" w:ascii="仿宋" w:hAnsi="仿宋" w:eastAsia="仿宋" w:cs="仿宋"/>
          <w:color w:val="auto"/>
          <w:sz w:val="32"/>
          <w:szCs w:val="32"/>
          <w:lang w:val="en-US" w:eastAsia="zh-CN"/>
        </w:rPr>
        <w:t>加1.89</w:t>
      </w:r>
      <w:r>
        <w:rPr>
          <w:rFonts w:hint="eastAsia" w:ascii="仿宋" w:hAnsi="仿宋" w:eastAsia="仿宋" w:cs="仿宋"/>
          <w:color w:val="auto"/>
          <w:sz w:val="32"/>
          <w:szCs w:val="32"/>
          <w:lang w:eastAsia="zh-CN"/>
        </w:rPr>
        <w:t>万元；</w:t>
      </w:r>
      <w:r>
        <w:rPr>
          <w:rFonts w:hint="eastAsia" w:ascii="仿宋" w:hAnsi="仿宋" w:eastAsia="仿宋" w:cs="仿宋"/>
          <w:color w:val="auto"/>
          <w:sz w:val="32"/>
          <w:szCs w:val="32"/>
          <w:lang w:val="en-US" w:eastAsia="zh-CN"/>
        </w:rPr>
        <w:t>其他</w:t>
      </w:r>
      <w:r>
        <w:rPr>
          <w:rFonts w:hint="eastAsia" w:ascii="仿宋" w:hAnsi="仿宋" w:eastAsia="仿宋" w:cs="仿宋"/>
          <w:color w:val="auto"/>
          <w:sz w:val="32"/>
          <w:szCs w:val="32"/>
          <w:lang w:eastAsia="zh-CN"/>
        </w:rPr>
        <w:t>支出</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占财政拨款总额的0%，</w:t>
      </w:r>
      <w:r>
        <w:rPr>
          <w:rFonts w:hint="eastAsia" w:ascii="仿宋" w:hAnsi="仿宋" w:eastAsia="仿宋" w:cs="仿宋"/>
          <w:color w:val="auto"/>
          <w:sz w:val="32"/>
          <w:szCs w:val="32"/>
        </w:rPr>
        <w:t>较上年预算安排</w:t>
      </w:r>
      <w:r>
        <w:rPr>
          <w:rFonts w:hint="eastAsia" w:ascii="仿宋" w:hAnsi="仿宋" w:eastAsia="仿宋" w:cs="仿宋"/>
          <w:color w:val="auto"/>
          <w:sz w:val="32"/>
          <w:szCs w:val="32"/>
          <w:lang w:val="en-US" w:eastAsia="zh-CN"/>
        </w:rPr>
        <w:t>减少0</w:t>
      </w:r>
      <w:r>
        <w:rPr>
          <w:rFonts w:hint="eastAsia" w:ascii="仿宋" w:hAnsi="仿宋" w:eastAsia="仿宋" w:cs="仿宋"/>
          <w:color w:val="auto"/>
          <w:sz w:val="32"/>
          <w:szCs w:val="32"/>
          <w:lang w:eastAsia="zh-CN"/>
        </w:rPr>
        <w:t>万元。</w:t>
      </w:r>
    </w:p>
    <w:p>
      <w:pPr>
        <w:keepNext w:val="0"/>
        <w:keepLines w:val="0"/>
        <w:pageBreakBefore w:val="0"/>
        <w:widowControl w:val="0"/>
        <w:kinsoku/>
        <w:wordWrap/>
        <w:overflowPunct/>
        <w:topLinePunct w:val="0"/>
        <w:autoSpaceDE/>
        <w:autoSpaceDN/>
        <w:bidi w:val="0"/>
        <w:adjustRightInd/>
        <w:snapToGrid/>
        <w:spacing w:line="500" w:lineRule="exact"/>
        <w:ind w:firstLine="643" w:firstLineChars="200"/>
        <w:textAlignment w:val="auto"/>
        <w:rPr>
          <w:rFonts w:hint="eastAsia" w:ascii="仿宋" w:hAnsi="仿宋" w:eastAsia="仿宋" w:cs="仿宋"/>
          <w:b/>
          <w:bCs/>
          <w:color w:val="auto"/>
          <w:sz w:val="32"/>
          <w:szCs w:val="32"/>
        </w:rPr>
      </w:pPr>
      <w:r>
        <w:rPr>
          <w:rFonts w:hint="eastAsia" w:ascii="仿宋" w:hAnsi="仿宋" w:eastAsia="仿宋" w:cs="仿宋"/>
          <w:b/>
          <w:bCs/>
          <w:color w:val="auto"/>
          <w:sz w:val="32"/>
          <w:szCs w:val="32"/>
        </w:rPr>
        <w:t>（四）政府性基金情况</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rPr>
        <w:t>无政府性基金预算拨款安排的支出</w:t>
      </w:r>
      <w:r>
        <w:rPr>
          <w:rFonts w:hint="eastAsia" w:ascii="仿宋" w:hAnsi="仿宋" w:eastAsia="仿宋" w:cs="仿宋"/>
          <w:color w:val="auto"/>
          <w:sz w:val="32"/>
          <w:szCs w:val="32"/>
          <w:lang w:eastAsia="zh-CN"/>
        </w:rPr>
        <w:t>。</w:t>
      </w:r>
    </w:p>
    <w:p>
      <w:pPr>
        <w:spacing w:line="560" w:lineRule="exact"/>
        <w:ind w:firstLine="643" w:firstLineChars="200"/>
        <w:rPr>
          <w:rFonts w:hint="default" w:ascii="仿宋" w:hAnsi="仿宋" w:eastAsia="仿宋" w:cs="仿宋"/>
          <w:color w:val="auto"/>
          <w:sz w:val="32"/>
          <w:szCs w:val="32"/>
          <w:lang w:val="en-US" w:eastAsia="zh-CN"/>
        </w:rPr>
      </w:pPr>
      <w:r>
        <w:rPr>
          <w:rFonts w:hint="eastAsia" w:ascii="仿宋" w:hAnsi="仿宋" w:eastAsia="仿宋" w:cs="仿宋"/>
          <w:b/>
          <w:bCs/>
          <w:color w:val="auto"/>
          <w:sz w:val="32"/>
          <w:szCs w:val="32"/>
        </w:rPr>
        <w:t>（五）</w:t>
      </w:r>
      <w:r>
        <w:rPr>
          <w:rFonts w:hint="eastAsia" w:ascii="仿宋" w:hAnsi="仿宋" w:eastAsia="仿宋" w:cs="仿宋"/>
          <w:b/>
          <w:bCs/>
          <w:color w:val="auto"/>
          <w:sz w:val="32"/>
          <w:szCs w:val="32"/>
          <w:lang w:eastAsia="zh-CN"/>
        </w:rPr>
        <w:t>国有</w:t>
      </w:r>
      <w:r>
        <w:rPr>
          <w:rFonts w:hint="eastAsia" w:ascii="仿宋" w:hAnsi="仿宋" w:eastAsia="仿宋" w:cs="仿宋"/>
          <w:b/>
          <w:bCs/>
          <w:color w:val="auto"/>
          <w:sz w:val="32"/>
          <w:szCs w:val="32"/>
          <w:lang w:val="en-US" w:eastAsia="zh-CN"/>
        </w:rPr>
        <w:t>资本经营情况</w:t>
      </w:r>
    </w:p>
    <w:p>
      <w:pPr>
        <w:pStyle w:val="2"/>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color w:val="auto"/>
          <w:kern w:val="2"/>
          <w:sz w:val="32"/>
          <w:szCs w:val="32"/>
          <w:lang w:val="en-US" w:eastAsia="zh-CN" w:bidi="ar-SA"/>
        </w:rPr>
      </w:pPr>
      <w:r>
        <w:rPr>
          <w:rFonts w:hint="eastAsia" w:ascii="仿宋" w:hAnsi="仿宋" w:eastAsia="仿宋" w:cs="仿宋"/>
          <w:color w:val="auto"/>
          <w:kern w:val="2"/>
          <w:sz w:val="32"/>
          <w:szCs w:val="32"/>
          <w:lang w:val="en-US" w:eastAsia="zh-CN" w:bidi="ar-SA"/>
        </w:rPr>
        <w:t>2022年本部门国有资本经营支出预算为0万元，本部门无</w:t>
      </w:r>
      <w:r>
        <w:rPr>
          <w:rFonts w:hint="eastAsia" w:ascii="仿宋" w:hAnsi="仿宋" w:eastAsia="仿宋" w:cs="仿宋"/>
          <w:color w:val="auto"/>
          <w:kern w:val="2"/>
          <w:sz w:val="32"/>
          <w:szCs w:val="32"/>
          <w:lang w:val="en-US" w:eastAsia="zh-CN" w:bidi="ar-SA"/>
        </w:rPr>
        <w:fldChar w:fldCharType="begin"/>
      </w:r>
      <w:r>
        <w:rPr>
          <w:rFonts w:hint="eastAsia" w:ascii="仿宋" w:hAnsi="仿宋" w:eastAsia="仿宋" w:cs="仿宋"/>
          <w:color w:val="auto"/>
          <w:kern w:val="2"/>
          <w:sz w:val="32"/>
          <w:szCs w:val="32"/>
          <w:lang w:val="en-US" w:eastAsia="zh-CN" w:bidi="ar-SA"/>
        </w:rPr>
        <w:instrText xml:space="preserve">MERGEFIELD ${page400644146.ds215660413_REP_BGT_T_HC1100002019_DXQ02_S_AMTGYZBJYYSZJ}</w:instrText>
      </w:r>
      <w:r>
        <w:rPr>
          <w:rFonts w:hint="eastAsia" w:ascii="仿宋" w:hAnsi="仿宋" w:eastAsia="仿宋" w:cs="仿宋"/>
          <w:color w:val="auto"/>
          <w:kern w:val="2"/>
          <w:sz w:val="32"/>
          <w:szCs w:val="32"/>
          <w:lang w:val="en-US" w:eastAsia="zh-CN" w:bidi="ar-SA"/>
        </w:rPr>
        <w:fldChar w:fldCharType="separate"/>
      </w:r>
      <w:r>
        <w:rPr>
          <w:rFonts w:hint="eastAsia" w:ascii="仿宋" w:hAnsi="仿宋" w:eastAsia="仿宋" w:cs="仿宋"/>
          <w:color w:val="auto"/>
          <w:kern w:val="2"/>
          <w:sz w:val="32"/>
          <w:szCs w:val="32"/>
          <w:lang w:val="en-US" w:eastAsia="zh-CN" w:bidi="ar-SA"/>
        </w:rPr>
        <w:fldChar w:fldCharType="end"/>
      </w:r>
      <w:r>
        <w:rPr>
          <w:rFonts w:hint="eastAsia" w:ascii="仿宋" w:hAnsi="仿宋" w:eastAsia="仿宋" w:cs="仿宋"/>
          <w:color w:val="auto"/>
          <w:kern w:val="2"/>
          <w:sz w:val="32"/>
          <w:szCs w:val="32"/>
          <w:lang w:val="en-US" w:eastAsia="zh-CN" w:bidi="ar-SA"/>
        </w:rPr>
        <w:t>国有资本经营预算收入。</w:t>
      </w:r>
    </w:p>
    <w:p>
      <w:pPr>
        <w:keepNext w:val="0"/>
        <w:keepLines w:val="0"/>
        <w:pageBreakBefore w:val="0"/>
        <w:widowControl w:val="0"/>
        <w:kinsoku/>
        <w:wordWrap/>
        <w:overflowPunct/>
        <w:topLinePunct w:val="0"/>
        <w:autoSpaceDE/>
        <w:autoSpaceDN/>
        <w:bidi w:val="0"/>
        <w:adjustRightInd/>
        <w:snapToGrid/>
        <w:spacing w:line="500" w:lineRule="exact"/>
        <w:ind w:firstLine="643" w:firstLineChars="200"/>
        <w:textAlignment w:val="auto"/>
        <w:rPr>
          <w:rFonts w:hint="eastAsia" w:ascii="仿宋" w:hAnsi="仿宋" w:eastAsia="仿宋" w:cs="仿宋"/>
          <w:b/>
          <w:bCs/>
          <w:color w:val="auto"/>
          <w:sz w:val="32"/>
          <w:szCs w:val="32"/>
        </w:rPr>
      </w:pPr>
      <w:r>
        <w:rPr>
          <w:rFonts w:hint="eastAsia" w:ascii="仿宋" w:hAnsi="仿宋" w:eastAsia="仿宋" w:cs="仿宋"/>
          <w:b/>
          <w:bCs/>
          <w:color w:val="auto"/>
          <w:sz w:val="32"/>
          <w:szCs w:val="32"/>
        </w:rPr>
        <w:t>（</w:t>
      </w:r>
      <w:r>
        <w:rPr>
          <w:rFonts w:hint="eastAsia" w:ascii="仿宋" w:hAnsi="仿宋" w:eastAsia="仿宋" w:cs="仿宋"/>
          <w:b/>
          <w:bCs/>
          <w:color w:val="auto"/>
          <w:sz w:val="32"/>
          <w:szCs w:val="32"/>
          <w:lang w:val="en-US" w:eastAsia="zh-CN"/>
        </w:rPr>
        <w:t>六</w:t>
      </w:r>
      <w:r>
        <w:rPr>
          <w:rFonts w:hint="eastAsia" w:ascii="仿宋" w:hAnsi="仿宋" w:eastAsia="仿宋" w:cs="仿宋"/>
          <w:b/>
          <w:bCs/>
          <w:color w:val="auto"/>
          <w:sz w:val="32"/>
          <w:szCs w:val="32"/>
        </w:rPr>
        <w:t>）机关运行经费等重要事项的说明</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年部门机关运行费预算</w:t>
      </w:r>
      <w:r>
        <w:rPr>
          <w:rFonts w:hint="eastAsia" w:ascii="仿宋" w:hAnsi="仿宋" w:eastAsia="仿宋" w:cs="仿宋"/>
          <w:color w:val="auto"/>
          <w:sz w:val="32"/>
          <w:szCs w:val="32"/>
          <w:lang w:val="en-US" w:eastAsia="zh-CN"/>
        </w:rPr>
        <w:t>6.42</w:t>
      </w:r>
      <w:r>
        <w:rPr>
          <w:rFonts w:hint="eastAsia" w:ascii="仿宋" w:hAnsi="仿宋" w:eastAsia="仿宋" w:cs="仿宋"/>
          <w:color w:val="auto"/>
          <w:sz w:val="32"/>
          <w:szCs w:val="32"/>
        </w:rPr>
        <w:t>万元，比</w:t>
      </w:r>
      <w:r>
        <w:rPr>
          <w:rFonts w:hint="eastAsia" w:ascii="仿宋" w:hAnsi="仿宋" w:eastAsia="仿宋" w:cs="仿宋"/>
          <w:color w:val="auto"/>
          <w:sz w:val="32"/>
          <w:szCs w:val="32"/>
          <w:lang w:val="en-US" w:eastAsia="zh-CN"/>
        </w:rPr>
        <w:t>2021</w:t>
      </w:r>
      <w:r>
        <w:rPr>
          <w:rFonts w:hint="eastAsia" w:ascii="仿宋" w:hAnsi="仿宋" w:eastAsia="仿宋" w:cs="仿宋"/>
          <w:color w:val="auto"/>
          <w:sz w:val="32"/>
          <w:szCs w:val="32"/>
        </w:rPr>
        <w:t>预算</w:t>
      </w:r>
      <w:r>
        <w:rPr>
          <w:rFonts w:hint="eastAsia" w:ascii="仿宋" w:hAnsi="仿宋" w:eastAsia="仿宋" w:cs="仿宋"/>
          <w:color w:val="auto"/>
          <w:sz w:val="32"/>
          <w:szCs w:val="32"/>
          <w:lang w:val="en-US" w:eastAsia="zh-CN"/>
        </w:rPr>
        <w:t>减少1.2</w:t>
      </w:r>
      <w:r>
        <w:rPr>
          <w:rFonts w:hint="eastAsia" w:ascii="仿宋" w:hAnsi="仿宋" w:eastAsia="仿宋" w:cs="仿宋"/>
          <w:color w:val="auto"/>
          <w:sz w:val="32"/>
          <w:szCs w:val="32"/>
        </w:rPr>
        <w:t>万元，</w:t>
      </w:r>
      <w:r>
        <w:rPr>
          <w:rFonts w:hint="eastAsia" w:ascii="仿宋" w:hAnsi="仿宋" w:eastAsia="仿宋" w:cs="仿宋"/>
          <w:color w:val="auto"/>
          <w:sz w:val="32"/>
          <w:szCs w:val="32"/>
          <w:lang w:val="en-US" w:eastAsia="zh-CN"/>
        </w:rPr>
        <w:t>降低15.75</w:t>
      </w:r>
      <w:r>
        <w:rPr>
          <w:rFonts w:hint="eastAsia" w:ascii="仿宋" w:hAnsi="仿宋" w:eastAsia="仿宋" w:cs="仿宋"/>
          <w:color w:val="auto"/>
          <w:sz w:val="32"/>
          <w:szCs w:val="32"/>
        </w:rPr>
        <w:t>％。</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按照《地方预决算公开操作规程》明确的口径，机关运行费指各部门的公用经费，包括办公及印刷费、邮电费、差旅费、会议费、福利费、日常维修费、专用材料及一般设备购置费、办公用房水电费、办公用房取暖费、办公用房物业管理费、公务用车运行维护费以及其他费用。</w:t>
      </w:r>
    </w:p>
    <w:p>
      <w:pPr>
        <w:keepNext w:val="0"/>
        <w:keepLines w:val="0"/>
        <w:pageBreakBefore w:val="0"/>
        <w:widowControl w:val="0"/>
        <w:kinsoku/>
        <w:wordWrap/>
        <w:overflowPunct/>
        <w:topLinePunct w:val="0"/>
        <w:autoSpaceDE/>
        <w:autoSpaceDN/>
        <w:bidi w:val="0"/>
        <w:adjustRightInd/>
        <w:snapToGrid/>
        <w:spacing w:line="500" w:lineRule="exact"/>
        <w:ind w:firstLine="643" w:firstLineChars="200"/>
        <w:textAlignment w:val="auto"/>
        <w:rPr>
          <w:rFonts w:hint="eastAsia" w:ascii="仿宋" w:hAnsi="仿宋" w:eastAsia="仿宋" w:cs="仿宋"/>
          <w:b/>
          <w:bCs/>
          <w:color w:val="auto"/>
          <w:sz w:val="32"/>
          <w:szCs w:val="32"/>
        </w:rPr>
      </w:pPr>
      <w:r>
        <w:rPr>
          <w:rFonts w:hint="eastAsia" w:ascii="仿宋" w:hAnsi="仿宋" w:eastAsia="仿宋" w:cs="仿宋"/>
          <w:b/>
          <w:bCs/>
          <w:color w:val="auto"/>
          <w:sz w:val="32"/>
          <w:szCs w:val="32"/>
        </w:rPr>
        <w:t>（</w:t>
      </w:r>
      <w:r>
        <w:rPr>
          <w:rFonts w:hint="eastAsia" w:ascii="仿宋" w:hAnsi="仿宋" w:eastAsia="仿宋" w:cs="仿宋"/>
          <w:b/>
          <w:bCs/>
          <w:color w:val="auto"/>
          <w:sz w:val="32"/>
          <w:szCs w:val="32"/>
          <w:lang w:val="en-US" w:eastAsia="zh-CN"/>
        </w:rPr>
        <w:t>七</w:t>
      </w:r>
      <w:r>
        <w:rPr>
          <w:rFonts w:hint="eastAsia" w:ascii="仿宋" w:hAnsi="仿宋" w:eastAsia="仿宋" w:cs="仿宋"/>
          <w:b/>
          <w:bCs/>
          <w:color w:val="auto"/>
          <w:sz w:val="32"/>
          <w:szCs w:val="32"/>
        </w:rPr>
        <w:t>）政府采购情况</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年单位政府采购总额</w:t>
      </w:r>
      <w:r>
        <w:rPr>
          <w:rFonts w:hint="eastAsia" w:ascii="仿宋" w:hAnsi="仿宋" w:eastAsia="仿宋" w:cs="仿宋"/>
          <w:color w:val="auto"/>
          <w:sz w:val="32"/>
          <w:szCs w:val="32"/>
          <w:lang w:val="en-US" w:eastAsia="zh-CN"/>
        </w:rPr>
        <w:t>2.4</w:t>
      </w:r>
      <w:r>
        <w:rPr>
          <w:rFonts w:hint="eastAsia" w:ascii="仿宋" w:hAnsi="仿宋" w:eastAsia="仿宋" w:cs="仿宋"/>
          <w:color w:val="auto"/>
          <w:sz w:val="32"/>
          <w:szCs w:val="32"/>
        </w:rPr>
        <w:t>万元，其中：政府采购货物预算</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万元、政府采购工程预算</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万元、政府采购服务预算</w:t>
      </w:r>
      <w:r>
        <w:rPr>
          <w:rFonts w:hint="eastAsia" w:ascii="仿宋" w:hAnsi="仿宋" w:eastAsia="仿宋" w:cs="仿宋"/>
          <w:color w:val="auto"/>
          <w:sz w:val="32"/>
          <w:szCs w:val="32"/>
          <w:lang w:val="en-US" w:eastAsia="zh-CN"/>
        </w:rPr>
        <w:t>2.4</w:t>
      </w:r>
      <w:r>
        <w:rPr>
          <w:rFonts w:hint="eastAsia" w:ascii="仿宋" w:hAnsi="仿宋" w:eastAsia="仿宋" w:cs="仿宋"/>
          <w:color w:val="auto"/>
          <w:sz w:val="32"/>
          <w:szCs w:val="32"/>
        </w:rPr>
        <w:t>万元。</w:t>
      </w:r>
    </w:p>
    <w:p>
      <w:pPr>
        <w:keepNext w:val="0"/>
        <w:keepLines w:val="0"/>
        <w:pageBreakBefore w:val="0"/>
        <w:widowControl w:val="0"/>
        <w:kinsoku/>
        <w:wordWrap/>
        <w:overflowPunct/>
        <w:topLinePunct w:val="0"/>
        <w:autoSpaceDE/>
        <w:autoSpaceDN/>
        <w:bidi w:val="0"/>
        <w:adjustRightInd/>
        <w:snapToGrid/>
        <w:spacing w:line="500" w:lineRule="exact"/>
        <w:ind w:firstLine="643" w:firstLineChars="200"/>
        <w:textAlignment w:val="auto"/>
        <w:rPr>
          <w:rFonts w:hint="eastAsia" w:ascii="仿宋" w:hAnsi="仿宋" w:eastAsia="仿宋" w:cs="仿宋"/>
          <w:b/>
          <w:bCs/>
          <w:color w:val="auto"/>
          <w:sz w:val="32"/>
          <w:szCs w:val="32"/>
        </w:rPr>
      </w:pPr>
      <w:r>
        <w:rPr>
          <w:rFonts w:hint="eastAsia" w:ascii="仿宋" w:hAnsi="仿宋" w:eastAsia="仿宋" w:cs="仿宋"/>
          <w:b/>
          <w:bCs/>
          <w:color w:val="auto"/>
          <w:sz w:val="32"/>
          <w:szCs w:val="32"/>
        </w:rPr>
        <w:t>（</w:t>
      </w:r>
      <w:r>
        <w:rPr>
          <w:rFonts w:hint="eastAsia" w:ascii="仿宋" w:hAnsi="仿宋" w:eastAsia="仿宋" w:cs="仿宋"/>
          <w:b/>
          <w:bCs/>
          <w:color w:val="auto"/>
          <w:sz w:val="32"/>
          <w:szCs w:val="32"/>
          <w:lang w:val="en-US" w:eastAsia="zh-CN"/>
        </w:rPr>
        <w:t>八</w:t>
      </w:r>
      <w:r>
        <w:rPr>
          <w:rFonts w:hint="eastAsia" w:ascii="仿宋" w:hAnsi="仿宋" w:eastAsia="仿宋" w:cs="仿宋"/>
          <w:b/>
          <w:bCs/>
          <w:color w:val="auto"/>
          <w:sz w:val="32"/>
          <w:szCs w:val="32"/>
        </w:rPr>
        <w:t>）国有资产占有使用情况</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截至</w:t>
      </w:r>
      <w:r>
        <w:rPr>
          <w:rFonts w:hint="eastAsia" w:ascii="仿宋" w:hAnsi="仿宋" w:eastAsia="仿宋" w:cs="仿宋"/>
          <w:color w:val="auto"/>
          <w:sz w:val="32"/>
          <w:szCs w:val="32"/>
          <w:lang w:val="en-US" w:eastAsia="zh-CN"/>
        </w:rPr>
        <w:t>2021年</w:t>
      </w:r>
      <w:r>
        <w:rPr>
          <w:rFonts w:hint="eastAsia" w:ascii="仿宋" w:hAnsi="仿宋" w:eastAsia="仿宋" w:cs="仿宋"/>
          <w:color w:val="auto"/>
          <w:sz w:val="32"/>
          <w:szCs w:val="32"/>
        </w:rPr>
        <w:t>12月31日部门共有车辆</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辆</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其中</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一般公务用车</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辆、执法执勤用车</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辆</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特种用车0辆</w:t>
      </w:r>
      <w:r>
        <w:rPr>
          <w:rFonts w:hint="eastAsia" w:ascii="仿宋" w:hAnsi="仿宋" w:eastAsia="仿宋" w:cs="仿宋"/>
          <w:color w:val="auto"/>
          <w:sz w:val="32"/>
          <w:szCs w:val="32"/>
        </w:rPr>
        <w:t>。</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default" w:ascii="仿宋" w:hAnsi="仿宋" w:eastAsia="仿宋" w:cs="仿宋"/>
          <w:color w:val="auto"/>
          <w:sz w:val="32"/>
          <w:szCs w:val="32"/>
          <w:lang w:val="en-US"/>
        </w:rPr>
      </w:pPr>
      <w:r>
        <w:rPr>
          <w:rFonts w:hint="eastAsia" w:ascii="仿宋" w:hAnsi="仿宋" w:eastAsia="仿宋" w:cs="仿宋"/>
          <w:color w:val="auto"/>
          <w:sz w:val="32"/>
          <w:szCs w:val="32"/>
          <w:lang w:val="en-US" w:eastAsia="zh-CN"/>
        </w:rPr>
        <w:t>2022年本</w:t>
      </w:r>
      <w:r>
        <w:rPr>
          <w:rFonts w:hint="eastAsia" w:ascii="仿宋" w:hAnsi="仿宋" w:eastAsia="仿宋" w:cs="仿宋"/>
          <w:color w:val="auto"/>
          <w:sz w:val="32"/>
          <w:szCs w:val="32"/>
        </w:rPr>
        <w:t>部门预算安排购置车辆</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辆，安排购置单位价值</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万元以上大型设备具体为：</w:t>
      </w:r>
      <w:r>
        <w:rPr>
          <w:rFonts w:hint="eastAsia" w:ascii="仿宋" w:hAnsi="仿宋" w:eastAsia="仿宋" w:cs="仿宋"/>
          <w:color w:val="auto"/>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500" w:lineRule="exact"/>
        <w:ind w:firstLine="643" w:firstLineChars="200"/>
        <w:textAlignment w:val="auto"/>
        <w:rPr>
          <w:rFonts w:hint="eastAsia" w:ascii="仿宋" w:hAnsi="仿宋" w:eastAsia="仿宋" w:cs="仿宋"/>
          <w:b/>
          <w:bCs/>
          <w:color w:val="auto"/>
          <w:sz w:val="32"/>
          <w:szCs w:val="32"/>
        </w:rPr>
      </w:pPr>
      <w:r>
        <w:rPr>
          <w:rFonts w:hint="eastAsia" w:ascii="仿宋" w:hAnsi="仿宋" w:eastAsia="仿宋" w:cs="仿宋"/>
          <w:b/>
          <w:bCs/>
          <w:color w:val="auto"/>
          <w:sz w:val="32"/>
          <w:szCs w:val="32"/>
        </w:rPr>
        <w:t>（</w:t>
      </w:r>
      <w:r>
        <w:rPr>
          <w:rFonts w:hint="eastAsia" w:ascii="仿宋" w:hAnsi="仿宋" w:eastAsia="仿宋" w:cs="仿宋"/>
          <w:b/>
          <w:bCs/>
          <w:color w:val="auto"/>
          <w:sz w:val="32"/>
          <w:szCs w:val="32"/>
          <w:lang w:val="en-US" w:eastAsia="zh-CN"/>
        </w:rPr>
        <w:t>九</w:t>
      </w:r>
      <w:r>
        <w:rPr>
          <w:rFonts w:hint="eastAsia" w:ascii="仿宋" w:hAnsi="仿宋" w:eastAsia="仿宋" w:cs="仿宋"/>
          <w:b/>
          <w:bCs/>
          <w:color w:val="auto"/>
          <w:sz w:val="32"/>
          <w:szCs w:val="32"/>
        </w:rPr>
        <w:t>）绩效目标设置情况</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2022年实行绩效目标管理的项目0个，涉及资金0万元。</w:t>
      </w:r>
    </w:p>
    <w:p>
      <w:pPr>
        <w:keepNext w:val="0"/>
        <w:keepLines w:val="0"/>
        <w:pageBreakBefore w:val="0"/>
        <w:widowControl w:val="0"/>
        <w:kinsoku/>
        <w:wordWrap/>
        <w:overflowPunct/>
        <w:topLinePunct w:val="0"/>
        <w:autoSpaceDE/>
        <w:autoSpaceDN/>
        <w:bidi w:val="0"/>
        <w:adjustRightInd/>
        <w:snapToGrid/>
        <w:spacing w:line="500" w:lineRule="exact"/>
        <w:ind w:firstLine="643" w:firstLineChars="200"/>
        <w:textAlignment w:val="auto"/>
        <w:rPr>
          <w:rFonts w:hint="eastAsia" w:ascii="楷体" w:hAnsi="楷体" w:eastAsia="楷体" w:cs="楷体"/>
          <w:b/>
          <w:bCs/>
          <w:color w:val="auto"/>
          <w:sz w:val="32"/>
          <w:szCs w:val="32"/>
        </w:rPr>
      </w:pPr>
      <w:r>
        <w:rPr>
          <w:rFonts w:hint="eastAsia" w:ascii="楷体" w:hAnsi="楷体" w:eastAsia="楷体" w:cs="楷体"/>
          <w:b/>
          <w:bCs/>
          <w:color w:val="auto"/>
          <w:sz w:val="32"/>
          <w:szCs w:val="32"/>
        </w:rPr>
        <w:t>二、</w:t>
      </w:r>
      <w:r>
        <w:rPr>
          <w:rFonts w:hint="eastAsia" w:ascii="楷体" w:hAnsi="楷体" w:eastAsia="楷体" w:cs="楷体"/>
          <w:b/>
          <w:bCs/>
          <w:color w:val="auto"/>
          <w:sz w:val="32"/>
          <w:szCs w:val="32"/>
          <w:lang w:val="en-US" w:eastAsia="zh-CN"/>
        </w:rPr>
        <w:t>2022年</w:t>
      </w:r>
      <w:r>
        <w:rPr>
          <w:rFonts w:hint="eastAsia" w:ascii="楷体" w:hAnsi="楷体" w:eastAsia="楷体" w:cs="楷体"/>
          <w:b/>
          <w:bCs/>
          <w:color w:val="auto"/>
          <w:sz w:val="32"/>
          <w:szCs w:val="32"/>
        </w:rPr>
        <w:t>“三公”经费预算情况说明</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年兴国县</w:t>
      </w:r>
      <w:r>
        <w:rPr>
          <w:rFonts w:hint="eastAsia" w:ascii="仿宋" w:hAnsi="仿宋" w:eastAsia="仿宋" w:cs="仿宋"/>
          <w:color w:val="auto"/>
          <w:sz w:val="32"/>
          <w:szCs w:val="32"/>
          <w:lang w:val="en-US" w:eastAsia="zh-CN"/>
        </w:rPr>
        <w:t>卫生健康委员会</w:t>
      </w:r>
      <w:r>
        <w:rPr>
          <w:rFonts w:hint="eastAsia" w:ascii="仿宋" w:hAnsi="仿宋" w:eastAsia="仿宋" w:cs="仿宋"/>
          <w:color w:val="auto"/>
          <w:sz w:val="32"/>
          <w:szCs w:val="32"/>
        </w:rPr>
        <w:t>部门“三公”经费一般公共预算安排</w:t>
      </w:r>
      <w:r>
        <w:rPr>
          <w:rFonts w:hint="eastAsia" w:ascii="仿宋" w:hAnsi="仿宋" w:eastAsia="仿宋" w:cs="仿宋"/>
          <w:color w:val="auto"/>
          <w:sz w:val="32"/>
          <w:szCs w:val="32"/>
          <w:lang w:val="en-US" w:eastAsia="zh-CN"/>
        </w:rPr>
        <w:t>1.5</w:t>
      </w:r>
      <w:r>
        <w:rPr>
          <w:rFonts w:hint="eastAsia" w:ascii="仿宋" w:hAnsi="仿宋" w:eastAsia="仿宋" w:cs="仿宋"/>
          <w:color w:val="auto"/>
          <w:sz w:val="32"/>
          <w:szCs w:val="32"/>
        </w:rPr>
        <w:t>万元。其中：</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rPr>
        <w:t>因公出国（境）费</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万元，比上年</w:t>
      </w:r>
      <w:r>
        <w:rPr>
          <w:rFonts w:hint="eastAsia" w:ascii="仿宋" w:hAnsi="仿宋" w:eastAsia="仿宋" w:cs="仿宋"/>
          <w:color w:val="auto"/>
          <w:sz w:val="32"/>
          <w:szCs w:val="32"/>
          <w:lang w:val="en-US" w:eastAsia="zh-CN"/>
        </w:rPr>
        <w:t>增加0</w:t>
      </w:r>
      <w:r>
        <w:rPr>
          <w:rFonts w:hint="eastAsia" w:ascii="仿宋" w:hAnsi="仿宋" w:eastAsia="仿宋" w:cs="仿宋"/>
          <w:color w:val="auto"/>
          <w:sz w:val="32"/>
          <w:szCs w:val="32"/>
        </w:rPr>
        <w:t>万元</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主</w:t>
      </w:r>
      <w:r>
        <w:rPr>
          <w:rFonts w:hint="eastAsia" w:ascii="仿宋" w:hAnsi="仿宋" w:eastAsia="仿宋" w:cs="仿宋"/>
          <w:color w:val="auto"/>
          <w:sz w:val="32"/>
          <w:szCs w:val="32"/>
        </w:rPr>
        <w:t>要原因是：</w:t>
      </w:r>
      <w:r>
        <w:rPr>
          <w:rFonts w:hint="eastAsia" w:ascii="仿宋" w:hAnsi="仿宋" w:eastAsia="仿宋" w:cs="仿宋"/>
          <w:color w:val="auto"/>
          <w:sz w:val="32"/>
          <w:szCs w:val="32"/>
          <w:lang w:val="en-US" w:eastAsia="zh-CN"/>
        </w:rPr>
        <w:t>与上年安排保持一致</w:t>
      </w:r>
      <w:r>
        <w:rPr>
          <w:rFonts w:hint="eastAsia" w:ascii="仿宋" w:hAnsi="仿宋" w:eastAsia="仿宋" w:cs="仿宋"/>
          <w:color w:val="auto"/>
          <w:sz w:val="32"/>
          <w:szCs w:val="32"/>
        </w:rPr>
        <w:t>。</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公务接待费</w:t>
      </w:r>
      <w:r>
        <w:rPr>
          <w:rFonts w:hint="eastAsia" w:ascii="仿宋" w:hAnsi="仿宋" w:eastAsia="仿宋" w:cs="仿宋"/>
          <w:color w:val="auto"/>
          <w:sz w:val="32"/>
          <w:szCs w:val="32"/>
          <w:lang w:val="en-US" w:eastAsia="zh-CN"/>
        </w:rPr>
        <w:t>1.5</w:t>
      </w:r>
      <w:r>
        <w:rPr>
          <w:rFonts w:hint="eastAsia" w:ascii="仿宋" w:hAnsi="仿宋" w:eastAsia="仿宋" w:cs="仿宋"/>
          <w:color w:val="auto"/>
          <w:sz w:val="32"/>
          <w:szCs w:val="32"/>
        </w:rPr>
        <w:t>万元，比上年</w:t>
      </w:r>
      <w:r>
        <w:rPr>
          <w:rFonts w:hint="eastAsia" w:ascii="仿宋" w:hAnsi="仿宋" w:eastAsia="仿宋" w:cs="仿宋"/>
          <w:color w:val="auto"/>
          <w:sz w:val="32"/>
          <w:szCs w:val="32"/>
          <w:lang w:val="en-US" w:eastAsia="zh-CN"/>
        </w:rPr>
        <w:t>减少0</w:t>
      </w:r>
      <w:r>
        <w:rPr>
          <w:rFonts w:hint="eastAsia" w:ascii="仿宋" w:hAnsi="仿宋" w:eastAsia="仿宋" w:cs="仿宋"/>
          <w:color w:val="auto"/>
          <w:sz w:val="32"/>
          <w:szCs w:val="32"/>
        </w:rPr>
        <w:t>万元，主要原因</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是：</w:t>
      </w:r>
      <w:r>
        <w:rPr>
          <w:rFonts w:hint="eastAsia" w:ascii="仿宋" w:hAnsi="仿宋" w:eastAsia="仿宋" w:cs="仿宋"/>
          <w:color w:val="auto"/>
          <w:sz w:val="32"/>
          <w:szCs w:val="32"/>
          <w:lang w:val="en-US" w:eastAsia="zh-CN"/>
        </w:rPr>
        <w:t>与上年安排保持一致</w:t>
      </w:r>
      <w:r>
        <w:rPr>
          <w:rFonts w:hint="eastAsia" w:ascii="仿宋" w:hAnsi="仿宋" w:eastAsia="仿宋" w:cs="仿宋"/>
          <w:color w:val="auto"/>
          <w:sz w:val="32"/>
          <w:szCs w:val="32"/>
        </w:rPr>
        <w:t>。</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公务用车运行维护费</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万元，比上年增</w:t>
      </w:r>
      <w:r>
        <w:rPr>
          <w:rFonts w:hint="eastAsia" w:ascii="仿宋" w:hAnsi="仿宋" w:eastAsia="仿宋" w:cs="仿宋"/>
          <w:color w:val="auto"/>
          <w:sz w:val="32"/>
          <w:szCs w:val="32"/>
          <w:lang w:val="en-US" w:eastAsia="zh-CN"/>
        </w:rPr>
        <w:t>加0</w:t>
      </w:r>
      <w:r>
        <w:rPr>
          <w:rFonts w:hint="eastAsia" w:ascii="仿宋" w:hAnsi="仿宋" w:eastAsia="仿宋" w:cs="仿宋"/>
          <w:color w:val="auto"/>
          <w:sz w:val="32"/>
          <w:szCs w:val="32"/>
        </w:rPr>
        <w:t>万元，主要原因是：</w:t>
      </w:r>
      <w:r>
        <w:rPr>
          <w:rFonts w:hint="eastAsia" w:ascii="仿宋" w:hAnsi="仿宋" w:eastAsia="仿宋" w:cs="仿宋"/>
          <w:color w:val="auto"/>
          <w:sz w:val="32"/>
          <w:szCs w:val="32"/>
          <w:lang w:val="en-US" w:eastAsia="zh-CN"/>
        </w:rPr>
        <w:t>与上年安排保持一致</w:t>
      </w:r>
      <w:r>
        <w:rPr>
          <w:rFonts w:hint="eastAsia" w:ascii="仿宋" w:hAnsi="仿宋" w:eastAsia="仿宋" w:cs="仿宋"/>
          <w:color w:val="auto"/>
          <w:sz w:val="32"/>
          <w:szCs w:val="32"/>
        </w:rPr>
        <w:t>。</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公务用车购置费</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rPr>
        <w:t>万元，比上年增</w:t>
      </w:r>
      <w:r>
        <w:rPr>
          <w:rFonts w:hint="eastAsia" w:ascii="仿宋" w:hAnsi="仿宋" w:eastAsia="仿宋" w:cs="仿宋"/>
          <w:color w:val="auto"/>
          <w:sz w:val="32"/>
          <w:szCs w:val="32"/>
          <w:lang w:val="en-US" w:eastAsia="zh-CN"/>
        </w:rPr>
        <w:t>加0</w:t>
      </w:r>
      <w:r>
        <w:rPr>
          <w:rFonts w:hint="eastAsia" w:ascii="仿宋" w:hAnsi="仿宋" w:eastAsia="仿宋" w:cs="仿宋"/>
          <w:color w:val="auto"/>
          <w:sz w:val="32"/>
          <w:szCs w:val="32"/>
        </w:rPr>
        <w:t>万元</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主</w:t>
      </w:r>
      <w:r>
        <w:rPr>
          <w:rFonts w:hint="eastAsia" w:ascii="仿宋" w:hAnsi="仿宋" w:eastAsia="仿宋" w:cs="仿宋"/>
          <w:color w:val="auto"/>
          <w:sz w:val="32"/>
          <w:szCs w:val="32"/>
        </w:rPr>
        <w:t>要原因是：</w:t>
      </w:r>
      <w:r>
        <w:rPr>
          <w:rFonts w:hint="eastAsia" w:ascii="仿宋" w:hAnsi="仿宋" w:eastAsia="仿宋" w:cs="仿宋"/>
          <w:color w:val="auto"/>
          <w:sz w:val="32"/>
          <w:szCs w:val="32"/>
          <w:lang w:val="en-US" w:eastAsia="zh-CN"/>
        </w:rPr>
        <w:t>与上年安排保持一致</w:t>
      </w:r>
      <w:r>
        <w:rPr>
          <w:rFonts w:hint="eastAsia" w:ascii="仿宋" w:hAnsi="仿宋" w:eastAsia="仿宋" w:cs="仿宋"/>
          <w:color w:val="auto"/>
          <w:sz w:val="32"/>
          <w:szCs w:val="32"/>
        </w:rPr>
        <w:t>。</w:t>
      </w:r>
    </w:p>
    <w:p>
      <w:pPr>
        <w:rPr>
          <w:rFonts w:hint="default" w:eastAsia="仿宋_GB2312"/>
          <w:b/>
          <w:bCs/>
          <w:color w:val="auto"/>
          <w:lang w:val="en-US" w:eastAsia="zh-CN"/>
        </w:rPr>
      </w:pPr>
      <w:r>
        <w:rPr>
          <w:rFonts w:hint="default" w:eastAsia="仿宋_GB2312"/>
          <w:b/>
          <w:bCs/>
          <w:color w:val="auto"/>
          <w:lang w:val="en-US" w:eastAsia="zh-CN"/>
        </w:rPr>
        <w:br w:type="page"/>
      </w:r>
    </w:p>
    <w:p>
      <w:pPr>
        <w:pStyle w:val="2"/>
        <w:numPr>
          <w:ilvl w:val="0"/>
          <w:numId w:val="0"/>
        </w:numPr>
        <w:jc w:val="both"/>
        <w:rPr>
          <w:rFonts w:hint="default" w:eastAsia="仿宋_GB2312"/>
          <w:b/>
          <w:bCs/>
          <w:color w:val="auto"/>
          <w:lang w:val="en-US" w:eastAsia="zh-CN"/>
        </w:rPr>
        <w:sectPr>
          <w:footerReference r:id="rId3" w:type="default"/>
          <w:pgSz w:w="11906" w:h="16838"/>
          <w:pgMar w:top="1587" w:right="1587" w:bottom="1587" w:left="1587" w:header="851" w:footer="992" w:gutter="0"/>
          <w:cols w:space="0" w:num="1"/>
          <w:docGrid w:type="lines" w:linePitch="322" w:charSpace="0"/>
        </w:sectPr>
      </w:pPr>
    </w:p>
    <w:p>
      <w:pPr>
        <w:numPr>
          <w:ilvl w:val="0"/>
          <w:numId w:val="1"/>
        </w:numPr>
        <w:spacing w:line="560" w:lineRule="exact"/>
        <w:jc w:val="center"/>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兴国县</w:t>
      </w:r>
      <w:r>
        <w:rPr>
          <w:rFonts w:hint="eastAsia" w:ascii="黑体" w:hAnsi="黑体" w:eastAsia="黑体" w:cs="黑体"/>
          <w:b w:val="0"/>
          <w:bCs w:val="0"/>
          <w:color w:val="auto"/>
          <w:sz w:val="32"/>
          <w:szCs w:val="32"/>
          <w:lang w:val="en-US" w:eastAsia="zh-CN"/>
        </w:rPr>
        <w:t>计划生育协会2022年</w:t>
      </w:r>
      <w:r>
        <w:rPr>
          <w:rFonts w:hint="eastAsia" w:ascii="黑体" w:hAnsi="黑体" w:eastAsia="黑体" w:cs="黑体"/>
          <w:b w:val="0"/>
          <w:bCs w:val="0"/>
          <w:color w:val="auto"/>
          <w:sz w:val="32"/>
          <w:szCs w:val="32"/>
        </w:rPr>
        <w:t>部门预算表</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eastAsia" w:ascii="仿宋" w:hAnsi="仿宋" w:eastAsia="仿宋" w:cs="仿宋"/>
          <w:sz w:val="32"/>
          <w:szCs w:val="32"/>
        </w:rPr>
      </w:pPr>
    </w:p>
    <w:p>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firstLine="0" w:firstLineChars="0"/>
        <w:textAlignment w:val="auto"/>
        <w:rPr>
          <w:rFonts w:hint="eastAsia" w:ascii="仿宋" w:hAnsi="仿宋" w:eastAsia="仿宋" w:cs="仿宋"/>
          <w:sz w:val="32"/>
          <w:szCs w:val="32"/>
        </w:rPr>
      </w:pPr>
      <w:r>
        <w:rPr>
          <w:rFonts w:hint="eastAsia" w:ascii="仿宋" w:hAnsi="仿宋" w:eastAsia="仿宋" w:cs="仿宋"/>
          <w:sz w:val="32"/>
          <w:szCs w:val="32"/>
        </w:rPr>
        <w:t>《收支预算总表》</w:t>
      </w:r>
    </w:p>
    <w:p>
      <w:pPr>
        <w:pStyle w:val="2"/>
        <w:numPr>
          <w:ilvl w:val="0"/>
          <w:numId w:val="0"/>
        </w:numPr>
        <w:rPr>
          <w:rFonts w:hint="eastAsia"/>
        </w:rPr>
      </w:pPr>
    </w:p>
    <w:p>
      <w:pPr>
        <w:pStyle w:val="2"/>
        <w:numPr>
          <w:ilvl w:val="0"/>
          <w:numId w:val="0"/>
        </w:numPr>
        <w:rPr>
          <w:rFonts w:hint="eastAsia"/>
        </w:rPr>
      </w:pPr>
      <w:r>
        <w:rPr>
          <w:rFonts w:hint="eastAsia"/>
        </w:rPr>
        <w:drawing>
          <wp:inline distT="0" distB="0" distL="114300" distR="114300">
            <wp:extent cx="7070090" cy="3327400"/>
            <wp:effectExtent l="0" t="0" r="16510" b="6350"/>
            <wp:docPr id="1" name="图片 1" descr="0d27213d52fe0a3aaad09ef5a9f2b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0d27213d52fe0a3aaad09ef5a9f2b75"/>
                    <pic:cNvPicPr>
                      <a:picLocks noChangeAspect="1"/>
                    </pic:cNvPicPr>
                  </pic:nvPicPr>
                  <pic:blipFill>
                    <a:blip r:embed="rId5"/>
                    <a:stretch>
                      <a:fillRect/>
                    </a:stretch>
                  </pic:blipFill>
                  <pic:spPr>
                    <a:xfrm>
                      <a:off x="0" y="0"/>
                      <a:ext cx="7070090" cy="3327400"/>
                    </a:xfrm>
                    <a:prstGeom prst="rect">
                      <a:avLst/>
                    </a:prstGeom>
                  </pic:spPr>
                </pic:pic>
              </a:graphicData>
            </a:graphic>
          </wp:inline>
        </w:drawing>
      </w:r>
    </w:p>
    <w:p>
      <w:pPr>
        <w:pStyle w:val="2"/>
        <w:numPr>
          <w:ilvl w:val="0"/>
          <w:numId w:val="0"/>
        </w:numPr>
        <w:rPr>
          <w:rFonts w:hint="eastAsia"/>
        </w:rPr>
        <w:sectPr>
          <w:pgSz w:w="11906" w:h="16838"/>
          <w:pgMar w:top="720" w:right="720" w:bottom="720" w:left="720" w:header="851" w:footer="992" w:gutter="0"/>
          <w:cols w:space="0" w:num="1"/>
          <w:docGrid w:type="lines" w:linePitch="322" w:charSpace="0"/>
        </w:sectPr>
      </w:pPr>
    </w:p>
    <w:p>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left="0" w:leftChars="0" w:firstLine="0" w:firstLineChars="0"/>
        <w:textAlignment w:val="auto"/>
        <w:rPr>
          <w:rFonts w:hint="eastAsia" w:ascii="仿宋" w:hAnsi="仿宋" w:eastAsia="仿宋" w:cs="仿宋"/>
          <w:sz w:val="32"/>
          <w:szCs w:val="32"/>
        </w:rPr>
      </w:pPr>
      <w:r>
        <w:rPr>
          <w:rFonts w:hint="eastAsia" w:ascii="仿宋" w:hAnsi="仿宋" w:eastAsia="仿宋" w:cs="仿宋"/>
          <w:sz w:val="32"/>
          <w:szCs w:val="32"/>
        </w:rPr>
        <w:t>《部门收入总表》</w:t>
      </w:r>
    </w:p>
    <w:p>
      <w:pPr>
        <w:pStyle w:val="2"/>
        <w:rPr>
          <w:rFonts w:hint="eastAsia"/>
        </w:rPr>
      </w:pPr>
      <w:r>
        <w:drawing>
          <wp:inline distT="0" distB="0" distL="114300" distR="114300">
            <wp:extent cx="6635750" cy="3120390"/>
            <wp:effectExtent l="0" t="0" r="12700" b="3810"/>
            <wp:docPr id="9"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6"/>
                    <pic:cNvPicPr>
                      <a:picLocks noChangeAspect="1"/>
                    </pic:cNvPicPr>
                  </pic:nvPicPr>
                  <pic:blipFill>
                    <a:blip r:embed="rId6"/>
                    <a:stretch>
                      <a:fillRect/>
                    </a:stretch>
                  </pic:blipFill>
                  <pic:spPr>
                    <a:xfrm>
                      <a:off x="0" y="0"/>
                      <a:ext cx="6635750" cy="3120390"/>
                    </a:xfrm>
                    <a:prstGeom prst="rect">
                      <a:avLst/>
                    </a:prstGeom>
                    <a:noFill/>
                    <a:ln>
                      <a:noFill/>
                    </a:ln>
                  </pic:spPr>
                </pic:pic>
              </a:graphicData>
            </a:graphic>
          </wp:inline>
        </w:drawing>
      </w:r>
    </w:p>
    <w:p>
      <w:pPr>
        <w:pStyle w:val="2"/>
        <w:numPr>
          <w:ilvl w:val="0"/>
          <w:numId w:val="0"/>
        </w:numPr>
        <w:ind w:leftChars="0"/>
        <w:rPr>
          <w:rFonts w:hint="eastAsia"/>
        </w:rPr>
      </w:pPr>
    </w:p>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 w:hAnsi="仿宋" w:eastAsia="仿宋" w:cs="仿宋"/>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 w:hAnsi="仿宋" w:eastAsia="仿宋" w:cs="仿宋"/>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 w:hAnsi="仿宋" w:eastAsia="仿宋" w:cs="仿宋"/>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 w:hAnsi="仿宋" w:eastAsia="仿宋" w:cs="仿宋"/>
          <w:sz w:val="32"/>
          <w:szCs w:val="32"/>
          <w:lang w:val="en-US" w:eastAsia="zh-CN"/>
        </w:rPr>
      </w:pPr>
    </w:p>
    <w:p>
      <w:pPr>
        <w:pStyle w:val="2"/>
        <w:rPr>
          <w:rFonts w:hint="eastAsia"/>
          <w:lang w:val="en-US" w:eastAsia="zh-CN"/>
        </w:rPr>
        <w:sectPr>
          <w:pgSz w:w="11906" w:h="16838"/>
          <w:pgMar w:top="720" w:right="720" w:bottom="720" w:left="720" w:header="851" w:footer="992" w:gutter="0"/>
          <w:cols w:space="0" w:num="1"/>
          <w:docGrid w:type="lines" w:linePitch="322" w:charSpace="0"/>
        </w:sectPr>
      </w:pPr>
    </w:p>
    <w:p>
      <w:pPr>
        <w:numPr>
          <w:ilvl w:val="0"/>
          <w:numId w:val="2"/>
        </w:numPr>
        <w:ind w:left="0" w:leftChars="0" w:firstLine="0" w:firstLineChars="0"/>
        <w:rPr>
          <w:rFonts w:hint="eastAsia" w:ascii="仿宋" w:hAnsi="仿宋" w:eastAsia="仿宋" w:cs="仿宋"/>
          <w:sz w:val="32"/>
          <w:szCs w:val="32"/>
        </w:rPr>
      </w:pPr>
      <w:r>
        <w:rPr>
          <w:rFonts w:hint="eastAsia" w:ascii="仿宋" w:hAnsi="仿宋" w:eastAsia="仿宋" w:cs="仿宋"/>
          <w:sz w:val="32"/>
          <w:szCs w:val="32"/>
        </w:rPr>
        <w:t>《部门支出总表》</w:t>
      </w:r>
    </w:p>
    <w:p>
      <w:pPr>
        <w:pStyle w:val="2"/>
        <w:numPr>
          <w:ilvl w:val="0"/>
          <w:numId w:val="0"/>
        </w:numPr>
        <w:ind w:leftChars="0"/>
      </w:pPr>
      <w:r>
        <w:drawing>
          <wp:inline distT="0" distB="0" distL="114300" distR="114300">
            <wp:extent cx="6637655" cy="4714875"/>
            <wp:effectExtent l="0" t="0" r="10795" b="9525"/>
            <wp:docPr id="270" name="图片 2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0" name="图片 267"/>
                    <pic:cNvPicPr>
                      <a:picLocks noChangeAspect="1"/>
                    </pic:cNvPicPr>
                  </pic:nvPicPr>
                  <pic:blipFill>
                    <a:blip r:embed="rId7"/>
                    <a:stretch>
                      <a:fillRect/>
                    </a:stretch>
                  </pic:blipFill>
                  <pic:spPr>
                    <a:xfrm>
                      <a:off x="0" y="0"/>
                      <a:ext cx="6637655" cy="4714875"/>
                    </a:xfrm>
                    <a:prstGeom prst="rect">
                      <a:avLst/>
                    </a:prstGeom>
                    <a:noFill/>
                    <a:ln>
                      <a:noFill/>
                    </a:ln>
                  </pic:spPr>
                </pic:pic>
              </a:graphicData>
            </a:graphic>
          </wp:inline>
        </w:drawing>
      </w:r>
    </w:p>
    <w:p>
      <w:pPr>
        <w:pStyle w:val="2"/>
        <w:numPr>
          <w:ilvl w:val="0"/>
          <w:numId w:val="0"/>
        </w:numPr>
        <w:ind w:leftChars="0"/>
      </w:pPr>
    </w:p>
    <w:p>
      <w:pPr>
        <w:pStyle w:val="2"/>
        <w:numPr>
          <w:ilvl w:val="0"/>
          <w:numId w:val="0"/>
        </w:numPr>
        <w:ind w:leftChars="0"/>
      </w:pPr>
    </w:p>
    <w:p>
      <w:pPr>
        <w:pStyle w:val="2"/>
        <w:numPr>
          <w:ilvl w:val="0"/>
          <w:numId w:val="0"/>
        </w:numPr>
        <w:ind w:leftChars="0"/>
      </w:pPr>
    </w:p>
    <w:p>
      <w:pPr>
        <w:pStyle w:val="2"/>
        <w:numPr>
          <w:ilvl w:val="0"/>
          <w:numId w:val="0"/>
        </w:numPr>
        <w:ind w:leftChars="0"/>
      </w:pPr>
    </w:p>
    <w:p>
      <w:pPr>
        <w:pStyle w:val="2"/>
        <w:numPr>
          <w:ilvl w:val="0"/>
          <w:numId w:val="0"/>
        </w:numPr>
        <w:ind w:leftChars="0"/>
      </w:pPr>
    </w:p>
    <w:p>
      <w:pPr>
        <w:pStyle w:val="2"/>
        <w:numPr>
          <w:ilvl w:val="0"/>
          <w:numId w:val="0"/>
        </w:numPr>
        <w:ind w:leftChars="0"/>
      </w:pPr>
    </w:p>
    <w:p>
      <w:pPr>
        <w:pStyle w:val="2"/>
        <w:numPr>
          <w:ilvl w:val="0"/>
          <w:numId w:val="0"/>
        </w:numPr>
        <w:ind w:leftChars="0"/>
      </w:pPr>
    </w:p>
    <w:p>
      <w:pPr>
        <w:pStyle w:val="2"/>
        <w:numPr>
          <w:ilvl w:val="0"/>
          <w:numId w:val="0"/>
        </w:numPr>
        <w:ind w:leftChars="0"/>
      </w:pPr>
    </w:p>
    <w:p>
      <w:pPr>
        <w:pStyle w:val="2"/>
        <w:numPr>
          <w:ilvl w:val="0"/>
          <w:numId w:val="0"/>
        </w:numPr>
        <w:ind w:leftChars="0"/>
      </w:pPr>
    </w:p>
    <w:p>
      <w:pPr>
        <w:pStyle w:val="2"/>
        <w:numPr>
          <w:ilvl w:val="0"/>
          <w:numId w:val="0"/>
        </w:numPr>
        <w:ind w:leftChars="0"/>
        <w:rPr>
          <w:rFonts w:hint="eastAsia"/>
        </w:rPr>
      </w:pPr>
    </w:p>
    <w:p>
      <w:pPr>
        <w:numPr>
          <w:ilvl w:val="0"/>
          <w:numId w:val="2"/>
        </w:numPr>
        <w:ind w:left="0" w:leftChars="0" w:firstLine="0" w:firstLineChars="0"/>
        <w:rPr>
          <w:rFonts w:hint="eastAsia" w:ascii="仿宋" w:hAnsi="仿宋" w:eastAsia="仿宋" w:cs="仿宋"/>
          <w:sz w:val="32"/>
          <w:szCs w:val="32"/>
        </w:rPr>
      </w:pPr>
      <w:r>
        <w:rPr>
          <w:rFonts w:hint="eastAsia" w:ascii="仿宋" w:hAnsi="仿宋" w:eastAsia="仿宋" w:cs="仿宋"/>
          <w:sz w:val="32"/>
          <w:szCs w:val="32"/>
        </w:rPr>
        <w:t>《财政拨款收支总表》</w:t>
      </w:r>
    </w:p>
    <w:p>
      <w:pPr>
        <w:pStyle w:val="2"/>
        <w:numPr>
          <w:ilvl w:val="0"/>
          <w:numId w:val="0"/>
        </w:numPr>
        <w:ind w:leftChars="0"/>
      </w:pPr>
      <w:r>
        <w:drawing>
          <wp:inline distT="0" distB="0" distL="114300" distR="114300">
            <wp:extent cx="6640195" cy="3308985"/>
            <wp:effectExtent l="0" t="0" r="8255" b="5715"/>
            <wp:docPr id="271" name="图片 2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1" name="图片 268"/>
                    <pic:cNvPicPr>
                      <a:picLocks noChangeAspect="1"/>
                    </pic:cNvPicPr>
                  </pic:nvPicPr>
                  <pic:blipFill>
                    <a:blip r:embed="rId8"/>
                    <a:stretch>
                      <a:fillRect/>
                    </a:stretch>
                  </pic:blipFill>
                  <pic:spPr>
                    <a:xfrm>
                      <a:off x="0" y="0"/>
                      <a:ext cx="6640195" cy="3308985"/>
                    </a:xfrm>
                    <a:prstGeom prst="rect">
                      <a:avLst/>
                    </a:prstGeom>
                    <a:noFill/>
                    <a:ln>
                      <a:noFill/>
                    </a:ln>
                  </pic:spPr>
                </pic:pic>
              </a:graphicData>
            </a:graphic>
          </wp:inline>
        </w:drawing>
      </w:r>
    </w:p>
    <w:p>
      <w:pPr>
        <w:pStyle w:val="2"/>
        <w:numPr>
          <w:ilvl w:val="0"/>
          <w:numId w:val="0"/>
        </w:numPr>
        <w:ind w:leftChars="0"/>
      </w:pPr>
    </w:p>
    <w:p>
      <w:pPr>
        <w:pStyle w:val="2"/>
        <w:numPr>
          <w:ilvl w:val="0"/>
          <w:numId w:val="0"/>
        </w:numPr>
        <w:ind w:leftChars="0"/>
      </w:pPr>
    </w:p>
    <w:p>
      <w:pPr>
        <w:pStyle w:val="2"/>
        <w:numPr>
          <w:ilvl w:val="0"/>
          <w:numId w:val="0"/>
        </w:numPr>
        <w:ind w:leftChars="0"/>
      </w:pPr>
    </w:p>
    <w:p>
      <w:pPr>
        <w:pStyle w:val="2"/>
        <w:numPr>
          <w:ilvl w:val="0"/>
          <w:numId w:val="0"/>
        </w:numPr>
        <w:ind w:leftChars="0"/>
      </w:pPr>
    </w:p>
    <w:p>
      <w:pPr>
        <w:pStyle w:val="2"/>
        <w:numPr>
          <w:ilvl w:val="0"/>
          <w:numId w:val="0"/>
        </w:numPr>
        <w:ind w:leftChars="0"/>
      </w:pPr>
    </w:p>
    <w:p>
      <w:pPr>
        <w:pStyle w:val="2"/>
        <w:numPr>
          <w:ilvl w:val="0"/>
          <w:numId w:val="0"/>
        </w:numPr>
        <w:ind w:leftChars="0"/>
      </w:pPr>
    </w:p>
    <w:p>
      <w:pPr>
        <w:pStyle w:val="2"/>
        <w:numPr>
          <w:ilvl w:val="0"/>
          <w:numId w:val="0"/>
        </w:numPr>
        <w:ind w:leftChars="0"/>
      </w:pPr>
    </w:p>
    <w:p>
      <w:pPr>
        <w:pStyle w:val="2"/>
        <w:numPr>
          <w:ilvl w:val="0"/>
          <w:numId w:val="0"/>
        </w:numPr>
        <w:ind w:leftChars="0"/>
        <w:rPr>
          <w:rFonts w:hint="eastAsia"/>
        </w:rPr>
      </w:pPr>
    </w:p>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 w:hAnsi="仿宋" w:eastAsia="仿宋" w:cs="仿宋"/>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 w:hAnsi="仿宋" w:eastAsia="仿宋" w:cs="仿宋"/>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 w:hAnsi="仿宋" w:eastAsia="仿宋" w:cs="仿宋"/>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 w:hAnsi="仿宋" w:eastAsia="仿宋" w:cs="仿宋"/>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 w:hAnsi="仿宋" w:eastAsia="仿宋" w:cs="仿宋"/>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 w:hAnsi="仿宋" w:eastAsia="仿宋" w:cs="仿宋"/>
          <w:sz w:val="32"/>
          <w:szCs w:val="32"/>
          <w:lang w:val="en-US" w:eastAsia="zh-CN"/>
        </w:rPr>
      </w:pPr>
    </w:p>
    <w:p>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left="0" w:leftChars="0" w:firstLine="0" w:firstLineChars="0"/>
        <w:textAlignment w:val="auto"/>
        <w:rPr>
          <w:rFonts w:hint="eastAsia" w:ascii="仿宋" w:hAnsi="仿宋" w:eastAsia="仿宋" w:cs="仿宋"/>
          <w:sz w:val="32"/>
          <w:szCs w:val="32"/>
        </w:rPr>
      </w:pPr>
      <w:r>
        <w:rPr>
          <w:rFonts w:hint="eastAsia" w:ascii="仿宋" w:hAnsi="仿宋" w:eastAsia="仿宋" w:cs="仿宋"/>
          <w:sz w:val="32"/>
          <w:szCs w:val="32"/>
        </w:rPr>
        <w:t>《一般公共预算支出表》</w:t>
      </w:r>
    </w:p>
    <w:p>
      <w:pPr>
        <w:pStyle w:val="2"/>
        <w:numPr>
          <w:ilvl w:val="0"/>
          <w:numId w:val="0"/>
        </w:numPr>
        <w:ind w:leftChars="0"/>
      </w:pPr>
      <w:r>
        <w:drawing>
          <wp:inline distT="0" distB="0" distL="114300" distR="114300">
            <wp:extent cx="6645275" cy="4391025"/>
            <wp:effectExtent l="0" t="0" r="3175" b="9525"/>
            <wp:docPr id="272" name="图片 2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2" name="图片 269"/>
                    <pic:cNvPicPr>
                      <a:picLocks noChangeAspect="1"/>
                    </pic:cNvPicPr>
                  </pic:nvPicPr>
                  <pic:blipFill>
                    <a:blip r:embed="rId9"/>
                    <a:stretch>
                      <a:fillRect/>
                    </a:stretch>
                  </pic:blipFill>
                  <pic:spPr>
                    <a:xfrm>
                      <a:off x="0" y="0"/>
                      <a:ext cx="6645275" cy="4391025"/>
                    </a:xfrm>
                    <a:prstGeom prst="rect">
                      <a:avLst/>
                    </a:prstGeom>
                    <a:noFill/>
                    <a:ln>
                      <a:noFill/>
                    </a:ln>
                  </pic:spPr>
                </pic:pic>
              </a:graphicData>
            </a:graphic>
          </wp:inline>
        </w:drawing>
      </w:r>
    </w:p>
    <w:p>
      <w:pPr>
        <w:pStyle w:val="2"/>
        <w:numPr>
          <w:ilvl w:val="0"/>
          <w:numId w:val="0"/>
        </w:numPr>
        <w:ind w:leftChars="0"/>
      </w:pPr>
    </w:p>
    <w:p>
      <w:pPr>
        <w:pStyle w:val="2"/>
        <w:numPr>
          <w:ilvl w:val="0"/>
          <w:numId w:val="0"/>
        </w:numPr>
        <w:ind w:leftChars="0"/>
      </w:pPr>
    </w:p>
    <w:p>
      <w:pPr>
        <w:pStyle w:val="2"/>
        <w:numPr>
          <w:ilvl w:val="0"/>
          <w:numId w:val="0"/>
        </w:numPr>
        <w:ind w:leftChars="0"/>
      </w:pPr>
    </w:p>
    <w:p>
      <w:pPr>
        <w:pStyle w:val="2"/>
        <w:numPr>
          <w:ilvl w:val="0"/>
          <w:numId w:val="0"/>
        </w:numPr>
        <w:ind w:leftChars="0"/>
      </w:pPr>
    </w:p>
    <w:p>
      <w:pPr>
        <w:pStyle w:val="2"/>
        <w:numPr>
          <w:ilvl w:val="0"/>
          <w:numId w:val="0"/>
        </w:numPr>
        <w:ind w:leftChars="0"/>
      </w:pPr>
    </w:p>
    <w:p>
      <w:pPr>
        <w:pStyle w:val="2"/>
        <w:numPr>
          <w:ilvl w:val="0"/>
          <w:numId w:val="0"/>
        </w:numPr>
        <w:ind w:leftChars="0"/>
      </w:pPr>
    </w:p>
    <w:p>
      <w:pPr>
        <w:pStyle w:val="2"/>
        <w:numPr>
          <w:ilvl w:val="0"/>
          <w:numId w:val="0"/>
        </w:numPr>
        <w:ind w:leftChars="0"/>
      </w:pPr>
    </w:p>
    <w:p>
      <w:pPr>
        <w:pStyle w:val="2"/>
        <w:numPr>
          <w:ilvl w:val="0"/>
          <w:numId w:val="0"/>
        </w:numPr>
        <w:ind w:leftChars="0"/>
      </w:pPr>
    </w:p>
    <w:p>
      <w:pPr>
        <w:pStyle w:val="2"/>
        <w:numPr>
          <w:ilvl w:val="0"/>
          <w:numId w:val="0"/>
        </w:numPr>
        <w:ind w:leftChars="0"/>
      </w:pPr>
    </w:p>
    <w:p>
      <w:pPr>
        <w:pStyle w:val="2"/>
        <w:numPr>
          <w:ilvl w:val="0"/>
          <w:numId w:val="0"/>
        </w:numPr>
        <w:ind w:leftChars="0"/>
      </w:pPr>
    </w:p>
    <w:p>
      <w:pPr>
        <w:pStyle w:val="2"/>
        <w:numPr>
          <w:ilvl w:val="0"/>
          <w:numId w:val="0"/>
        </w:numPr>
        <w:ind w:leftChars="0"/>
        <w:rPr>
          <w:rFonts w:hint="eastAsia"/>
        </w:rPr>
      </w:pPr>
    </w:p>
    <w:p>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left="0" w:leftChars="0" w:firstLine="0" w:firstLineChars="0"/>
        <w:textAlignment w:val="auto"/>
        <w:rPr>
          <w:rFonts w:hint="eastAsia" w:ascii="仿宋" w:hAnsi="仿宋" w:eastAsia="仿宋" w:cs="仿宋"/>
          <w:sz w:val="32"/>
          <w:szCs w:val="32"/>
        </w:rPr>
      </w:pPr>
      <w:r>
        <w:rPr>
          <w:rFonts w:hint="eastAsia" w:ascii="仿宋" w:hAnsi="仿宋" w:eastAsia="仿宋" w:cs="仿宋"/>
          <w:sz w:val="32"/>
          <w:szCs w:val="32"/>
        </w:rPr>
        <w:t>《一般公共预算基本支出表》</w:t>
      </w:r>
    </w:p>
    <w:p>
      <w:pPr>
        <w:pStyle w:val="2"/>
        <w:rPr>
          <w:rFonts w:hint="eastAsia"/>
        </w:rPr>
      </w:pPr>
      <w:r>
        <w:drawing>
          <wp:inline distT="0" distB="0" distL="114300" distR="114300">
            <wp:extent cx="6641465" cy="5036185"/>
            <wp:effectExtent l="0" t="0" r="6985" b="12065"/>
            <wp:docPr id="275" name="图片 2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5" name="图片 272"/>
                    <pic:cNvPicPr>
                      <a:picLocks noChangeAspect="1"/>
                    </pic:cNvPicPr>
                  </pic:nvPicPr>
                  <pic:blipFill>
                    <a:blip r:embed="rId10"/>
                    <a:stretch>
                      <a:fillRect/>
                    </a:stretch>
                  </pic:blipFill>
                  <pic:spPr>
                    <a:xfrm>
                      <a:off x="0" y="0"/>
                      <a:ext cx="6641465" cy="5036185"/>
                    </a:xfrm>
                    <a:prstGeom prst="rect">
                      <a:avLst/>
                    </a:prstGeom>
                    <a:noFill/>
                    <a:ln>
                      <a:noFill/>
                    </a:ln>
                  </pic:spPr>
                </pic:pic>
              </a:graphicData>
            </a:graphic>
          </wp:inline>
        </w:drawing>
      </w:r>
    </w:p>
    <w:p>
      <w:pPr>
        <w:pStyle w:val="2"/>
        <w:numPr>
          <w:ilvl w:val="0"/>
          <w:numId w:val="0"/>
        </w:numPr>
        <w:ind w:leftChars="0"/>
        <w:rPr>
          <w:rFonts w:hint="eastAsia"/>
        </w:rPr>
      </w:pPr>
    </w:p>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 w:hAnsi="仿宋" w:eastAsia="仿宋" w:cs="仿宋"/>
          <w:sz w:val="32"/>
          <w:szCs w:val="32"/>
          <w:lang w:val="en-US" w:eastAsia="zh-CN"/>
        </w:rPr>
        <w:sectPr>
          <w:pgSz w:w="11906" w:h="16838"/>
          <w:pgMar w:top="720" w:right="720" w:bottom="720" w:left="720" w:header="851" w:footer="992" w:gutter="0"/>
          <w:cols w:space="0" w:num="1"/>
          <w:docGrid w:type="lines" w:linePitch="322" w:charSpace="0"/>
        </w:sectPr>
      </w:pPr>
    </w:p>
    <w:p>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left="0" w:leftChars="0" w:firstLine="0" w:firstLineChars="0"/>
        <w:textAlignment w:val="auto"/>
        <w:rPr>
          <w:rFonts w:hint="eastAsia" w:ascii="仿宋" w:hAnsi="仿宋" w:eastAsia="仿宋" w:cs="仿宋"/>
          <w:sz w:val="32"/>
          <w:szCs w:val="32"/>
        </w:rPr>
      </w:pPr>
      <w:r>
        <w:rPr>
          <w:rFonts w:hint="eastAsia" w:ascii="仿宋" w:hAnsi="仿宋" w:eastAsia="仿宋" w:cs="仿宋"/>
          <w:sz w:val="32"/>
          <w:szCs w:val="32"/>
        </w:rPr>
        <w:t>《一般公共预算“三公”经费支出表》</w:t>
      </w:r>
    </w:p>
    <w:p>
      <w:pPr>
        <w:pStyle w:val="2"/>
        <w:numPr>
          <w:ilvl w:val="0"/>
          <w:numId w:val="0"/>
        </w:numPr>
        <w:ind w:leftChars="0"/>
      </w:pPr>
      <w:r>
        <w:drawing>
          <wp:inline distT="0" distB="0" distL="114300" distR="114300">
            <wp:extent cx="6645275" cy="1938020"/>
            <wp:effectExtent l="0" t="0" r="3175" b="5080"/>
            <wp:docPr id="282" name="图片 2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2" name="图片 279"/>
                    <pic:cNvPicPr>
                      <a:picLocks noChangeAspect="1"/>
                    </pic:cNvPicPr>
                  </pic:nvPicPr>
                  <pic:blipFill>
                    <a:blip r:embed="rId11"/>
                    <a:stretch>
                      <a:fillRect/>
                    </a:stretch>
                  </pic:blipFill>
                  <pic:spPr>
                    <a:xfrm>
                      <a:off x="0" y="0"/>
                      <a:ext cx="6645275" cy="1938020"/>
                    </a:xfrm>
                    <a:prstGeom prst="rect">
                      <a:avLst/>
                    </a:prstGeom>
                    <a:noFill/>
                    <a:ln>
                      <a:noFill/>
                    </a:ln>
                  </pic:spPr>
                </pic:pic>
              </a:graphicData>
            </a:graphic>
          </wp:inline>
        </w:drawing>
      </w:r>
    </w:p>
    <w:p>
      <w:pPr>
        <w:pStyle w:val="2"/>
        <w:numPr>
          <w:ilvl w:val="0"/>
          <w:numId w:val="0"/>
        </w:numPr>
        <w:ind w:leftChars="0"/>
      </w:pPr>
    </w:p>
    <w:p>
      <w:pPr>
        <w:pStyle w:val="2"/>
        <w:numPr>
          <w:ilvl w:val="0"/>
          <w:numId w:val="0"/>
        </w:numPr>
        <w:ind w:leftChars="0"/>
      </w:pPr>
    </w:p>
    <w:p>
      <w:pPr>
        <w:pStyle w:val="2"/>
        <w:numPr>
          <w:ilvl w:val="0"/>
          <w:numId w:val="0"/>
        </w:numPr>
        <w:ind w:leftChars="0"/>
      </w:pPr>
    </w:p>
    <w:p>
      <w:pPr>
        <w:pStyle w:val="2"/>
        <w:numPr>
          <w:ilvl w:val="0"/>
          <w:numId w:val="0"/>
        </w:numPr>
        <w:ind w:leftChars="0"/>
      </w:pPr>
    </w:p>
    <w:p>
      <w:pPr>
        <w:pStyle w:val="2"/>
        <w:numPr>
          <w:ilvl w:val="0"/>
          <w:numId w:val="0"/>
        </w:numPr>
        <w:ind w:leftChars="0"/>
      </w:pPr>
    </w:p>
    <w:p>
      <w:pPr>
        <w:pStyle w:val="2"/>
        <w:numPr>
          <w:ilvl w:val="0"/>
          <w:numId w:val="0"/>
        </w:numPr>
        <w:ind w:leftChars="0"/>
      </w:pPr>
    </w:p>
    <w:p>
      <w:pPr>
        <w:pStyle w:val="2"/>
        <w:numPr>
          <w:ilvl w:val="0"/>
          <w:numId w:val="0"/>
        </w:numPr>
        <w:ind w:leftChars="0"/>
      </w:pPr>
    </w:p>
    <w:p>
      <w:pPr>
        <w:pStyle w:val="2"/>
        <w:numPr>
          <w:ilvl w:val="0"/>
          <w:numId w:val="0"/>
        </w:numPr>
        <w:ind w:leftChars="0"/>
        <w:rPr>
          <w:rFonts w:hint="eastAsia"/>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 w:hAnsi="仿宋" w:eastAsia="仿宋" w:cs="仿宋"/>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 w:hAnsi="仿宋" w:eastAsia="仿宋" w:cs="仿宋"/>
          <w:sz w:val="32"/>
          <w:szCs w:val="32"/>
          <w:lang w:val="en-US" w:eastAsia="zh-CN"/>
        </w:rPr>
      </w:pPr>
      <w:r>
        <w:drawing>
          <wp:inline distT="0" distB="0" distL="114300" distR="114300">
            <wp:extent cx="6645275" cy="1938020"/>
            <wp:effectExtent l="0" t="0" r="3175" b="5080"/>
            <wp:docPr id="279" name="图片 2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9" name="图片 276"/>
                    <pic:cNvPicPr>
                      <a:picLocks noChangeAspect="1"/>
                    </pic:cNvPicPr>
                  </pic:nvPicPr>
                  <pic:blipFill>
                    <a:blip r:embed="rId11"/>
                    <a:stretch>
                      <a:fillRect/>
                    </a:stretch>
                  </pic:blipFill>
                  <pic:spPr>
                    <a:xfrm>
                      <a:off x="0" y="0"/>
                      <a:ext cx="6645275" cy="1938020"/>
                    </a:xfrm>
                    <a:prstGeom prst="rect">
                      <a:avLst/>
                    </a:prstGeom>
                    <a:noFill/>
                    <a:ln>
                      <a:noFill/>
                    </a:ln>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 w:hAnsi="仿宋" w:eastAsia="仿宋" w:cs="仿宋"/>
          <w:sz w:val="32"/>
          <w:szCs w:val="32"/>
          <w:lang w:val="en-US" w:eastAsia="zh-CN"/>
        </w:rPr>
      </w:pPr>
      <w:r>
        <w:drawing>
          <wp:inline distT="0" distB="0" distL="114300" distR="114300">
            <wp:extent cx="6645275" cy="1938020"/>
            <wp:effectExtent l="0" t="0" r="3175" b="5080"/>
            <wp:docPr id="280" name="图片 2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0" name="图片 277"/>
                    <pic:cNvPicPr>
                      <a:picLocks noChangeAspect="1"/>
                    </pic:cNvPicPr>
                  </pic:nvPicPr>
                  <pic:blipFill>
                    <a:blip r:embed="rId11"/>
                    <a:stretch>
                      <a:fillRect/>
                    </a:stretch>
                  </pic:blipFill>
                  <pic:spPr>
                    <a:xfrm>
                      <a:off x="0" y="0"/>
                      <a:ext cx="6645275" cy="1938020"/>
                    </a:xfrm>
                    <a:prstGeom prst="rect">
                      <a:avLst/>
                    </a:prstGeom>
                    <a:noFill/>
                    <a:ln>
                      <a:noFill/>
                    </a:ln>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 w:hAnsi="仿宋" w:eastAsia="仿宋" w:cs="仿宋"/>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 w:hAnsi="仿宋" w:eastAsia="仿宋" w:cs="仿宋"/>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 w:hAnsi="仿宋" w:eastAsia="仿宋" w:cs="仿宋"/>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 w:hAnsi="仿宋" w:eastAsia="仿宋" w:cs="仿宋"/>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 w:hAnsi="仿宋" w:eastAsia="仿宋" w:cs="仿宋"/>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 w:hAnsi="仿宋" w:eastAsia="仿宋" w:cs="仿宋"/>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 w:hAnsi="仿宋" w:eastAsia="仿宋" w:cs="仿宋"/>
          <w:sz w:val="32"/>
          <w:szCs w:val="32"/>
          <w:lang w:val="en-US" w:eastAsia="zh-CN"/>
        </w:rPr>
      </w:pPr>
    </w:p>
    <w:p>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left="0" w:leftChars="0" w:firstLine="0" w:firstLineChars="0"/>
        <w:textAlignment w:val="auto"/>
        <w:rPr>
          <w:rFonts w:hint="eastAsia" w:ascii="仿宋" w:hAnsi="仿宋" w:eastAsia="仿宋" w:cs="仿宋"/>
          <w:sz w:val="32"/>
          <w:szCs w:val="32"/>
        </w:rPr>
      </w:pPr>
      <w:r>
        <w:rPr>
          <w:rFonts w:hint="eastAsia" w:ascii="仿宋" w:hAnsi="仿宋" w:eastAsia="仿宋" w:cs="仿宋"/>
          <w:sz w:val="32"/>
          <w:szCs w:val="32"/>
        </w:rPr>
        <w:t>《政府性基金预算支出表》</w:t>
      </w:r>
    </w:p>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 w:hAnsi="仿宋" w:eastAsia="仿宋" w:cs="仿宋"/>
          <w:sz w:val="32"/>
          <w:szCs w:val="32"/>
          <w:lang w:val="en-US" w:eastAsia="zh-CN"/>
        </w:rPr>
      </w:pPr>
    </w:p>
    <w:p>
      <w:pPr>
        <w:pStyle w:val="2"/>
        <w:rPr>
          <w:rFonts w:hint="eastAsia"/>
          <w:lang w:val="en-US" w:eastAsia="zh-CN"/>
        </w:rPr>
      </w:pPr>
      <w:r>
        <w:drawing>
          <wp:inline distT="0" distB="0" distL="114300" distR="114300">
            <wp:extent cx="6640195" cy="1506855"/>
            <wp:effectExtent l="0" t="0" r="8255" b="17145"/>
            <wp:docPr id="284" name="图片 2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4" name="图片 281"/>
                    <pic:cNvPicPr>
                      <a:picLocks noChangeAspect="1"/>
                    </pic:cNvPicPr>
                  </pic:nvPicPr>
                  <pic:blipFill>
                    <a:blip r:embed="rId12"/>
                    <a:stretch>
                      <a:fillRect/>
                    </a:stretch>
                  </pic:blipFill>
                  <pic:spPr>
                    <a:xfrm>
                      <a:off x="0" y="0"/>
                      <a:ext cx="6640195" cy="1506855"/>
                    </a:xfrm>
                    <a:prstGeom prst="rect">
                      <a:avLst/>
                    </a:prstGeom>
                    <a:noFill/>
                    <a:ln>
                      <a:noFill/>
                    </a:ln>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 w:hAnsi="仿宋" w:eastAsia="仿宋" w:cs="仿宋"/>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 w:hAnsi="仿宋" w:eastAsia="仿宋" w:cs="仿宋"/>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 w:hAnsi="仿宋" w:eastAsia="仿宋" w:cs="仿宋"/>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 w:hAnsi="仿宋" w:eastAsia="仿宋" w:cs="仿宋"/>
          <w:sz w:val="32"/>
          <w:szCs w:val="32"/>
          <w:lang w:val="en-US" w:eastAsia="zh-CN"/>
        </w:rPr>
      </w:pPr>
    </w:p>
    <w:p>
      <w:pPr>
        <w:pStyle w:val="2"/>
        <w:rPr>
          <w:rFonts w:hint="eastAsia" w:ascii="仿宋" w:hAnsi="仿宋" w:eastAsia="仿宋" w:cs="仿宋"/>
          <w:sz w:val="32"/>
          <w:szCs w:val="32"/>
          <w:lang w:val="en-US" w:eastAsia="zh-CN"/>
        </w:rPr>
      </w:pPr>
    </w:p>
    <w:p>
      <w:pPr>
        <w:pStyle w:val="2"/>
        <w:rPr>
          <w:rFonts w:hint="eastAsia" w:ascii="仿宋" w:hAnsi="仿宋" w:eastAsia="仿宋" w:cs="仿宋"/>
          <w:sz w:val="32"/>
          <w:szCs w:val="32"/>
          <w:lang w:val="en-US" w:eastAsia="zh-CN"/>
        </w:rPr>
      </w:pPr>
    </w:p>
    <w:p>
      <w:pPr>
        <w:pStyle w:val="2"/>
        <w:rPr>
          <w:rFonts w:hint="eastAsia" w:ascii="仿宋" w:hAnsi="仿宋" w:eastAsia="仿宋" w:cs="仿宋"/>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 w:hAnsi="仿宋" w:eastAsia="仿宋" w:cs="仿宋"/>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 w:hAnsi="仿宋" w:eastAsia="仿宋" w:cs="仿宋"/>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 w:hAnsi="仿宋" w:eastAsia="仿宋" w:cs="仿宋"/>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 w:hAnsi="仿宋" w:eastAsia="仿宋" w:cs="仿宋"/>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 w:hAnsi="仿宋" w:eastAsia="仿宋" w:cs="仿宋"/>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 w:hAnsi="仿宋" w:eastAsia="仿宋" w:cs="仿宋"/>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 w:hAnsi="仿宋" w:eastAsia="仿宋" w:cs="仿宋"/>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 w:hAnsi="仿宋" w:eastAsia="仿宋" w:cs="仿宋"/>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 w:hAnsi="仿宋" w:eastAsia="仿宋" w:cs="仿宋"/>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 w:hAnsi="仿宋" w:eastAsia="仿宋" w:cs="仿宋"/>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 w:hAnsi="仿宋" w:eastAsia="仿宋" w:cs="仿宋"/>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 w:hAnsi="仿宋" w:eastAsia="仿宋" w:cs="仿宋"/>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 w:hAnsi="仿宋" w:eastAsia="仿宋" w:cs="仿宋"/>
          <w:sz w:val="32"/>
          <w:szCs w:val="32"/>
          <w:lang w:val="en-US" w:eastAsia="zh-CN"/>
        </w:rPr>
      </w:pPr>
      <w:r>
        <w:rPr>
          <w:rFonts w:hint="eastAsia" w:ascii="仿宋" w:hAnsi="仿宋" w:eastAsia="仿宋" w:cs="仿宋"/>
          <w:color w:val="auto"/>
          <w:sz w:val="32"/>
          <w:szCs w:val="32"/>
          <w:lang w:val="en-US" w:eastAsia="zh-CN"/>
        </w:rPr>
        <w:t>九、</w:t>
      </w: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国有资本经营预算支出表</w:t>
      </w:r>
      <w:r>
        <w:rPr>
          <w:rFonts w:hint="eastAsia" w:ascii="仿宋" w:hAnsi="仿宋" w:eastAsia="仿宋" w:cs="仿宋"/>
          <w:color w:val="auto"/>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 w:hAnsi="仿宋" w:eastAsia="仿宋" w:cs="仿宋"/>
          <w:sz w:val="32"/>
          <w:szCs w:val="32"/>
          <w:lang w:val="en-US" w:eastAsia="zh-CN"/>
        </w:rPr>
      </w:pPr>
    </w:p>
    <w:p>
      <w:pPr>
        <w:pStyle w:val="2"/>
        <w:rPr>
          <w:rFonts w:hint="eastAsia"/>
          <w:lang w:val="en-US" w:eastAsia="zh-CN"/>
        </w:rPr>
        <w:sectPr>
          <w:pgSz w:w="11906" w:h="16838"/>
          <w:pgMar w:top="720" w:right="720" w:bottom="720" w:left="720" w:header="851" w:footer="992" w:gutter="0"/>
          <w:cols w:space="0" w:num="1"/>
          <w:docGrid w:type="lines" w:linePitch="322" w:charSpace="0"/>
        </w:sectPr>
      </w:pPr>
      <w:r>
        <w:drawing>
          <wp:inline distT="0" distB="0" distL="114300" distR="114300">
            <wp:extent cx="6642735" cy="1477645"/>
            <wp:effectExtent l="0" t="0" r="5715" b="8255"/>
            <wp:docPr id="285" name="图片 2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5" name="图片 282"/>
                    <pic:cNvPicPr>
                      <a:picLocks noChangeAspect="1"/>
                    </pic:cNvPicPr>
                  </pic:nvPicPr>
                  <pic:blipFill>
                    <a:blip r:embed="rId13"/>
                    <a:stretch>
                      <a:fillRect/>
                    </a:stretch>
                  </pic:blipFill>
                  <pic:spPr>
                    <a:xfrm>
                      <a:off x="0" y="0"/>
                      <a:ext cx="6642735" cy="1477645"/>
                    </a:xfrm>
                    <a:prstGeom prst="rect">
                      <a:avLst/>
                    </a:prstGeom>
                    <a:noFill/>
                    <a:ln>
                      <a:noFill/>
                    </a:ln>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textAlignment w:val="auto"/>
        <w:rPr>
          <w:rFonts w:hint="eastAsia" w:ascii="仿宋" w:hAnsi="仿宋" w:eastAsia="仿宋" w:cs="仿宋"/>
          <w:sz w:val="32"/>
          <w:szCs w:val="32"/>
        </w:rPr>
      </w:pPr>
      <w:r>
        <w:rPr>
          <w:rFonts w:hint="eastAsia" w:ascii="仿宋" w:hAnsi="仿宋" w:eastAsia="仿宋" w:cs="仿宋"/>
          <w:sz w:val="32"/>
          <w:szCs w:val="32"/>
          <w:lang w:eastAsia="zh-CN"/>
        </w:rPr>
        <w:t>十、</w:t>
      </w:r>
      <w:r>
        <w:rPr>
          <w:rFonts w:hint="eastAsia" w:ascii="仿宋" w:hAnsi="仿宋" w:eastAsia="仿宋" w:cs="仿宋"/>
          <w:sz w:val="32"/>
          <w:szCs w:val="32"/>
        </w:rPr>
        <w:t>《项目支出绩效目标表》</w:t>
      </w:r>
    </w:p>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 w:hAnsi="仿宋" w:eastAsia="仿宋" w:cs="仿宋"/>
          <w:sz w:val="32"/>
          <w:szCs w:val="32"/>
        </w:rPr>
      </w:pPr>
    </w:p>
    <w:p>
      <w:pPr>
        <w:pStyle w:val="2"/>
        <w:rPr>
          <w:rFonts w:hint="eastAsia"/>
        </w:rPr>
      </w:pPr>
      <w:r>
        <w:drawing>
          <wp:inline distT="0" distB="0" distL="114300" distR="114300">
            <wp:extent cx="5436870" cy="3097530"/>
            <wp:effectExtent l="0" t="0" r="11430" b="7620"/>
            <wp:docPr id="289" name="图片 2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9" name="图片 286"/>
                    <pic:cNvPicPr>
                      <a:picLocks noChangeAspect="1"/>
                    </pic:cNvPicPr>
                  </pic:nvPicPr>
                  <pic:blipFill>
                    <a:blip r:embed="rId14"/>
                    <a:stretch>
                      <a:fillRect/>
                    </a:stretch>
                  </pic:blipFill>
                  <pic:spPr>
                    <a:xfrm>
                      <a:off x="0" y="0"/>
                      <a:ext cx="5436870" cy="3097530"/>
                    </a:xfrm>
                    <a:prstGeom prst="rect">
                      <a:avLst/>
                    </a:prstGeom>
                    <a:noFill/>
                    <a:ln>
                      <a:noFill/>
                    </a:ln>
                  </pic:spPr>
                </pic:pic>
              </a:graphicData>
            </a:graphic>
          </wp:inline>
        </w:drawing>
      </w:r>
    </w:p>
    <w:p>
      <w:pPr>
        <w:pStyle w:val="2"/>
        <w:numPr>
          <w:ilvl w:val="0"/>
          <w:numId w:val="0"/>
        </w:numPr>
        <w:ind w:leftChars="0"/>
        <w:rPr>
          <w:rFonts w:hint="eastAsia"/>
        </w:rPr>
      </w:pPr>
    </w:p>
    <w:p>
      <w:pPr>
        <w:pStyle w:val="2"/>
        <w:ind w:firstLine="960" w:firstLineChars="300"/>
        <w:rPr>
          <w:rFonts w:hint="eastAsia" w:eastAsia="仿宋"/>
          <w:lang w:eastAsia="zh-CN"/>
        </w:rPr>
      </w:pPr>
    </w:p>
    <w:p>
      <w:pPr>
        <w:pStyle w:val="2"/>
        <w:numPr>
          <w:ilvl w:val="0"/>
          <w:numId w:val="0"/>
        </w:numPr>
        <w:ind w:leftChars="0"/>
        <w:rPr>
          <w:rFonts w:hint="eastAsia"/>
        </w:rPr>
      </w:pPr>
    </w:p>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eastAsia" w:ascii="仿宋" w:hAnsi="仿宋" w:eastAsia="仿宋" w:cs="仿宋"/>
          <w:sz w:val="32"/>
          <w:szCs w:val="32"/>
          <w:lang w:val="en-US" w:eastAsia="zh-CN"/>
        </w:rPr>
      </w:pPr>
    </w:p>
    <w:p>
      <w:pPr>
        <w:pStyle w:val="2"/>
        <w:rPr>
          <w:rFonts w:hint="eastAsia" w:ascii="仿宋" w:hAnsi="仿宋" w:eastAsia="仿宋" w:cs="仿宋"/>
          <w:sz w:val="32"/>
          <w:szCs w:val="32"/>
          <w:lang w:val="en-US" w:eastAsia="zh-CN"/>
        </w:rPr>
      </w:pPr>
    </w:p>
    <w:p>
      <w:pPr>
        <w:pStyle w:val="2"/>
        <w:rPr>
          <w:rFonts w:hint="eastAsia" w:ascii="仿宋" w:hAnsi="仿宋" w:eastAsia="仿宋" w:cs="仿宋"/>
          <w:sz w:val="32"/>
          <w:szCs w:val="32"/>
          <w:lang w:val="en-US" w:eastAsia="zh-CN"/>
        </w:rPr>
      </w:pPr>
    </w:p>
    <w:p>
      <w:pPr>
        <w:pStyle w:val="2"/>
        <w:rPr>
          <w:rFonts w:hint="eastAsia" w:ascii="仿宋" w:hAnsi="仿宋" w:eastAsia="仿宋" w:cs="仿宋"/>
          <w:sz w:val="32"/>
          <w:szCs w:val="32"/>
          <w:lang w:val="en-US" w:eastAsia="zh-CN"/>
        </w:rPr>
      </w:pPr>
    </w:p>
    <w:p>
      <w:pPr>
        <w:pStyle w:val="2"/>
        <w:rPr>
          <w:rFonts w:hint="eastAsia" w:ascii="仿宋" w:hAnsi="仿宋" w:eastAsia="仿宋" w:cs="仿宋"/>
          <w:sz w:val="32"/>
          <w:szCs w:val="32"/>
          <w:lang w:val="en-US" w:eastAsia="zh-CN"/>
        </w:rPr>
      </w:pPr>
    </w:p>
    <w:p>
      <w:pPr>
        <w:pStyle w:val="2"/>
        <w:rPr>
          <w:rFonts w:hint="eastAsia" w:ascii="仿宋" w:hAnsi="仿宋" w:eastAsia="仿宋" w:cs="仿宋"/>
          <w:sz w:val="32"/>
          <w:szCs w:val="32"/>
          <w:lang w:val="en-US" w:eastAsia="zh-CN"/>
        </w:rPr>
      </w:pPr>
    </w:p>
    <w:p>
      <w:pPr>
        <w:spacing w:line="560" w:lineRule="exact"/>
        <w:ind w:firstLine="0" w:firstLineChars="0"/>
        <w:jc w:val="center"/>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 xml:space="preserve">   </w:t>
      </w:r>
    </w:p>
    <w:p>
      <w:pPr>
        <w:spacing w:line="560" w:lineRule="exact"/>
        <w:ind w:firstLine="0" w:firstLineChars="0"/>
        <w:jc w:val="center"/>
        <w:rPr>
          <w:rFonts w:hint="eastAsia" w:ascii="黑体" w:hAnsi="黑体" w:eastAsia="黑体" w:cs="黑体"/>
          <w:b w:val="0"/>
          <w:bCs w:val="0"/>
          <w:sz w:val="32"/>
          <w:szCs w:val="32"/>
          <w:lang w:val="en-US" w:eastAsia="zh-CN"/>
        </w:rPr>
      </w:pPr>
    </w:p>
    <w:p>
      <w:pPr>
        <w:spacing w:line="560" w:lineRule="exact"/>
        <w:ind w:firstLine="0" w:firstLineChars="0"/>
        <w:jc w:val="center"/>
        <w:rPr>
          <w:rFonts w:hint="eastAsia" w:ascii="黑体" w:hAnsi="黑体" w:eastAsia="黑体" w:cs="黑体"/>
          <w:b w:val="0"/>
          <w:bCs w:val="0"/>
          <w:sz w:val="32"/>
          <w:szCs w:val="32"/>
          <w:lang w:val="en-US" w:eastAsia="zh-CN"/>
        </w:rPr>
      </w:pPr>
    </w:p>
    <w:p>
      <w:pPr>
        <w:spacing w:line="560" w:lineRule="exact"/>
        <w:ind w:firstLine="0" w:firstLineChars="0"/>
        <w:jc w:val="center"/>
        <w:rPr>
          <w:rFonts w:hint="eastAsia" w:ascii="黑体" w:hAnsi="黑体" w:eastAsia="黑体" w:cs="黑体"/>
          <w:b w:val="0"/>
          <w:bCs w:val="0"/>
          <w:sz w:val="32"/>
          <w:szCs w:val="32"/>
          <w:lang w:val="en-US" w:eastAsia="zh-CN"/>
        </w:rPr>
      </w:pPr>
    </w:p>
    <w:p>
      <w:pPr>
        <w:spacing w:line="560" w:lineRule="exact"/>
        <w:ind w:firstLine="0" w:firstLineChars="0"/>
        <w:jc w:val="center"/>
        <w:rPr>
          <w:rFonts w:hint="eastAsia" w:ascii="黑体" w:hAnsi="黑体" w:eastAsia="黑体" w:cs="黑体"/>
          <w:b w:val="0"/>
          <w:bCs w:val="0"/>
          <w:sz w:val="32"/>
          <w:szCs w:val="32"/>
          <w:lang w:val="en-US" w:eastAsia="zh-CN"/>
        </w:rPr>
      </w:pPr>
    </w:p>
    <w:p>
      <w:pPr>
        <w:spacing w:line="560" w:lineRule="exact"/>
        <w:ind w:firstLine="0" w:firstLineChars="0"/>
        <w:jc w:val="center"/>
        <w:rPr>
          <w:rFonts w:hint="eastAsia" w:ascii="黑体" w:hAnsi="黑体" w:eastAsia="黑体" w:cs="黑体"/>
          <w:b w:val="0"/>
          <w:bCs w:val="0"/>
          <w:sz w:val="32"/>
          <w:szCs w:val="32"/>
          <w:lang w:val="en-US" w:eastAsia="zh-CN"/>
        </w:rPr>
      </w:pPr>
    </w:p>
    <w:p>
      <w:pPr>
        <w:spacing w:line="560" w:lineRule="exact"/>
        <w:ind w:firstLine="0" w:firstLineChars="0"/>
        <w:jc w:val="center"/>
        <w:rPr>
          <w:rFonts w:hint="eastAsia" w:ascii="黑体" w:hAnsi="黑体" w:eastAsia="黑体" w:cs="黑体"/>
          <w:b w:val="0"/>
          <w:bCs w:val="0"/>
          <w:sz w:val="32"/>
          <w:szCs w:val="32"/>
          <w:lang w:val="en-US" w:eastAsia="zh-CN"/>
        </w:rPr>
      </w:pPr>
    </w:p>
    <w:p>
      <w:pPr>
        <w:spacing w:line="560" w:lineRule="exact"/>
        <w:ind w:firstLine="0" w:firstLineChars="0"/>
        <w:jc w:val="center"/>
        <w:rPr>
          <w:rFonts w:hint="eastAsia" w:ascii="黑体" w:hAnsi="黑体" w:eastAsia="黑体" w:cs="黑体"/>
          <w:b w:val="0"/>
          <w:bCs w:val="0"/>
          <w:sz w:val="32"/>
          <w:szCs w:val="32"/>
          <w:lang w:val="en-US" w:eastAsia="zh-CN"/>
        </w:rPr>
      </w:pPr>
    </w:p>
    <w:p>
      <w:pPr>
        <w:spacing w:line="560" w:lineRule="exact"/>
        <w:ind w:firstLine="0" w:firstLineChars="0"/>
        <w:jc w:val="center"/>
        <w:rPr>
          <w:rFonts w:hint="eastAsia" w:ascii="黑体" w:hAnsi="黑体" w:eastAsia="黑体" w:cs="黑体"/>
          <w:b w:val="0"/>
          <w:bCs w:val="0"/>
          <w:sz w:val="32"/>
          <w:szCs w:val="32"/>
        </w:rPr>
      </w:pPr>
      <w:r>
        <w:rPr>
          <w:rFonts w:hint="eastAsia" w:ascii="黑体" w:hAnsi="黑体" w:eastAsia="黑体" w:cs="黑体"/>
          <w:b w:val="0"/>
          <w:bCs w:val="0"/>
          <w:sz w:val="32"/>
          <w:szCs w:val="32"/>
        </w:rPr>
        <w:t>第四部分</w:t>
      </w:r>
      <w:r>
        <w:rPr>
          <w:rFonts w:hint="eastAsia" w:ascii="黑体" w:hAnsi="黑体" w:eastAsia="黑体" w:cs="黑体"/>
          <w:b w:val="0"/>
          <w:bCs w:val="0"/>
          <w:sz w:val="32"/>
          <w:szCs w:val="32"/>
          <w:lang w:val="en-US" w:eastAsia="zh-CN"/>
        </w:rPr>
        <w:t xml:space="preserve"> </w:t>
      </w:r>
      <w:r>
        <w:rPr>
          <w:rFonts w:hint="eastAsia" w:ascii="黑体" w:hAnsi="黑体" w:eastAsia="黑体" w:cs="黑体"/>
          <w:b w:val="0"/>
          <w:bCs w:val="0"/>
          <w:sz w:val="32"/>
          <w:szCs w:val="32"/>
        </w:rPr>
        <w:t>名词解释</w:t>
      </w:r>
    </w:p>
    <w:p>
      <w:pPr>
        <w:spacing w:line="560" w:lineRule="exact"/>
        <w:ind w:firstLine="604" w:firstLineChars="189"/>
        <w:jc w:val="center"/>
        <w:rPr>
          <w:rFonts w:ascii="仿宋" w:hAnsi="仿宋" w:eastAsia="仿宋" w:cs="仿宋"/>
          <w:sz w:val="32"/>
          <w:szCs w:val="32"/>
        </w:rPr>
      </w:pPr>
    </w:p>
    <w:p>
      <w:pPr>
        <w:keepNext w:val="0"/>
        <w:keepLines w:val="0"/>
        <w:pageBreakBefore w:val="0"/>
        <w:widowControl w:val="0"/>
        <w:kinsoku/>
        <w:wordWrap/>
        <w:overflowPunct/>
        <w:topLinePunct w:val="0"/>
        <w:autoSpaceDE/>
        <w:autoSpaceDN/>
        <w:bidi w:val="0"/>
        <w:adjustRightInd/>
        <w:snapToGrid/>
        <w:spacing w:line="500" w:lineRule="exact"/>
        <w:ind w:firstLine="643" w:firstLineChars="200"/>
        <w:textAlignment w:val="auto"/>
        <w:rPr>
          <w:rFonts w:hint="eastAsia" w:ascii="楷体" w:hAnsi="楷体" w:eastAsia="楷体" w:cs="楷体"/>
          <w:b/>
          <w:bCs/>
          <w:sz w:val="32"/>
          <w:szCs w:val="32"/>
        </w:rPr>
      </w:pPr>
      <w:r>
        <w:rPr>
          <w:rFonts w:hint="eastAsia" w:ascii="楷体" w:hAnsi="楷体" w:eastAsia="楷体" w:cs="楷体"/>
          <w:b/>
          <w:bCs/>
          <w:sz w:val="32"/>
          <w:szCs w:val="32"/>
        </w:rPr>
        <w:t>一、收入科目</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（一）财政拨款：指县本级财政当年拨付的资金。</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（二）事业收入：指事业单位开展专业业务活动及辅助活动取得的收入。</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（三）事业单位经营收入：指事业单位在专业业务活动及辅助活动之外开展非独立核算经营活动取得的收入。</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（四）其他收入：指除财政拨款、事业收入、事业单位经营收入等以外的各项收入。</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（五）附属单位上缴收入：反映事业单位附属的独立核算单位按规定标准或比例缴纳的各项收入。包括附属的事业单位上缴的收入和附属的企业上缴的利润等。</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（六）上级补助收入：反映事业单位从主管部门和上级单位取得的非财政补助收入。</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（七）使用非财政拨款结余：填列历年滚存的非限定用途的非统计财政拨款结余弥补</w:t>
      </w:r>
      <w:r>
        <w:rPr>
          <w:rFonts w:hint="eastAsia" w:ascii="仿宋" w:hAnsi="仿宋" w:eastAsia="仿宋" w:cs="仿宋"/>
          <w:sz w:val="32"/>
          <w:szCs w:val="32"/>
          <w:lang w:val="en-US" w:eastAsia="zh-CN"/>
        </w:rPr>
        <w:t>2021</w:t>
      </w:r>
      <w:r>
        <w:rPr>
          <w:rFonts w:hint="eastAsia" w:ascii="仿宋" w:hAnsi="仿宋" w:eastAsia="仿宋" w:cs="仿宋"/>
          <w:sz w:val="32"/>
          <w:szCs w:val="32"/>
        </w:rPr>
        <w:t>年收支差额的数额。</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（八）上年结转和结余：填列</w:t>
      </w:r>
      <w:r>
        <w:rPr>
          <w:rFonts w:hint="eastAsia" w:ascii="仿宋" w:hAnsi="仿宋" w:eastAsia="仿宋" w:cs="仿宋"/>
          <w:sz w:val="32"/>
          <w:szCs w:val="32"/>
          <w:lang w:val="en-US" w:eastAsia="zh-CN"/>
        </w:rPr>
        <w:t>2021</w:t>
      </w:r>
      <w:r>
        <w:rPr>
          <w:rFonts w:hint="eastAsia" w:ascii="仿宋" w:hAnsi="仿宋" w:eastAsia="仿宋" w:cs="仿宋"/>
          <w:sz w:val="32"/>
          <w:szCs w:val="32"/>
        </w:rPr>
        <w:t>年全部结转和结余的资金数，包括当年结转结余资金和历年滚存结转结余资金。</w:t>
      </w:r>
    </w:p>
    <w:p>
      <w:pPr>
        <w:keepNext w:val="0"/>
        <w:keepLines w:val="0"/>
        <w:pageBreakBefore w:val="0"/>
        <w:widowControl w:val="0"/>
        <w:kinsoku/>
        <w:wordWrap/>
        <w:overflowPunct/>
        <w:topLinePunct w:val="0"/>
        <w:autoSpaceDE/>
        <w:autoSpaceDN/>
        <w:bidi w:val="0"/>
        <w:adjustRightInd/>
        <w:snapToGrid/>
        <w:spacing w:line="500" w:lineRule="exact"/>
        <w:ind w:firstLine="643" w:firstLineChars="200"/>
        <w:textAlignment w:val="auto"/>
        <w:rPr>
          <w:rFonts w:hint="eastAsia" w:ascii="楷体" w:hAnsi="楷体" w:eastAsia="楷体" w:cs="楷体"/>
          <w:b/>
          <w:bCs/>
          <w:sz w:val="32"/>
          <w:szCs w:val="32"/>
        </w:rPr>
      </w:pPr>
      <w:r>
        <w:rPr>
          <w:rFonts w:hint="eastAsia" w:ascii="楷体" w:hAnsi="楷体" w:eastAsia="楷体" w:cs="楷体"/>
          <w:b/>
          <w:bCs/>
          <w:sz w:val="32"/>
          <w:szCs w:val="32"/>
        </w:rPr>
        <w:t>二、支出科目</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（一）行政运行：反映行政单位（事业单位）的基本支出。</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（二）</w:t>
      </w:r>
      <w:r>
        <w:rPr>
          <w:rFonts w:hint="eastAsia" w:ascii="仿宋" w:hAnsi="仿宋" w:eastAsia="仿宋" w:cs="仿宋"/>
          <w:sz w:val="32"/>
          <w:szCs w:val="32"/>
          <w:lang w:val="en-US" w:eastAsia="zh-CN"/>
        </w:rPr>
        <w:t>公共卫生（款）基本公共卫生服务（项）：反映在开展基本公共卫生服务方面支出。</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（三）机关事业单位基本养老保险缴费支出：反映机关事业单位实施养老保险制度由单位缴纳的基本养老保险费的支出。</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rPr>
        <w:t>（四）</w:t>
      </w:r>
      <w:r>
        <w:rPr>
          <w:rFonts w:hint="eastAsia" w:ascii="仿宋" w:hAnsi="仿宋" w:eastAsia="仿宋" w:cs="仿宋"/>
          <w:sz w:val="32"/>
          <w:szCs w:val="32"/>
          <w:lang w:val="en-US" w:eastAsia="zh-CN"/>
        </w:rPr>
        <w:t>医疗卫生健康管理事务：反映行政运行、一般行政管理实务等基本支出及其他项目支出。</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（五）事业单位医疗：反映财政部门集中安排的事业单位基本医疗保险缴费经费。</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rPr>
        <w:t>（六）死亡抚恤：反映单位遗属人员生活补助。</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rPr>
      </w:pPr>
    </w:p>
    <w:sectPr>
      <w:pgSz w:w="11906" w:h="16838"/>
      <w:pgMar w:top="1440" w:right="1800" w:bottom="1440" w:left="1800" w:header="851" w:footer="992" w:gutter="0"/>
      <w:cols w:space="0" w:num="1"/>
      <w:docGrid w:type="lines" w:linePitch="32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黑体"/>
    <w:panose1 w:val="03000509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3"/>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asciiTheme="minorEastAsia" w:hAnsiTheme="minorEastAsia" w:eastAsiaTheme="minorEastAsia" w:cstheme="minorEastAsia"/>
                              <w:sz w:val="28"/>
                              <w:szCs w:val="28"/>
                            </w:rPr>
                            <w:t>13</w:t>
                          </w:r>
                          <w:r>
                            <w:rPr>
                              <w:rFonts w:hint="eastAsia" w:asciiTheme="minorEastAsia" w:hAnsiTheme="minorEastAsia" w:eastAsiaTheme="minorEastAsia" w:cstheme="minorEastAsia"/>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BrF8jICAABjBAAADgAAAAAAAAABACAAAAAfAQAAZHJzL2Uyb0RvYy54bWxQSwUG&#10;AAAAAAYABgBZAQAAwwUAAAAA&#10;">
              <v:fill on="f" focussize="0,0"/>
              <v:stroke on="f" weight="0.5pt"/>
              <v:imagedata o:title=""/>
              <o:lock v:ext="edit" aspectratio="f"/>
              <v:textbox inset="0mm,0mm,0mm,0mm" style="mso-fit-shape-to-text:t;">
                <w:txbxContent>
                  <w:p>
                    <w:pPr>
                      <w:pStyle w:val="3"/>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asciiTheme="minorEastAsia" w:hAnsiTheme="minorEastAsia" w:eastAsiaTheme="minorEastAsia" w:cstheme="minorEastAsia"/>
                        <w:sz w:val="28"/>
                        <w:szCs w:val="28"/>
                      </w:rPr>
                      <w:t>13</w:t>
                    </w:r>
                    <w:r>
                      <w:rPr>
                        <w:rFonts w:hint="eastAsia" w:asciiTheme="minorEastAsia" w:hAnsiTheme="minorEastAsia" w:eastAsiaTheme="minorEastAsia" w:cstheme="minorEastAsia"/>
                        <w:sz w:val="28"/>
                        <w:szCs w:val="28"/>
                      </w:rPr>
                      <w:fldChar w:fldCharType="end"/>
                    </w: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pPr>
                            <w:pStyle w:val="3"/>
                          </w:pPr>
                        </w:p>
                      </w:txbxContent>
                    </wps:txbx>
                    <wps:bodyPr wrap="none" lIns="0" tIns="0" rIns="0" bIns="0">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DOqXm5zwAAAAUBAAAPAAAAAAAAAAEAIAAAACIAAABkcnMvZG93&#10;bnJldi54bWxQSwECFAAUAAAACACHTuJAeN1sfdABAACnAwAADgAAAAAAAAABACAAAAAeAQAAZHJz&#10;L2Uyb0RvYy54bWxQSwUGAAAAAAYABgBZAQAAYAUAAAAA&#10;">
              <v:fill on="f" focussize="0,0"/>
              <v:stroke on="f"/>
              <v:imagedata o:title=""/>
              <o:lock v:ext="edit" aspectratio="f"/>
              <v:textbox inset="0mm,0mm,0mm,0mm" style="mso-fit-shape-to-text:t;">
                <w:txbxContent>
                  <w:p>
                    <w:pPr>
                      <w:pStyle w:val="3"/>
                    </w:pP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2EB756B"/>
    <w:multiLevelType w:val="singleLevel"/>
    <w:tmpl w:val="92EB756B"/>
    <w:lvl w:ilvl="0" w:tentative="0">
      <w:start w:val="1"/>
      <w:numFmt w:val="chineseCounting"/>
      <w:suff w:val="nothing"/>
      <w:lvlText w:val="%1、"/>
      <w:lvlJc w:val="left"/>
      <w:rPr>
        <w:rFonts w:hint="eastAsia"/>
      </w:rPr>
    </w:lvl>
  </w:abstractNum>
  <w:abstractNum w:abstractNumId="1">
    <w:nsid w:val="9CC7BDB1"/>
    <w:multiLevelType w:val="singleLevel"/>
    <w:tmpl w:val="9CC7BDB1"/>
    <w:lvl w:ilvl="0" w:tentative="0">
      <w:start w:val="3"/>
      <w:numFmt w:val="chineseCounting"/>
      <w:suff w:val="space"/>
      <w:lvlText w:val="第%1部分"/>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U0NzQ1ZTM4MTQ2NGEzOTlhYWRhMTFjYjJkYTI3MTIifQ=="/>
  </w:docVars>
  <w:rsids>
    <w:rsidRoot w:val="445E02C8"/>
    <w:rsid w:val="00BF706B"/>
    <w:rsid w:val="00E643B5"/>
    <w:rsid w:val="01DE1C84"/>
    <w:rsid w:val="034B0FFA"/>
    <w:rsid w:val="03C07382"/>
    <w:rsid w:val="04EE7A30"/>
    <w:rsid w:val="0523406D"/>
    <w:rsid w:val="078D52EA"/>
    <w:rsid w:val="092959CA"/>
    <w:rsid w:val="0AE4118F"/>
    <w:rsid w:val="0C526FE5"/>
    <w:rsid w:val="0DFE53E4"/>
    <w:rsid w:val="0EA563AA"/>
    <w:rsid w:val="0F7002E8"/>
    <w:rsid w:val="10C85AC8"/>
    <w:rsid w:val="11AE3270"/>
    <w:rsid w:val="12386C1C"/>
    <w:rsid w:val="135A40E0"/>
    <w:rsid w:val="14215C1B"/>
    <w:rsid w:val="14F275B8"/>
    <w:rsid w:val="17607F1E"/>
    <w:rsid w:val="18AF5EEB"/>
    <w:rsid w:val="19B7492C"/>
    <w:rsid w:val="19CF11C0"/>
    <w:rsid w:val="1B931E86"/>
    <w:rsid w:val="1D1130BF"/>
    <w:rsid w:val="20503FE2"/>
    <w:rsid w:val="211344BC"/>
    <w:rsid w:val="2116462E"/>
    <w:rsid w:val="22FF7A6F"/>
    <w:rsid w:val="26A76454"/>
    <w:rsid w:val="2A2D5627"/>
    <w:rsid w:val="2AFC4523"/>
    <w:rsid w:val="2B224AC4"/>
    <w:rsid w:val="2B6928A5"/>
    <w:rsid w:val="2BEC0654"/>
    <w:rsid w:val="2CD46C8F"/>
    <w:rsid w:val="2E262354"/>
    <w:rsid w:val="2E697FFC"/>
    <w:rsid w:val="2EE63ADF"/>
    <w:rsid w:val="2F080089"/>
    <w:rsid w:val="2F8B382D"/>
    <w:rsid w:val="307A2B1D"/>
    <w:rsid w:val="30D208DA"/>
    <w:rsid w:val="30F12E5E"/>
    <w:rsid w:val="310A4FEB"/>
    <w:rsid w:val="31DC2837"/>
    <w:rsid w:val="32607DFF"/>
    <w:rsid w:val="326D79FF"/>
    <w:rsid w:val="32B23FA0"/>
    <w:rsid w:val="32F10699"/>
    <w:rsid w:val="33026864"/>
    <w:rsid w:val="351A24E7"/>
    <w:rsid w:val="35222EAF"/>
    <w:rsid w:val="37A03513"/>
    <w:rsid w:val="381E3765"/>
    <w:rsid w:val="3A4013F4"/>
    <w:rsid w:val="3C447E49"/>
    <w:rsid w:val="3C9A3044"/>
    <w:rsid w:val="3D006F04"/>
    <w:rsid w:val="3D453E79"/>
    <w:rsid w:val="3DA367D7"/>
    <w:rsid w:val="3E8C7307"/>
    <w:rsid w:val="3EDE4585"/>
    <w:rsid w:val="3F5F2902"/>
    <w:rsid w:val="3F686816"/>
    <w:rsid w:val="3FA11972"/>
    <w:rsid w:val="3FA50E46"/>
    <w:rsid w:val="3FFE2FA6"/>
    <w:rsid w:val="40520D87"/>
    <w:rsid w:val="40D0614F"/>
    <w:rsid w:val="40E1219E"/>
    <w:rsid w:val="410510DF"/>
    <w:rsid w:val="42042555"/>
    <w:rsid w:val="42075341"/>
    <w:rsid w:val="425A6618"/>
    <w:rsid w:val="436037BB"/>
    <w:rsid w:val="43A22025"/>
    <w:rsid w:val="444F752C"/>
    <w:rsid w:val="445E02C8"/>
    <w:rsid w:val="45922818"/>
    <w:rsid w:val="46C832BD"/>
    <w:rsid w:val="49475FBE"/>
    <w:rsid w:val="4A8C1339"/>
    <w:rsid w:val="4DBC1E9C"/>
    <w:rsid w:val="50717134"/>
    <w:rsid w:val="51124031"/>
    <w:rsid w:val="52B44881"/>
    <w:rsid w:val="54C73E79"/>
    <w:rsid w:val="56C34335"/>
    <w:rsid w:val="57544F8D"/>
    <w:rsid w:val="57A777B2"/>
    <w:rsid w:val="588F1DB7"/>
    <w:rsid w:val="5AD92379"/>
    <w:rsid w:val="5BD40D92"/>
    <w:rsid w:val="5C2B705D"/>
    <w:rsid w:val="5C78796F"/>
    <w:rsid w:val="5CBD35D4"/>
    <w:rsid w:val="5DF747D9"/>
    <w:rsid w:val="5E133A75"/>
    <w:rsid w:val="5F104D06"/>
    <w:rsid w:val="5FFA32DC"/>
    <w:rsid w:val="603F0748"/>
    <w:rsid w:val="61D03591"/>
    <w:rsid w:val="68262975"/>
    <w:rsid w:val="69855479"/>
    <w:rsid w:val="69F12B0F"/>
    <w:rsid w:val="6AA75067"/>
    <w:rsid w:val="6BB34520"/>
    <w:rsid w:val="6C012EA0"/>
    <w:rsid w:val="70076BE8"/>
    <w:rsid w:val="706F0B3B"/>
    <w:rsid w:val="70AC050A"/>
    <w:rsid w:val="71724DA6"/>
    <w:rsid w:val="71BC2D71"/>
    <w:rsid w:val="72CB0858"/>
    <w:rsid w:val="732E6B82"/>
    <w:rsid w:val="73611738"/>
    <w:rsid w:val="73674E00"/>
    <w:rsid w:val="76426BCC"/>
    <w:rsid w:val="770A5E02"/>
    <w:rsid w:val="77B37656"/>
    <w:rsid w:val="7947223E"/>
    <w:rsid w:val="79554B34"/>
    <w:rsid w:val="796B643A"/>
    <w:rsid w:val="797124B2"/>
    <w:rsid w:val="7C376AA7"/>
    <w:rsid w:val="7E221091"/>
    <w:rsid w:val="7E851D4C"/>
    <w:rsid w:val="7F1A37E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1"/>
    <w:rPr>
      <w:rFonts w:ascii="仿宋_GB2312" w:hAnsi="仿宋_GB2312" w:eastAsia="仿宋_GB2312" w:cs="仿宋_GB2312"/>
      <w:sz w:val="32"/>
      <w:szCs w:val="32"/>
      <w:lang w:val="zh-CN" w:bidi="zh-CN"/>
    </w:rPr>
  </w:style>
  <w:style w:type="paragraph" w:styleId="3">
    <w:name w:val="footer"/>
    <w:basedOn w:val="1"/>
    <w:unhideWhenUsed/>
    <w:qFormat/>
    <w:uiPriority w:val="0"/>
    <w:pPr>
      <w:tabs>
        <w:tab w:val="center" w:pos="4153"/>
        <w:tab w:val="right" w:pos="8306"/>
      </w:tabs>
      <w:snapToGrid w:val="0"/>
      <w:jc w:val="left"/>
    </w:pPr>
    <w:rPr>
      <w:sz w:val="18"/>
      <w:szCs w:val="18"/>
    </w:rPr>
  </w:style>
  <w:style w:type="paragraph" w:styleId="4">
    <w:name w:val="Normal (Web)"/>
    <w:basedOn w:val="1"/>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24"/>
      <w:lang w:val="en-US" w:eastAsia="zh-CN" w:bidi="ar"/>
    </w:rPr>
  </w:style>
  <w:style w:type="character" w:customStyle="1" w:styleId="7">
    <w:name w:val="NormalCharacter"/>
    <w:semiHidden/>
    <w:qFormat/>
    <w:uiPriority w:val="99"/>
  </w:style>
</w:styles>
</file>

<file path=word/_rels/document.xml.rels><?xml version="1.0" encoding="UTF-8" standalone="yes"?>
<Relationships xmlns="http://schemas.openxmlformats.org/package/2006/relationships"><Relationship Id="rId9" Type="http://schemas.openxmlformats.org/officeDocument/2006/relationships/image" Target="media/image5.png"/><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image" Target="media/image10.png"/><Relationship Id="rId13" Type="http://schemas.openxmlformats.org/officeDocument/2006/relationships/image" Target="media/image9.png"/><Relationship Id="rId12" Type="http://schemas.openxmlformats.org/officeDocument/2006/relationships/image" Target="media/image8.png"/><Relationship Id="rId11" Type="http://schemas.openxmlformats.org/officeDocument/2006/relationships/image" Target="media/image7.png"/><Relationship Id="rId10" Type="http://schemas.openxmlformats.org/officeDocument/2006/relationships/image" Target="media/image6.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19</Pages>
  <Words>3707</Words>
  <Characters>4055</Characters>
  <Lines>0</Lines>
  <Paragraphs>0</Paragraphs>
  <TotalTime>1</TotalTime>
  <ScaleCrop>false</ScaleCrop>
  <LinksUpToDate>false</LinksUpToDate>
  <CharactersWithSpaces>4074</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2022-01-30T01:32:00Z</dcterms:created>
  <dc:creator>巫媛</dc:creator>
  <cp:lastModifiedBy>Administrator</cp:lastModifiedBy>
  <dcterms:modified xsi:type="dcterms:W3CDTF">2023-06-16T11:18:26Z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EB4D58D9F6F9498490E1001E51846D2D_13</vt:lpwstr>
  </property>
</Properties>
</file>