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兴国县江背镇卫生院2022年单位预算编制说明</w:t>
      </w: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pStyle w:val="2"/>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兴国县江背镇卫生院概况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兴国县江背镇卫生院预算情况说明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一、2022年单位预算收支情况说明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兴国县江背镇卫生院预算表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596" w:leftChars="284"/>
        <w:rPr>
          <w:rFonts w:ascii="仿宋" w:hAnsi="仿宋" w:eastAsia="仿宋" w:cs="仿宋"/>
          <w:sz w:val="32"/>
          <w:szCs w:val="32"/>
        </w:rPr>
      </w:pPr>
      <w:r>
        <w:rPr>
          <w:rFonts w:hint="eastAsia" w:ascii="仿宋" w:hAnsi="仿宋" w:eastAsia="仿宋" w:cs="仿宋"/>
          <w:sz w:val="32"/>
          <w:szCs w:val="32"/>
        </w:rPr>
        <w:t>二、《单位收入总表》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三、《单位支出总表》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十、《单位整体支出绩效目标表》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十一、《项目支出绩效目标表》</w:t>
      </w:r>
    </w:p>
    <w:p>
      <w:pPr>
        <w:spacing w:line="560" w:lineRule="exact"/>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兴国县江背镇卫生院单位概况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sz w:val="32"/>
          <w:szCs w:val="32"/>
        </w:rPr>
        <w:t>兴国县江背镇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应承担本镇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ind w:firstLine="640" w:firstLineChars="200"/>
        <w:rPr>
          <w:rFonts w:ascii="仿宋" w:hAnsi="仿宋" w:eastAsia="仿宋" w:cs="仿宋"/>
          <w:sz w:val="24"/>
        </w:rPr>
      </w:pPr>
      <w:r>
        <w:rPr>
          <w:rFonts w:hint="eastAsia" w:ascii="仿宋" w:hAnsi="仿宋" w:eastAsia="仿宋" w:cs="仿宋"/>
          <w:sz w:val="32"/>
          <w:szCs w:val="32"/>
        </w:rPr>
        <w:t>2022年兴国县江背镇卫生院</w:t>
      </w:r>
      <w:r>
        <w:rPr>
          <w:rFonts w:hint="eastAsia" w:ascii="仿宋" w:hAnsi="仿宋" w:eastAsia="仿宋"/>
          <w:sz w:val="32"/>
          <w:szCs w:val="32"/>
        </w:rPr>
        <w:t>内设科室</w:t>
      </w:r>
      <w:r>
        <w:rPr>
          <w:rFonts w:hint="eastAsia" w:ascii="仿宋" w:hAnsi="仿宋" w:eastAsia="仿宋" w:cs="Times New Roman"/>
          <w:kern w:val="0"/>
          <w:sz w:val="32"/>
          <w:szCs w:val="32"/>
          <w:u w:val="single"/>
        </w:rPr>
        <w:t>10</w:t>
      </w:r>
      <w:r>
        <w:rPr>
          <w:rFonts w:ascii="仿宋" w:hAnsi="仿宋" w:eastAsia="仿宋"/>
          <w:sz w:val="32"/>
          <w:szCs w:val="32"/>
        </w:rPr>
        <w:t>个，</w:t>
      </w:r>
      <w:r>
        <w:rPr>
          <w:rFonts w:hint="eastAsia" w:ascii="仿宋" w:hAnsi="仿宋" w:eastAsia="仿宋" w:cs="仿宋"/>
          <w:color w:val="000000"/>
          <w:sz w:val="32"/>
          <w:szCs w:val="32"/>
        </w:rPr>
        <w:t>包括：内外科、儿科、妇产科、B超室、收费室、护理组、中医馆、财务室、公卫科、办公室。</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u w:val="single"/>
        </w:rPr>
        <w:t>32</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u w:val="single"/>
        </w:rPr>
        <w:t>0</w:t>
      </w:r>
      <w:r>
        <w:rPr>
          <w:rFonts w:ascii="仿宋" w:hAnsi="仿宋" w:eastAsia="仿宋"/>
          <w:sz w:val="32"/>
          <w:szCs w:val="32"/>
        </w:rPr>
        <w:t>人,参照公务员管理的事业编制人数</w:t>
      </w:r>
      <w:r>
        <w:rPr>
          <w:rFonts w:hint="eastAsia" w:ascii="仿宋" w:hAnsi="仿宋" w:eastAsia="仿宋" w:cs="Times New Roman"/>
          <w:kern w:val="0"/>
          <w:sz w:val="32"/>
          <w:szCs w:val="32"/>
          <w:u w:val="single"/>
        </w:rPr>
        <w:t>0</w:t>
      </w:r>
      <w:r>
        <w:rPr>
          <w:rFonts w:ascii="仿宋" w:hAnsi="仿宋" w:eastAsia="仿宋"/>
          <w:sz w:val="32"/>
          <w:szCs w:val="32"/>
        </w:rPr>
        <w:t>人,</w:t>
      </w:r>
      <w:r>
        <w:rPr>
          <w:rFonts w:hint="eastAsia" w:ascii="仿宋" w:hAnsi="仿宋" w:eastAsia="仿宋" w:cs="仿宋"/>
          <w:color w:val="000000"/>
          <w:sz w:val="32"/>
          <w:szCs w:val="32"/>
        </w:rPr>
        <w:t>差额拨款事业编制人数</w:t>
      </w:r>
      <w:r>
        <w:rPr>
          <w:rFonts w:hint="eastAsia" w:ascii="仿宋" w:hAnsi="仿宋" w:eastAsia="仿宋" w:cs="仿宋"/>
          <w:color w:val="000000"/>
          <w:sz w:val="32"/>
          <w:szCs w:val="32"/>
          <w:u w:val="single"/>
        </w:rPr>
        <w:t>32</w:t>
      </w:r>
      <w:r>
        <w:rPr>
          <w:rFonts w:hint="eastAsia" w:ascii="仿宋" w:hAnsi="仿宋" w:eastAsia="仿宋" w:cs="仿宋"/>
          <w:color w:val="000000"/>
          <w:sz w:val="32"/>
          <w:szCs w:val="32"/>
        </w:rPr>
        <w:t>人,</w:t>
      </w:r>
      <w:r>
        <w:rPr>
          <w:rFonts w:ascii="仿宋" w:hAnsi="仿宋" w:eastAsia="仿宋"/>
          <w:sz w:val="32"/>
          <w:szCs w:val="32"/>
        </w:rPr>
        <w:t>自收自支编制人数</w:t>
      </w:r>
      <w:r>
        <w:rPr>
          <w:rFonts w:hint="eastAsia" w:ascii="仿宋" w:hAnsi="仿宋" w:eastAsia="仿宋"/>
          <w:sz w:val="32"/>
          <w:szCs w:val="32"/>
          <w:u w:val="single"/>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u w:val="single"/>
        </w:rPr>
        <w:t>32</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u w:val="single"/>
        </w:rPr>
        <w:t>32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u w:val="single"/>
        </w:rPr>
        <w:t>0</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u w:val="single"/>
        </w:rPr>
        <w:t>0</w:t>
      </w:r>
      <w:r>
        <w:rPr>
          <w:rFonts w:ascii="仿宋" w:hAnsi="仿宋" w:eastAsia="仿宋"/>
          <w:sz w:val="32"/>
          <w:szCs w:val="32"/>
        </w:rPr>
        <w:t>人,</w:t>
      </w:r>
      <w:r>
        <w:rPr>
          <w:rFonts w:hint="eastAsia" w:ascii="仿宋" w:hAnsi="仿宋" w:eastAsia="仿宋" w:cs="仿宋"/>
          <w:color w:val="000000"/>
          <w:sz w:val="32"/>
          <w:szCs w:val="32"/>
        </w:rPr>
        <w:t>差额拨款事业在职人数</w:t>
      </w:r>
      <w:r>
        <w:rPr>
          <w:rFonts w:hint="eastAsia" w:ascii="仿宋" w:hAnsi="仿宋" w:eastAsia="仿宋" w:cs="仿宋"/>
          <w:color w:val="000000"/>
          <w:sz w:val="32"/>
          <w:szCs w:val="32"/>
          <w:u w:val="single"/>
        </w:rPr>
        <w:t>32</w:t>
      </w:r>
      <w:r>
        <w:rPr>
          <w:rFonts w:hint="eastAsia" w:ascii="仿宋" w:hAnsi="仿宋" w:eastAsia="仿宋" w:cs="仿宋"/>
          <w:color w:val="000000"/>
          <w:sz w:val="32"/>
          <w:szCs w:val="32"/>
        </w:rPr>
        <w:t>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u w:val="single"/>
        </w:rPr>
        <w:t>0</w:t>
      </w:r>
      <w:r>
        <w:rPr>
          <w:rFonts w:ascii="仿宋" w:hAnsi="仿宋" w:eastAsia="仿宋"/>
          <w:sz w:val="32"/>
          <w:szCs w:val="32"/>
        </w:rPr>
        <w:t>人,退休人数小计</w:t>
      </w:r>
      <w:r>
        <w:rPr>
          <w:rFonts w:hint="eastAsia" w:ascii="仿宋" w:hAnsi="仿宋" w:eastAsia="仿宋" w:cs="Times New Roman"/>
          <w:kern w:val="0"/>
          <w:sz w:val="32"/>
          <w:szCs w:val="32"/>
          <w:u w:val="single"/>
        </w:rPr>
        <w:t>12</w:t>
      </w:r>
      <w:r>
        <w:rPr>
          <w:rFonts w:ascii="仿宋" w:hAnsi="仿宋" w:eastAsia="仿宋"/>
          <w:sz w:val="32"/>
          <w:szCs w:val="32"/>
        </w:rPr>
        <w:t>人,退职人员</w:t>
      </w:r>
      <w:r>
        <w:rPr>
          <w:rFonts w:hint="eastAsia" w:ascii="仿宋" w:hAnsi="仿宋" w:eastAsia="仿宋" w:cs="Times New Roman"/>
          <w:kern w:val="0"/>
          <w:sz w:val="32"/>
          <w:szCs w:val="32"/>
          <w:u w:val="single"/>
        </w:rPr>
        <w:t>0</w:t>
      </w:r>
      <w:r>
        <w:rPr>
          <w:rFonts w:ascii="仿宋" w:hAnsi="仿宋" w:eastAsia="仿宋"/>
          <w:sz w:val="32"/>
          <w:szCs w:val="32"/>
        </w:rPr>
        <w:t>人,遗属人数</w:t>
      </w:r>
      <w:r>
        <w:rPr>
          <w:rFonts w:hint="eastAsia" w:ascii="仿宋" w:hAnsi="仿宋" w:eastAsia="仿宋" w:cs="Times New Roman"/>
          <w:kern w:val="0"/>
          <w:sz w:val="32"/>
          <w:szCs w:val="32"/>
          <w:u w:val="single"/>
        </w:rPr>
        <w:t>2</w:t>
      </w:r>
      <w:r>
        <w:rPr>
          <w:rFonts w:ascii="仿宋" w:hAnsi="仿宋" w:eastAsia="仿宋"/>
          <w:sz w:val="32"/>
          <w:szCs w:val="32"/>
        </w:rPr>
        <w:t>人。</w:t>
      </w:r>
      <w:r>
        <w:fldChar w:fldCharType="end"/>
      </w:r>
    </w:p>
    <w:p>
      <w:pPr>
        <w:spacing w:line="560" w:lineRule="exact"/>
        <w:rPr>
          <w:rFonts w:ascii="仿宋" w:hAnsi="仿宋" w:eastAsia="仿宋" w:cs="仿宋"/>
          <w:sz w:val="32"/>
          <w:szCs w:val="32"/>
        </w:rPr>
      </w:pP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兴国县江背镇卫生院预算情况说明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一、2022年单位预算收支情况说明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color w:val="000000"/>
          <w:sz w:val="32"/>
          <w:szCs w:val="32"/>
        </w:rPr>
        <w:t>022年江背镇卫生院收入预算总额为947.07万元，</w:t>
      </w:r>
      <w:r>
        <w:rPr>
          <w:rFonts w:hint="eastAsia" w:ascii="仿宋" w:hAnsi="仿宋" w:eastAsia="仿宋" w:cs="仿宋"/>
          <w:sz w:val="32"/>
          <w:szCs w:val="32"/>
        </w:rPr>
        <w:t>较上年预算安排减少312.34万元，减少24.8%。增减变化主要原因是：人员减少。</w:t>
      </w:r>
    </w:p>
    <w:p>
      <w:pPr>
        <w:spacing w:line="560" w:lineRule="exact"/>
        <w:ind w:firstLine="640" w:firstLineChars="200"/>
        <w:rPr>
          <w:rFonts w:ascii="仿宋" w:hAnsi="仿宋" w:eastAsia="仿宋" w:cs="仿宋"/>
          <w:sz w:val="24"/>
        </w:rPr>
      </w:pPr>
      <w:r>
        <w:rPr>
          <w:rFonts w:hint="eastAsia" w:ascii="仿宋" w:hAnsi="仿宋" w:eastAsia="仿宋" w:cs="仿宋"/>
          <w:color w:val="000000"/>
          <w:sz w:val="32"/>
          <w:szCs w:val="32"/>
        </w:rPr>
        <w:t>具体为：财政拨款收入184.05万元，</w:t>
      </w:r>
      <w:r>
        <w:rPr>
          <w:rFonts w:hint="eastAsia" w:ascii="仿宋" w:hAnsi="仿宋" w:eastAsia="仿宋" w:cs="仿宋"/>
          <w:sz w:val="32"/>
          <w:szCs w:val="32"/>
        </w:rPr>
        <w:t>较上年预算安排减少12.95万元，</w:t>
      </w:r>
      <w:r>
        <w:rPr>
          <w:rFonts w:hint="eastAsia" w:ascii="仿宋" w:hAnsi="仿宋" w:eastAsia="仿宋" w:cs="仿宋"/>
          <w:color w:val="000000"/>
          <w:sz w:val="32"/>
          <w:szCs w:val="32"/>
        </w:rPr>
        <w:t>占收入预算总额的19.43%；事业收入763.02万元，</w:t>
      </w:r>
      <w:r>
        <w:rPr>
          <w:rFonts w:hint="eastAsia" w:ascii="仿宋" w:hAnsi="仿宋" w:eastAsia="仿宋" w:cs="仿宋"/>
          <w:sz w:val="32"/>
          <w:szCs w:val="32"/>
        </w:rPr>
        <w:t>较上年预算安排减少299.39万元，</w:t>
      </w:r>
      <w:r>
        <w:rPr>
          <w:rFonts w:hint="eastAsia" w:ascii="仿宋" w:hAnsi="仿宋" w:eastAsia="仿宋" w:cs="仿宋"/>
          <w:color w:val="000000"/>
          <w:sz w:val="32"/>
          <w:szCs w:val="32"/>
        </w:rPr>
        <w:t>占收入预算总额的80.57%。</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2022年江背镇卫生院支出预算总额为947.07万元，</w:t>
      </w:r>
      <w:r>
        <w:rPr>
          <w:rFonts w:hint="eastAsia" w:ascii="仿宋" w:hAnsi="仿宋" w:eastAsia="仿宋" w:cs="仿宋"/>
          <w:sz w:val="32"/>
          <w:szCs w:val="32"/>
        </w:rPr>
        <w:t>较上年预算安排减少312.34万元，减少24.8%。增减变化主要原因是：人员职工减少。</w:t>
      </w:r>
      <w:r>
        <w:rPr>
          <w:rFonts w:hint="eastAsia" w:ascii="仿宋" w:hAnsi="仿宋" w:eastAsia="仿宋" w:cs="仿宋"/>
          <w:color w:val="000000"/>
          <w:sz w:val="32"/>
          <w:szCs w:val="32"/>
        </w:rPr>
        <w:t>具体为：</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按支出项目类别及经济分类科目划分：基本支出947.07万元，较上年预算安排减少312.34万元，其中：工资福利支出184.05万元，较上年安排减少250.99万元，占预算总额的19.43%，商品和服务支出</w:t>
      </w:r>
      <w:r>
        <w:rPr>
          <w:rFonts w:hint="eastAsia" w:ascii="仿宋" w:hAnsi="仿宋" w:eastAsia="仿宋" w:cs="仿宋"/>
          <w:sz w:val="32"/>
          <w:szCs w:val="32"/>
        </w:rPr>
        <w:t>652.02</w:t>
      </w:r>
      <w:r>
        <w:rPr>
          <w:rFonts w:hint="eastAsia" w:ascii="仿宋" w:hAnsi="仿宋" w:eastAsia="仿宋" w:cs="仿宋"/>
          <w:color w:val="000000"/>
          <w:sz w:val="32"/>
          <w:szCs w:val="32"/>
        </w:rPr>
        <w:t>万元，较上年安排增加110.82万元，占预算总额的68.85%，对个人和家庭的补助0万元，较上年安排减少0.93万元，占预算总额的0%，资本性支出</w:t>
      </w:r>
      <w:r>
        <w:rPr>
          <w:rFonts w:hint="eastAsia" w:ascii="仿宋" w:hAnsi="仿宋" w:eastAsia="仿宋" w:cs="仿宋"/>
          <w:sz w:val="32"/>
          <w:szCs w:val="32"/>
        </w:rPr>
        <w:t>111</w:t>
      </w:r>
      <w:r>
        <w:rPr>
          <w:rFonts w:hint="eastAsia" w:ascii="仿宋" w:hAnsi="仿宋" w:eastAsia="仿宋" w:cs="仿宋"/>
          <w:color w:val="000000"/>
          <w:sz w:val="32"/>
          <w:szCs w:val="32"/>
        </w:rPr>
        <w:t>万元，较上年安排减少171.24万元，占预算总额的11.72%；项目支出0万元，较上年预算安排增加0万元，占预算总额的0%。</w:t>
      </w:r>
    </w:p>
    <w:p>
      <w:pPr>
        <w:pStyle w:val="2"/>
        <w:ind w:firstLine="640" w:firstLineChars="200"/>
        <w:rPr>
          <w:lang w:val="en-US" w:bidi="ar-SA"/>
        </w:rPr>
      </w:pPr>
      <w:r>
        <w:rPr>
          <w:rFonts w:hint="eastAsia"/>
          <w:lang w:val="en-US" w:bidi="ar-SA"/>
        </w:rPr>
        <w:t>按支出功能分类科目划分：机关事业单位基本养老保险缴费支出15.51万元，较上年预算安排减少12.08万元，占预算总额的1.64%；机关事业单位职业年金缴费支出7.76万元，较上年预算安排减少6.05万元，占预算总额的0.82%；住房保障支出9.36万元，较上年预算安排减少11.16万元，占预算总额的0.99%；乡镇卫生院907.23万元，较上年预算安排减少114.95万元，占预算总额的95.79%；事业单位医疗7.2万元，较上年预算安排减少8.17万元，占预算总额的0.76%。</w:t>
      </w:r>
    </w:p>
    <w:p>
      <w:pPr>
        <w:pStyle w:val="2"/>
        <w:ind w:firstLine="643" w:firstLineChars="200"/>
        <w:rPr>
          <w:rFonts w:ascii="仿宋" w:hAnsi="仿宋" w:eastAsia="仿宋" w:cs="仿宋"/>
          <w:b/>
          <w:bCs/>
        </w:rPr>
      </w:pPr>
      <w:r>
        <w:rPr>
          <w:rFonts w:hint="eastAsia" w:ascii="仿宋" w:hAnsi="仿宋" w:eastAsia="仿宋" w:cs="仿宋"/>
          <w:b/>
          <w:bCs/>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2022年江背镇卫生院财政拨款（补助）支出预算184.05万元，占本年支出预算总额的19.43%，</w:t>
      </w:r>
      <w:r>
        <w:rPr>
          <w:rFonts w:hint="eastAsia" w:ascii="仿宋" w:hAnsi="仿宋" w:eastAsia="仿宋" w:cs="仿宋"/>
          <w:sz w:val="32"/>
          <w:szCs w:val="32"/>
        </w:rPr>
        <w:t>较上年预算安排减少12.95万元，减少6.57%。增减变化主要原因是：人员职工减少。</w:t>
      </w:r>
      <w:r>
        <w:rPr>
          <w:rFonts w:hint="eastAsia" w:ascii="仿宋" w:hAnsi="仿宋" w:eastAsia="仿宋" w:cs="仿宋"/>
          <w:color w:val="000000"/>
          <w:sz w:val="32"/>
          <w:szCs w:val="32"/>
        </w:rPr>
        <w:t>具体为：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sz w:val="32"/>
          <w:szCs w:val="32"/>
        </w:rPr>
      </w:pPr>
      <w:r>
        <w:rPr>
          <w:rFonts w:hint="eastAsia" w:ascii="仿宋" w:hAnsi="仿宋" w:eastAsia="仿宋" w:cs="仿宋"/>
          <w:color w:val="000000"/>
          <w:sz w:val="32"/>
          <w:szCs w:val="32"/>
        </w:rPr>
        <w:t>按支出经济分类科目划分：基本支出184.05万元</w:t>
      </w:r>
      <w:r>
        <w:rPr>
          <w:rFonts w:hint="eastAsia" w:ascii="仿宋" w:hAnsi="仿宋" w:eastAsia="仿宋" w:cs="仿宋"/>
          <w:sz w:val="32"/>
          <w:szCs w:val="32"/>
        </w:rPr>
        <w:t>，较上年预算安排减少12.95万元，其中：工资福利支出184.05万元，较上年预算安排减少12.95万元，占财政拨款总额的100%。；项目支出0万元，较上年预算安排增加0万元，占财政拨款总额的0%。</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sz w:val="24"/>
        </w:rPr>
      </w:pPr>
      <w:r>
        <w:rPr>
          <w:rFonts w:hint="eastAsia" w:ascii="仿宋" w:hAnsi="仿宋" w:eastAsia="仿宋" w:cs="仿宋"/>
          <w:color w:val="000000"/>
          <w:sz w:val="32"/>
          <w:szCs w:val="32"/>
        </w:rPr>
        <w:t xml:space="preserve">  按支出功能分类科目划分：机关事业单位基本养老保险缴费支出15.51万元，较上年预算安排减少1.14万元，占财政拨款总额的8.43%；机关事业单位职业年金缴费支出7.76万元，较上年预算安排减少0.57万元，占财政拨款总额的4.22%；乡镇卫生院153.58万元，较上年预算安排减少11.17万元，占财政拨款总额的83.44%；事业单位医疗7.2万元，较上年预算安排减少0.07万元，占财政拨款总额的3.91%。</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24"/>
        </w:rPr>
      </w:pPr>
      <w:r>
        <w:rPr>
          <w:rFonts w:hint="eastAsia" w:ascii="仿宋" w:hAnsi="仿宋" w:eastAsia="仿宋" w:cs="仿宋"/>
          <w:sz w:val="32"/>
          <w:szCs w:val="32"/>
        </w:rPr>
        <w:t>2022年本单位无政府性基金预算拨款安排的支出。</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（五）国有资本经营情况</w:t>
      </w:r>
    </w:p>
    <w:p>
      <w:pPr>
        <w:spacing w:line="560" w:lineRule="exact"/>
        <w:ind w:firstLine="640" w:firstLineChars="200"/>
        <w:rPr>
          <w:rFonts w:ascii="仿宋" w:hAnsi="仿宋" w:eastAsia="仿宋" w:cs="仿宋"/>
          <w:sz w:val="24"/>
        </w:rPr>
      </w:pPr>
      <w:r>
        <w:rPr>
          <w:rFonts w:hint="eastAsia" w:ascii="仿宋" w:hAnsi="仿宋" w:eastAsia="仿宋" w:cs="仿宋"/>
          <w:sz w:val="32"/>
          <w:szCs w:val="32"/>
        </w:rPr>
        <w:t>2022年本单位国有资本经营支出预算为0万元，本单位无</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${page400644146.ds215660413_REP_BGT_T_HC1100002019_DXQ02_S_AMTGYZBJYYSZJ}</w:instrText>
      </w:r>
      <w:r>
        <w:rPr>
          <w:rFonts w:hint="eastAsia" w:ascii="仿宋" w:hAnsi="仿宋" w:eastAsia="仿宋" w:cs="仿宋"/>
          <w:sz w:val="32"/>
          <w:szCs w:val="32"/>
        </w:rPr>
        <w:fldChar w:fldCharType="end"/>
      </w:r>
      <w:r>
        <w:rPr>
          <w:rFonts w:hint="eastAsia" w:ascii="仿宋" w:hAnsi="仿宋" w:eastAsia="仿宋" w:cs="仿宋"/>
          <w:sz w:val="32"/>
          <w:szCs w:val="32"/>
        </w:rPr>
        <w:t>国有资本经营预算收入。</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2022年单位机关运行费预算</w:t>
      </w:r>
      <w:r>
        <w:rPr>
          <w:rFonts w:hint="eastAsia" w:ascii="仿宋" w:hAnsi="仿宋" w:eastAsia="仿宋" w:cs="仿宋"/>
          <w:sz w:val="32"/>
          <w:szCs w:val="32"/>
          <w:u w:val="single"/>
        </w:rPr>
        <w:t>0</w:t>
      </w:r>
      <w:r>
        <w:rPr>
          <w:rFonts w:hint="eastAsia" w:ascii="仿宋" w:hAnsi="仿宋" w:eastAsia="仿宋" w:cs="仿宋"/>
          <w:sz w:val="32"/>
          <w:szCs w:val="32"/>
        </w:rPr>
        <w:t>万元，比2021年(上一年度）预算增加（减少）</w:t>
      </w:r>
      <w:r>
        <w:rPr>
          <w:rFonts w:hint="eastAsia" w:ascii="仿宋" w:hAnsi="仿宋" w:eastAsia="仿宋" w:cs="仿宋"/>
          <w:sz w:val="32"/>
          <w:szCs w:val="32"/>
          <w:u w:val="single"/>
        </w:rPr>
        <w:t xml:space="preserve"> 0 </w:t>
      </w:r>
      <w:r>
        <w:rPr>
          <w:rFonts w:hint="eastAsia" w:ascii="仿宋" w:hAnsi="仿宋" w:eastAsia="仿宋" w:cs="仿宋"/>
          <w:sz w:val="32"/>
          <w:szCs w:val="32"/>
        </w:rPr>
        <w:t>万元，增长（下降）</w:t>
      </w:r>
      <w:r>
        <w:rPr>
          <w:rFonts w:hint="eastAsia" w:ascii="仿宋" w:hAnsi="仿宋" w:eastAsia="仿宋" w:cs="仿宋"/>
          <w:sz w:val="32"/>
          <w:szCs w:val="32"/>
          <w:u w:val="single"/>
        </w:rPr>
        <w:t xml:space="preserve">0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2022年单位政府采购总额</w:t>
      </w:r>
      <w:r>
        <w:rPr>
          <w:rFonts w:hint="eastAsia" w:ascii="仿宋" w:hAnsi="仿宋" w:eastAsia="仿宋" w:cs="仿宋"/>
          <w:sz w:val="32"/>
          <w:szCs w:val="32"/>
          <w:u w:val="single"/>
        </w:rPr>
        <w:t xml:space="preserve">  111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111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截至2021年12月31日本单位共有车辆</w:t>
      </w:r>
      <w:r>
        <w:rPr>
          <w:rFonts w:hint="eastAsia" w:ascii="仿宋" w:hAnsi="仿宋" w:eastAsia="仿宋" w:cs="仿宋"/>
          <w:sz w:val="32"/>
          <w:szCs w:val="32"/>
          <w:u w:val="single"/>
        </w:rPr>
        <w:t xml:space="preserve">  1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辆、特种车辆1辆。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2022年本单位预算安排购置车辆</w:t>
      </w:r>
      <w:r>
        <w:rPr>
          <w:rFonts w:hint="eastAsia" w:ascii="仿宋" w:hAnsi="仿宋" w:eastAsia="仿宋" w:cs="仿宋"/>
          <w:sz w:val="32"/>
          <w:szCs w:val="32"/>
          <w:u w:val="single"/>
        </w:rPr>
        <w:t xml:space="preserve">  0  </w:t>
      </w:r>
      <w:r>
        <w:rPr>
          <w:rFonts w:hint="eastAsia" w:ascii="仿宋" w:hAnsi="仿宋" w:eastAsia="仿宋" w:cs="仿宋"/>
          <w:sz w:val="32"/>
          <w:szCs w:val="32"/>
        </w:rPr>
        <w:t>辆，安排购置单位价值200万元以上大型设备具为：</w:t>
      </w:r>
      <w:r>
        <w:rPr>
          <w:rFonts w:hint="eastAsia" w:ascii="仿宋" w:hAnsi="仿宋" w:eastAsia="仿宋" w:cs="仿宋"/>
          <w:sz w:val="32"/>
          <w:szCs w:val="32"/>
          <w:u w:val="single"/>
        </w:rPr>
        <w:t>无</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（九）绩效目标设置情况</w:t>
      </w:r>
    </w:p>
    <w:p>
      <w:pPr>
        <w:spacing w:line="560" w:lineRule="exact"/>
        <w:ind w:left="634" w:leftChars="284" w:hanging="38" w:hangingChars="12"/>
        <w:rPr>
          <w:rFonts w:ascii="仿宋" w:hAnsi="仿宋" w:eastAsia="仿宋" w:cs="仿宋"/>
          <w:sz w:val="24"/>
        </w:rPr>
      </w:pPr>
      <w:r>
        <w:rPr>
          <w:rFonts w:hint="eastAsia" w:ascii="仿宋" w:hAnsi="仿宋" w:eastAsia="仿宋" w:cs="仿宋"/>
          <w:sz w:val="32"/>
          <w:szCs w:val="32"/>
        </w:rPr>
        <w:t>2022年实行绩效目标管理的项目</w:t>
      </w:r>
      <w:r>
        <w:rPr>
          <w:rFonts w:hint="eastAsia" w:ascii="仿宋" w:hAnsi="仿宋" w:eastAsia="仿宋" w:cs="仿宋"/>
          <w:sz w:val="32"/>
          <w:szCs w:val="32"/>
          <w:u w:val="single"/>
        </w:rPr>
        <w:t>0</w:t>
      </w:r>
      <w:r>
        <w:rPr>
          <w:rFonts w:hint="eastAsia" w:ascii="仿宋" w:hAnsi="仿宋" w:eastAsia="仿宋" w:cs="仿宋"/>
          <w:sz w:val="32"/>
          <w:szCs w:val="32"/>
        </w:rPr>
        <w:t>个，涉及资金</w:t>
      </w:r>
      <w:r>
        <w:rPr>
          <w:rFonts w:hint="eastAsia" w:ascii="仿宋" w:hAnsi="仿宋" w:eastAsia="仿宋" w:cs="仿宋"/>
          <w:sz w:val="32"/>
          <w:szCs w:val="32"/>
          <w:u w:val="single"/>
        </w:rPr>
        <w:t>0</w:t>
      </w:r>
      <w:r>
        <w:rPr>
          <w:rFonts w:hint="eastAsia" w:ascii="仿宋" w:hAnsi="仿宋" w:eastAsia="仿宋" w:cs="仿宋"/>
          <w:sz w:val="32"/>
          <w:szCs w:val="32"/>
        </w:rPr>
        <w:t>万元。</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2022年本单位“三公”经费一般公共预算安排0万元。其中：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w:t>
      </w:r>
    </w:p>
    <w:p>
      <w:pPr>
        <w:spacing w:line="560" w:lineRule="exact"/>
        <w:rPr>
          <w:rFonts w:ascii="仿宋" w:hAnsi="仿宋" w:eastAsia="仿宋" w:cs="仿宋"/>
          <w:sz w:val="32"/>
          <w:szCs w:val="32"/>
        </w:rPr>
      </w:pPr>
      <w:r>
        <w:rPr>
          <w:rFonts w:hint="eastAsia" w:ascii="仿宋" w:hAnsi="仿宋" w:eastAsia="仿宋" w:cs="仿宋"/>
          <w:sz w:val="32"/>
          <w:szCs w:val="32"/>
        </w:rPr>
        <w:t>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公务接待费0万元，比上年增（减0万元，主要原因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公务用车运行维护费0万元，比上年增（减）0万元，</w:t>
      </w:r>
    </w:p>
    <w:p>
      <w:pPr>
        <w:spacing w:line="560" w:lineRule="exact"/>
        <w:rPr>
          <w:rFonts w:ascii="仿宋" w:hAnsi="仿宋" w:eastAsia="仿宋" w:cs="仿宋"/>
          <w:sz w:val="32"/>
          <w:szCs w:val="32"/>
        </w:rPr>
      </w:pPr>
      <w:r>
        <w:rPr>
          <w:rFonts w:hint="eastAsia" w:ascii="仿宋" w:hAnsi="仿宋" w:eastAsia="仿宋" w:cs="仿宋"/>
          <w:sz w:val="32"/>
          <w:szCs w:val="32"/>
        </w:rPr>
        <w:t>主要原因是：与上年安排保持一致。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pPr>
        <w:spacing w:line="560" w:lineRule="exact"/>
        <w:rPr>
          <w:rFonts w:ascii="仿宋" w:hAnsi="仿宋" w:eastAsia="仿宋" w:cs="仿宋"/>
          <w:sz w:val="32"/>
          <w:szCs w:val="32"/>
        </w:rPr>
      </w:pPr>
      <w:r>
        <w:rPr>
          <w:rFonts w:hint="eastAsia" w:ascii="仿宋" w:hAnsi="仿宋" w:eastAsia="仿宋" w:cs="仿宋"/>
          <w:sz w:val="32"/>
          <w:szCs w:val="32"/>
        </w:rPr>
        <w:t>原因是：与上年安排保持一致。</w:t>
      </w:r>
    </w:p>
    <w:p>
      <w:pPr>
        <w:spacing w:before="155" w:line="556" w:lineRule="exact"/>
        <w:rPr>
          <w:rFonts w:ascii="仿宋" w:hAnsi="仿宋" w:eastAsia="仿宋" w:cs="仿宋"/>
          <w:sz w:val="24"/>
        </w:rPr>
      </w:pPr>
    </w:p>
    <w:p>
      <w:pPr>
        <w:spacing w:before="155" w:line="556" w:lineRule="exact"/>
        <w:rPr>
          <w:rFonts w:ascii="仿宋" w:hAnsi="仿宋" w:eastAsia="仿宋" w:cs="仿宋"/>
          <w:sz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兴国县江背镇卫生院2022年预算表</w:t>
      </w:r>
    </w:p>
    <w:p>
      <w:pPr>
        <w:spacing w:line="560" w:lineRule="exact"/>
        <w:rPr>
          <w:rFonts w:ascii="仿宋" w:hAnsi="仿宋" w:eastAsia="仿宋" w:cs="仿宋"/>
          <w:sz w:val="32"/>
          <w:szCs w:val="32"/>
        </w:rPr>
      </w:pPr>
      <w:r>
        <w:rPr>
          <w:rFonts w:hint="eastAsia" w:ascii="仿宋" w:hAnsi="仿宋" w:eastAsia="仿宋" w:cs="仿宋"/>
          <w:sz w:val="32"/>
          <w:szCs w:val="32"/>
        </w:rPr>
        <w:t>一、《收支预算总表》</w:t>
      </w:r>
    </w:p>
    <w:p>
      <w:pPr>
        <w:pStyle w:val="2"/>
        <w:rPr>
          <w:rFonts w:hint="eastAsia" w:eastAsia="仿宋"/>
        </w:rPr>
      </w:pPr>
      <w:r>
        <w:rPr>
          <w:rFonts w:hint="eastAsia" w:eastAsia="仿宋"/>
          <w:lang w:val="en-US" w:bidi="ar-SA"/>
        </w:rPr>
        <w:drawing>
          <wp:inline distT="0" distB="0" distL="114300" distR="114300">
            <wp:extent cx="5269230" cy="2294890"/>
            <wp:effectExtent l="0" t="0" r="7620" b="10160"/>
            <wp:docPr id="9"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
                    <pic:cNvPicPr>
                      <a:picLocks noChangeAspect="1"/>
                    </pic:cNvPicPr>
                  </pic:nvPicPr>
                  <pic:blipFill>
                    <a:blip r:embed="rId4"/>
                    <a:stretch>
                      <a:fillRect/>
                    </a:stretch>
                  </pic:blipFill>
                  <pic:spPr>
                    <a:xfrm>
                      <a:off x="0" y="0"/>
                      <a:ext cx="5269230" cy="2294890"/>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pStyle w:val="2"/>
        <w:numPr>
          <w:ilvl w:val="0"/>
          <w:numId w:val="1"/>
        </w:numPr>
        <w:rPr>
          <w:rFonts w:ascii="仿宋" w:hAnsi="仿宋" w:eastAsia="仿宋" w:cs="仿宋"/>
        </w:rPr>
      </w:pPr>
      <w:r>
        <w:rPr>
          <w:rFonts w:hint="eastAsia" w:ascii="仿宋" w:hAnsi="仿宋" w:eastAsia="仿宋" w:cs="仿宋"/>
        </w:rPr>
        <w:t>《单位收入总表》</w:t>
      </w:r>
    </w:p>
    <w:p>
      <w:pPr>
        <w:pStyle w:val="2"/>
        <w:rPr>
          <w:rFonts w:ascii="仿宋" w:hAnsi="仿宋" w:eastAsia="仿宋" w:cs="仿宋"/>
        </w:rPr>
      </w:pPr>
      <w:r>
        <w:rPr>
          <w:rFonts w:hint="eastAsia" w:ascii="仿宋" w:hAnsi="仿宋" w:eastAsia="仿宋" w:cs="仿宋"/>
          <w:lang w:val="en-US" w:bidi="ar-SA"/>
        </w:rPr>
        <w:drawing>
          <wp:inline distT="0" distB="0" distL="114300" distR="114300">
            <wp:extent cx="5269865" cy="2699385"/>
            <wp:effectExtent l="0" t="0" r="6985" b="5715"/>
            <wp:docPr id="10" name="图片 1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
                    <pic:cNvPicPr>
                      <a:picLocks noChangeAspect="1"/>
                    </pic:cNvPicPr>
                  </pic:nvPicPr>
                  <pic:blipFill>
                    <a:blip r:embed="rId5"/>
                    <a:stretch>
                      <a:fillRect/>
                    </a:stretch>
                  </pic:blipFill>
                  <pic:spPr>
                    <a:xfrm>
                      <a:off x="0" y="0"/>
                      <a:ext cx="5269865" cy="2699385"/>
                    </a:xfrm>
                    <a:prstGeom prst="rect">
                      <a:avLst/>
                    </a:prstGeom>
                  </pic:spPr>
                </pic:pic>
              </a:graphicData>
            </a:graphic>
          </wp:inline>
        </w:drawing>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《单位支出总表》</w:t>
      </w:r>
    </w:p>
    <w:p>
      <w:pPr>
        <w:pStyle w:val="2"/>
        <w:rPr>
          <w:rFonts w:hint="eastAsia" w:eastAsia="仿宋"/>
        </w:rPr>
      </w:pPr>
      <w:r>
        <w:rPr>
          <w:rFonts w:hint="eastAsia" w:eastAsia="仿宋"/>
          <w:lang w:val="en-US" w:bidi="ar-SA"/>
        </w:rPr>
        <w:drawing>
          <wp:inline distT="0" distB="0" distL="114300" distR="114300">
            <wp:extent cx="5274310" cy="4327525"/>
            <wp:effectExtent l="0" t="0" r="2540" b="15875"/>
            <wp:docPr id="11" name="图片 1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
                    <pic:cNvPicPr>
                      <a:picLocks noChangeAspect="1"/>
                    </pic:cNvPicPr>
                  </pic:nvPicPr>
                  <pic:blipFill>
                    <a:blip r:embed="rId6"/>
                    <a:stretch>
                      <a:fillRect/>
                    </a:stretch>
                  </pic:blipFill>
                  <pic:spPr>
                    <a:xfrm>
                      <a:off x="0" y="0"/>
                      <a:ext cx="5274310" cy="4327525"/>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《财政拨款收支总表》</w:t>
      </w:r>
    </w:p>
    <w:p>
      <w:pPr>
        <w:pStyle w:val="2"/>
        <w:rPr>
          <w:rFonts w:eastAsia="仿宋"/>
        </w:rPr>
      </w:pPr>
      <w:r>
        <w:rPr>
          <w:rFonts w:hint="eastAsia" w:eastAsia="仿宋"/>
          <w:lang w:val="en-US" w:bidi="ar-SA"/>
        </w:rPr>
        <w:drawing>
          <wp:inline distT="0" distB="0" distL="114300" distR="114300">
            <wp:extent cx="5271770" cy="1863090"/>
            <wp:effectExtent l="0" t="0" r="5080" b="3810"/>
            <wp:docPr id="12" name="图片 1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
                    <pic:cNvPicPr>
                      <a:picLocks noChangeAspect="1"/>
                    </pic:cNvPicPr>
                  </pic:nvPicPr>
                  <pic:blipFill>
                    <a:blip r:embed="rId7"/>
                    <a:stretch>
                      <a:fillRect/>
                    </a:stretch>
                  </pic:blipFill>
                  <pic:spPr>
                    <a:xfrm>
                      <a:off x="0" y="0"/>
                      <a:ext cx="5271770" cy="1863090"/>
                    </a:xfrm>
                    <a:prstGeom prst="rect">
                      <a:avLst/>
                    </a:prstGeom>
                  </pic:spPr>
                </pic:pic>
              </a:graphicData>
            </a:graphic>
          </wp:inline>
        </w:drawing>
      </w:r>
    </w:p>
    <w:p>
      <w:pPr>
        <w:pStyle w:val="2"/>
        <w:rPr>
          <w:rFonts w:eastAsia="仿宋"/>
        </w:rPr>
      </w:pPr>
    </w:p>
    <w:p>
      <w:pPr>
        <w:pStyle w:val="2"/>
        <w:rPr>
          <w:rFonts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《一般公共预算支出表》</w:t>
      </w:r>
    </w:p>
    <w:p>
      <w:pPr>
        <w:pStyle w:val="2"/>
        <w:rPr>
          <w:rFonts w:hint="eastAsia" w:eastAsia="仿宋"/>
        </w:rPr>
      </w:pPr>
      <w:r>
        <w:rPr>
          <w:rFonts w:hint="eastAsia" w:eastAsia="仿宋"/>
          <w:lang w:val="en-US" w:bidi="ar-SA"/>
        </w:rPr>
        <w:drawing>
          <wp:inline distT="0" distB="0" distL="114300" distR="114300">
            <wp:extent cx="5266055" cy="3133725"/>
            <wp:effectExtent l="0" t="0" r="10795" b="9525"/>
            <wp:docPr id="13" name="图片 1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
                    <pic:cNvPicPr>
                      <a:picLocks noChangeAspect="1"/>
                    </pic:cNvPicPr>
                  </pic:nvPicPr>
                  <pic:blipFill>
                    <a:blip r:embed="rId8"/>
                    <a:stretch>
                      <a:fillRect/>
                    </a:stretch>
                  </pic:blipFill>
                  <pic:spPr>
                    <a:xfrm>
                      <a:off x="0" y="0"/>
                      <a:ext cx="5266055" cy="3133725"/>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《一般公共预算基本支出表》</w:t>
      </w:r>
    </w:p>
    <w:p>
      <w:pPr>
        <w:pStyle w:val="2"/>
        <w:rPr>
          <w:rFonts w:hint="eastAsia" w:eastAsia="仿宋"/>
        </w:rPr>
      </w:pPr>
      <w:r>
        <w:rPr>
          <w:rFonts w:hint="eastAsia" w:eastAsia="仿宋"/>
          <w:lang w:val="en-US" w:bidi="ar-SA"/>
        </w:rPr>
        <w:drawing>
          <wp:inline distT="0" distB="0" distL="114300" distR="114300">
            <wp:extent cx="5265420" cy="2186940"/>
            <wp:effectExtent l="0" t="0" r="11430" b="3810"/>
            <wp:docPr id="14" name="图片 1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
                    <pic:cNvPicPr>
                      <a:picLocks noChangeAspect="1"/>
                    </pic:cNvPicPr>
                  </pic:nvPicPr>
                  <pic:blipFill>
                    <a:blip r:embed="rId9"/>
                    <a:stretch>
                      <a:fillRect/>
                    </a:stretch>
                  </pic:blipFill>
                  <pic:spPr>
                    <a:xfrm>
                      <a:off x="0" y="0"/>
                      <a:ext cx="5265420" cy="2186940"/>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p>
      <w:pPr>
        <w:pStyle w:val="2"/>
        <w:rPr>
          <w:rFonts w:eastAsia="仿宋"/>
        </w:rPr>
      </w:pPr>
      <w:r>
        <w:rPr>
          <w:rFonts w:hint="eastAsia" w:eastAsia="仿宋"/>
          <w:lang w:val="en-US" w:bidi="ar-SA"/>
        </w:rPr>
        <w:drawing>
          <wp:inline distT="0" distB="0" distL="114300" distR="114300">
            <wp:extent cx="5273675" cy="1252220"/>
            <wp:effectExtent l="0" t="0" r="3175" b="5080"/>
            <wp:docPr id="15" name="图片 15"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
                    <pic:cNvPicPr>
                      <a:picLocks noChangeAspect="1"/>
                    </pic:cNvPicPr>
                  </pic:nvPicPr>
                  <pic:blipFill>
                    <a:blip r:embed="rId10"/>
                    <a:stretch>
                      <a:fillRect/>
                    </a:stretch>
                  </pic:blipFill>
                  <pic:spPr>
                    <a:xfrm>
                      <a:off x="0" y="0"/>
                      <a:ext cx="5273675" cy="1252220"/>
                    </a:xfrm>
                    <a:prstGeom prst="rect">
                      <a:avLst/>
                    </a:prstGeom>
                  </pic:spPr>
                </pic:pic>
              </a:graphicData>
            </a:graphic>
          </wp:inline>
        </w:drawing>
      </w:r>
    </w:p>
    <w:p>
      <w:pPr>
        <w:pStyle w:val="2"/>
        <w:rPr>
          <w:rFonts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《政府性基金预算支出表》</w:t>
      </w:r>
    </w:p>
    <w:p>
      <w:pPr>
        <w:pStyle w:val="2"/>
        <w:rPr>
          <w:rFonts w:hint="eastAsia" w:eastAsia="仿宋"/>
        </w:rPr>
      </w:pPr>
      <w:r>
        <w:rPr>
          <w:rFonts w:hint="eastAsia" w:eastAsia="仿宋"/>
          <w:lang w:val="en-US" w:bidi="ar-SA"/>
        </w:rPr>
        <w:drawing>
          <wp:inline distT="0" distB="0" distL="114300" distR="114300">
            <wp:extent cx="5267960" cy="1181100"/>
            <wp:effectExtent l="0" t="0" r="8890" b="0"/>
            <wp:docPr id="16" name="图片 16"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8"/>
                    <pic:cNvPicPr>
                      <a:picLocks noChangeAspect="1"/>
                    </pic:cNvPicPr>
                  </pic:nvPicPr>
                  <pic:blipFill>
                    <a:blip r:embed="rId11"/>
                    <a:stretch>
                      <a:fillRect/>
                    </a:stretch>
                  </pic:blipFill>
                  <pic:spPr>
                    <a:xfrm>
                      <a:off x="0" y="0"/>
                      <a:ext cx="5267960" cy="1181100"/>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《国有资本经营预算支出表》</w:t>
      </w:r>
    </w:p>
    <w:p>
      <w:pPr>
        <w:pStyle w:val="2"/>
        <w:rPr>
          <w:rFonts w:hint="eastAsia" w:eastAsia="仿宋"/>
        </w:rPr>
      </w:pPr>
      <w:r>
        <w:rPr>
          <w:rFonts w:hint="eastAsia" w:eastAsia="仿宋"/>
          <w:lang w:val="en-US" w:bidi="ar-SA"/>
        </w:rPr>
        <w:drawing>
          <wp:inline distT="0" distB="0" distL="114300" distR="114300">
            <wp:extent cx="5264785" cy="1247775"/>
            <wp:effectExtent l="0" t="0" r="12065" b="9525"/>
            <wp:docPr id="17" name="图片 17"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9"/>
                    <pic:cNvPicPr>
                      <a:picLocks noChangeAspect="1"/>
                    </pic:cNvPicPr>
                  </pic:nvPicPr>
                  <pic:blipFill>
                    <a:blip r:embed="rId12"/>
                    <a:stretch>
                      <a:fillRect/>
                    </a:stretch>
                  </pic:blipFill>
                  <pic:spPr>
                    <a:xfrm>
                      <a:off x="0" y="0"/>
                      <a:ext cx="5264785" cy="1247775"/>
                    </a:xfrm>
                    <a:prstGeom prst="rect">
                      <a:avLst/>
                    </a:prstGeom>
                  </pic:spPr>
                </pic:pic>
              </a:graphicData>
            </a:graphic>
          </wp:inline>
        </w:drawing>
      </w: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hint="eastAsia"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《单位整体支出绩效目标表》</w:t>
      </w:r>
    </w:p>
    <w:p>
      <w:pPr>
        <w:pStyle w:val="2"/>
        <w:rPr>
          <w:rFonts w:hint="eastAsia" w:ascii="仿宋" w:hAnsi="仿宋" w:eastAsia="仿宋" w:cs="仿宋"/>
        </w:rPr>
      </w:pPr>
      <w:r>
        <w:rPr>
          <w:rFonts w:hint="eastAsia" w:ascii="仿宋" w:hAnsi="仿宋" w:eastAsia="仿宋" w:cs="仿宋"/>
        </w:rPr>
        <w:t>无。</w:t>
      </w: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ascii="仿宋" w:hAnsi="仿宋" w:eastAsia="仿宋" w:cs="仿宋"/>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十一、《项目支出绩效目标表》</w:t>
      </w:r>
    </w:p>
    <w:p>
      <w:pPr>
        <w:pStyle w:val="2"/>
        <w:rPr>
          <w:rFonts w:ascii="仿宋" w:hAnsi="仿宋" w:eastAsia="仿宋" w:cs="仿宋"/>
        </w:rPr>
      </w:pPr>
      <w:r>
        <w:rPr>
          <w:rFonts w:hint="eastAsia" w:ascii="仿宋" w:hAnsi="仿宋" w:eastAsia="仿宋" w:cs="仿宋"/>
        </w:rPr>
        <w:t>无。</w:t>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各单位结合实际进行解释。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（六）上级补助收入：反映事业单位从主管单位和上级单位取得的非财政补助收入。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w:t>
      </w:r>
      <w:r>
        <w:rPr>
          <w:rFonts w:hint="eastAsia" w:ascii="仿宋" w:hAnsi="仿宋" w:eastAsia="仿宋" w:cs="仿宋"/>
          <w:sz w:val="32"/>
          <w:szCs w:val="32"/>
          <w:lang w:val="en-US" w:eastAsia="zh-CN"/>
        </w:rPr>
        <w:t>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w:t>
      </w:r>
      <w:r>
        <w:rPr>
          <w:rFonts w:hint="eastAsia" w:ascii="仿宋" w:hAnsi="仿宋" w:eastAsia="仿宋" w:cs="仿宋"/>
          <w:sz w:val="32"/>
          <w:szCs w:val="32"/>
          <w:lang w:val="en-US" w:eastAsia="zh-CN"/>
        </w:rPr>
        <w:t>1</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对单位或单位预算中涉及的支出功能分类科目（明细到项级），结合单位实际，参照《202</w:t>
      </w:r>
      <w:r>
        <w:rPr>
          <w:rFonts w:hint="eastAsia" w:ascii="仿宋" w:hAnsi="仿宋" w:eastAsia="仿宋" w:cs="仿宋"/>
          <w:sz w:val="32"/>
          <w:szCs w:val="32"/>
          <w:lang w:val="en-US" w:eastAsia="zh-CN"/>
        </w:rPr>
        <w:t>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（五）事业单位医疗：反映财政单位集中安排的事业单位基本医疗保险缴费经费。</w:t>
      </w:r>
    </w:p>
    <w:p>
      <w:pPr>
        <w:ind w:firstLine="640" w:firstLineChars="200"/>
      </w:pPr>
      <w:bookmarkStart w:id="0" w:name="_GoBack"/>
      <w:bookmarkEnd w:id="0"/>
      <w:r>
        <w:rPr>
          <w:rFonts w:hint="eastAsia" w:ascii="仿宋" w:hAnsi="仿宋" w:eastAsia="仿宋" w:cs="仿宋"/>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0026D12"/>
    <w:rsid w:val="008F4E02"/>
    <w:rsid w:val="00CF3752"/>
    <w:rsid w:val="064D7010"/>
    <w:rsid w:val="0B1526A9"/>
    <w:rsid w:val="14407782"/>
    <w:rsid w:val="1AA34966"/>
    <w:rsid w:val="1E02311E"/>
    <w:rsid w:val="2418246B"/>
    <w:rsid w:val="30F57DBC"/>
    <w:rsid w:val="31C93669"/>
    <w:rsid w:val="3FC3686F"/>
    <w:rsid w:val="40692574"/>
    <w:rsid w:val="44194772"/>
    <w:rsid w:val="45ED50AE"/>
    <w:rsid w:val="47EA6595"/>
    <w:rsid w:val="4AD77089"/>
    <w:rsid w:val="4B7778F3"/>
    <w:rsid w:val="4F053468"/>
    <w:rsid w:val="52E837CD"/>
    <w:rsid w:val="5B5A5265"/>
    <w:rsid w:val="5D715F41"/>
    <w:rsid w:val="5D835218"/>
    <w:rsid w:val="5F08270F"/>
    <w:rsid w:val="656B775E"/>
    <w:rsid w:val="6C315445"/>
    <w:rsid w:val="71DB1ECA"/>
    <w:rsid w:val="73A3131E"/>
    <w:rsid w:val="7B5432A8"/>
    <w:rsid w:val="7C673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7"/>
    <w:uiPriority w:val="0"/>
    <w:rPr>
      <w:sz w:val="18"/>
      <w:szCs w:val="18"/>
    </w:rPr>
  </w:style>
  <w:style w:type="character" w:customStyle="1" w:styleId="6">
    <w:name w:val="row_tree_level_4"/>
    <w:basedOn w:val="5"/>
    <w:qFormat/>
    <w:uiPriority w:val="0"/>
  </w:style>
  <w:style w:type="character" w:customStyle="1" w:styleId="7">
    <w:name w:val="批注框文本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3084</Words>
  <Characters>3420</Characters>
  <Lines>30</Lines>
  <Paragraphs>8</Paragraphs>
  <TotalTime>4</TotalTime>
  <ScaleCrop>false</ScaleCrop>
  <LinksUpToDate>false</LinksUpToDate>
  <CharactersWithSpaces>3465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2023-06-18T09:08:00Z</dcterms:created>
  <dc:creator>熙</dc:creator>
  <cp:lastModifiedBy>Administrator</cp:lastModifiedBy>
  <dcterms:modified xsi:type="dcterms:W3CDTF">2023-06-19T04:09:07Z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F003623FF1E34171A0D9CF385BE04B66</vt:lpwstr>
  </property>
</Properties>
</file>