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兴国县结核病防治所</w:t>
      </w:r>
      <w:r>
        <w:rPr>
          <w:rFonts w:hint="eastAsia" w:ascii="方正小标宋简体" w:hAnsi="方正小标宋简体" w:eastAsia="方正小标宋简体" w:cs="方正小标宋简体"/>
          <w:b w:val="0"/>
          <w:bCs/>
          <w:color w:val="auto"/>
          <w:sz w:val="44"/>
          <w:szCs w:val="44"/>
          <w:lang w:val="en-US" w:eastAsia="zh-CN"/>
        </w:rPr>
        <w:t>2022年单位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编制</w:t>
      </w:r>
      <w:r>
        <w:rPr>
          <w:rFonts w:hint="eastAsia" w:ascii="方正小标宋简体" w:hAnsi="方正小标宋简体" w:eastAsia="方正小标宋简体" w:cs="方正小标宋简体"/>
          <w:b w:val="0"/>
          <w:bCs/>
          <w:color w:val="auto"/>
          <w:sz w:val="44"/>
          <w:szCs w:val="44"/>
        </w:rPr>
        <w:t>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结核病防治所单位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结核病防治所单位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结核病防治所单位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p>
      <w:pPr>
        <w:keepNext w:val="0"/>
        <w:keepLines w:val="0"/>
        <w:widowControl/>
        <w:suppressLineNumbers w:val="0"/>
        <w:ind w:firstLine="638" w:firstLineChars="200"/>
        <w:jc w:val="left"/>
      </w:pPr>
      <w:r>
        <w:rPr>
          <w:rFonts w:ascii="仿宋" w:hAnsi="仿宋" w:eastAsia="仿宋" w:cs="仿宋"/>
          <w:color w:val="000000"/>
          <w:kern w:val="0"/>
          <w:sz w:val="31"/>
          <w:szCs w:val="31"/>
          <w:lang w:val="en-US" w:eastAsia="zh-CN" w:bidi="ar"/>
        </w:rPr>
        <w:t>十一、《项目支出绩效目标表》</w:t>
      </w:r>
    </w:p>
    <w:p>
      <w:pPr>
        <w:spacing w:line="560" w:lineRule="exact"/>
        <w:ind w:left="2544" w:leftChars="284" w:hanging="1948" w:hangingChars="609"/>
        <w:rPr>
          <w:rFonts w:hint="eastAsia" w:ascii="仿宋" w:hAnsi="仿宋" w:eastAsia="仿宋" w:cs="仿宋"/>
          <w:b/>
          <w:bCs/>
          <w:color w:val="auto"/>
          <w:sz w:val="32"/>
          <w:szCs w:val="32"/>
        </w:rPr>
      </w:pP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ind w:firstLine="1280" w:firstLineChars="400"/>
        <w:jc w:val="both"/>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结核病防治所单位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eastAsia="zh-CN"/>
        </w:rPr>
        <w:t>结核病防治所</w:t>
      </w:r>
      <w:r>
        <w:rPr>
          <w:rFonts w:hint="eastAsia" w:ascii="仿宋" w:hAnsi="仿宋" w:eastAsia="仿宋" w:cs="仿宋"/>
          <w:sz w:val="32"/>
          <w:szCs w:val="32"/>
        </w:rPr>
        <w:t>是兴国县卫生健康委员会的</w:t>
      </w:r>
      <w:r>
        <w:rPr>
          <w:rFonts w:hint="eastAsia" w:ascii="仿宋" w:hAnsi="仿宋" w:eastAsia="仿宋" w:cs="仿宋"/>
          <w:sz w:val="32"/>
          <w:szCs w:val="32"/>
          <w:lang w:eastAsia="zh-CN"/>
        </w:rPr>
        <w:t>下属</w:t>
      </w:r>
      <w:r>
        <w:rPr>
          <w:rFonts w:hint="eastAsia" w:ascii="仿宋" w:hAnsi="仿宋" w:eastAsia="仿宋" w:cs="仿宋"/>
          <w:sz w:val="32"/>
          <w:szCs w:val="32"/>
        </w:rPr>
        <w:t>机构，主要职责：</w:t>
      </w:r>
      <w:r>
        <w:rPr>
          <w:rFonts w:hint="eastAsia" w:ascii="仿宋" w:hAnsi="仿宋" w:eastAsia="仿宋" w:cs="仿宋"/>
          <w:sz w:val="32"/>
          <w:szCs w:val="32"/>
          <w:lang w:eastAsia="zh-CN"/>
        </w:rPr>
        <w:t>为控制结核病提供防治保障，负责结核病监测防治与咨询，相关疾病研究与技术指导、相关专业技术人员培训与健康教育；做好结核病防治宣传工作，督导结核病人完成全疗程，达到成功治愈的标准。</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sz w:val="32"/>
          <w:szCs w:val="32"/>
        </w:rPr>
        <w:t>兴国县</w:t>
      </w:r>
      <w:r>
        <w:rPr>
          <w:rFonts w:hint="eastAsia" w:ascii="仿宋" w:hAnsi="仿宋" w:eastAsia="仿宋" w:cs="仿宋"/>
          <w:sz w:val="32"/>
          <w:szCs w:val="32"/>
          <w:lang w:eastAsia="zh-CN"/>
        </w:rPr>
        <w:t>结核病防治所单位</w:t>
      </w:r>
      <w:r>
        <w:rPr>
          <w:rFonts w:hint="eastAsia" w:ascii="仿宋" w:hAnsi="仿宋" w:eastAsia="仿宋"/>
          <w:color w:val="auto"/>
          <w:sz w:val="32"/>
          <w:szCs w:val="32"/>
          <w:lang w:eastAsia="zh-CN"/>
        </w:rPr>
        <w:t>内设科室</w:t>
      </w:r>
      <w:r>
        <w:rPr>
          <w:rFonts w:hint="eastAsia" w:ascii="仿宋" w:hAnsi="仿宋" w:eastAsia="仿宋" w:cs="Times New Roman"/>
          <w:color w:val="auto"/>
          <w:kern w:val="0"/>
          <w:sz w:val="32"/>
          <w:szCs w:val="32"/>
          <w:lang w:val="en-US" w:eastAsia="zh-CN"/>
        </w:rPr>
        <w:t>8</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宋体" w:hAnsi="宋体" w:eastAsia="宋体" w:cs="宋体"/>
          <w:sz w:val="30"/>
          <w:szCs w:val="30"/>
          <w:lang w:val="en-US" w:eastAsia="zh-CN"/>
        </w:rPr>
        <w:t>结核病科、内科、中西医结合科、医学检验科、医学影像科、体检科、护理组、药剂科</w:t>
      </w:r>
      <w:r>
        <w:rPr>
          <w:rFonts w:hint="eastAsia" w:ascii="仿宋" w:hAnsi="仿宋" w:eastAsia="仿宋"/>
          <w:color w:val="auto"/>
          <w:sz w:val="32"/>
          <w:szCs w:val="32"/>
          <w:lang w:val="en-US" w:eastAsia="zh-CN"/>
        </w:rPr>
        <w:t>。</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23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23</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26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26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olor w:val="auto"/>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17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14</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olor w:val="auto"/>
          <w:sz w:val="32"/>
          <w:szCs w:val="32"/>
          <w:lang w:val="en-US" w:eastAsia="zh-CN"/>
        </w:rPr>
        <w:t>1</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结核病防治所</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1414.63</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292.15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26.03%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增减变化主要原因是：入校新生结核筛查费及从业人员体检费。</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155.57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11%，</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61.34</w:t>
      </w:r>
      <w:r>
        <w:rPr>
          <w:rFonts w:hint="eastAsia" w:ascii="仿宋" w:hAnsi="仿宋" w:eastAsia="仿宋" w:cs="仿宋"/>
          <w:color w:val="auto"/>
          <w:sz w:val="32"/>
          <w:szCs w:val="32"/>
          <w:lang w:eastAsia="zh-CN"/>
        </w:rPr>
        <w:t>万元；事业收入</w:t>
      </w:r>
      <w:r>
        <w:rPr>
          <w:rFonts w:hint="eastAsia" w:ascii="仿宋" w:hAnsi="仿宋" w:eastAsia="仿宋" w:cs="仿宋"/>
          <w:color w:val="auto"/>
          <w:sz w:val="32"/>
          <w:szCs w:val="32"/>
          <w:lang w:val="en-US" w:eastAsia="zh-CN"/>
        </w:rPr>
        <w:t>1259.06万元，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89%，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353.49</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1414.63</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292.15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长</w:t>
      </w:r>
      <w:r>
        <w:rPr>
          <w:rFonts w:hint="eastAsia" w:ascii="仿宋" w:hAnsi="仿宋" w:eastAsia="仿宋" w:cs="仿宋"/>
          <w:color w:val="auto"/>
          <w:sz w:val="32"/>
          <w:szCs w:val="32"/>
          <w:lang w:val="en-US" w:eastAsia="zh-CN"/>
        </w:rPr>
        <w:t>26.03%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增减变化主要原因是：入校新生结核筛查费及从业人员体检费。</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2"/>
          <w:szCs w:val="32"/>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1414.63</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292.15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154.75万元，占支出预算总额的10.94%，</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61.34</w:t>
      </w:r>
      <w:r>
        <w:rPr>
          <w:rFonts w:hint="eastAsia" w:ascii="仿宋" w:hAnsi="仿宋" w:eastAsia="仿宋" w:cs="仿宋"/>
          <w:color w:val="auto"/>
          <w:sz w:val="32"/>
          <w:szCs w:val="32"/>
          <w:lang w:eastAsia="zh-CN"/>
        </w:rPr>
        <w:t>万元；对个人和家庭的补助</w:t>
      </w:r>
      <w:r>
        <w:rPr>
          <w:rFonts w:hint="eastAsia" w:ascii="仿宋" w:hAnsi="仿宋" w:eastAsia="仿宋" w:cs="仿宋"/>
          <w:color w:val="auto"/>
          <w:sz w:val="32"/>
          <w:szCs w:val="32"/>
          <w:lang w:val="en-US" w:eastAsia="zh-CN"/>
        </w:rPr>
        <w:t>0.82万元，</w:t>
      </w:r>
      <w:r>
        <w:rPr>
          <w:rFonts w:hint="eastAsia" w:ascii="仿宋" w:hAnsi="仿宋" w:eastAsia="仿宋" w:cs="仿宋"/>
          <w:color w:val="auto"/>
          <w:sz w:val="30"/>
          <w:szCs w:val="30"/>
          <w:lang w:val="en-US" w:eastAsia="zh-CN"/>
        </w:rPr>
        <w:t>占支出预算总额的0.06%，</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lang w:eastAsia="zh-CN"/>
        </w:rPr>
        <w:t>商品和服务支出</w:t>
      </w:r>
      <w:r>
        <w:rPr>
          <w:rFonts w:hint="eastAsia" w:ascii="仿宋" w:hAnsi="仿宋" w:eastAsia="仿宋" w:cs="仿宋"/>
          <w:color w:val="auto"/>
          <w:sz w:val="32"/>
          <w:szCs w:val="32"/>
          <w:lang w:val="en-US" w:eastAsia="zh-CN"/>
        </w:rPr>
        <w:t>880.26万元，</w:t>
      </w:r>
      <w:r>
        <w:rPr>
          <w:rFonts w:hint="eastAsia" w:ascii="仿宋" w:hAnsi="仿宋" w:eastAsia="仿宋" w:cs="仿宋"/>
          <w:color w:val="auto"/>
          <w:sz w:val="30"/>
          <w:szCs w:val="30"/>
          <w:lang w:val="en-US" w:eastAsia="zh-CN"/>
        </w:rPr>
        <w:t>占支出预算总额的62.22%，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110.29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资本性支出378.8万元，占支出预算总额的26.78%，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243.2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36.58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2.59%，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5.64</w:t>
      </w:r>
      <w:r>
        <w:rPr>
          <w:rFonts w:hint="eastAsia" w:ascii="仿宋" w:hAnsi="仿宋" w:eastAsia="仿宋" w:cs="仿宋"/>
          <w:color w:val="auto"/>
          <w:sz w:val="32"/>
          <w:szCs w:val="32"/>
          <w:lang w:eastAsia="zh-CN"/>
        </w:rPr>
        <w:t>万元；住房保障</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25.3</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1.79%，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5.4</w:t>
      </w:r>
      <w:r>
        <w:rPr>
          <w:rFonts w:hint="eastAsia" w:ascii="仿宋" w:hAnsi="仿宋" w:eastAsia="仿宋" w:cs="仿宋"/>
          <w:color w:val="auto"/>
          <w:sz w:val="32"/>
          <w:szCs w:val="32"/>
          <w:lang w:eastAsia="zh-CN"/>
        </w:rPr>
        <w:t>万元；卫生健康</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1352.75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95.62%，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283.57</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2022年本单位财政拨款（补助）支出预算155.57万元，占本年支出预算额的11%，较上年预算安排减少61.34万元，增少28.28%。增减变化主要原因是：在岗正式职工编制在乡镇卫生院，不纳入金额拨款。具体为：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按支出经济分类科目划分：基本支出155.57万元，较上年预算安排减少61.34万元，其中：工资福利支出154.75万元，占财政拨款预算总额的99.48%，较上年预算安排减少61.34万元；</w:t>
      </w:r>
      <w:r>
        <w:rPr>
          <w:rFonts w:hint="eastAsia" w:ascii="仿宋" w:hAnsi="仿宋" w:eastAsia="仿宋" w:cs="仿宋"/>
          <w:color w:val="auto"/>
          <w:sz w:val="32"/>
          <w:szCs w:val="32"/>
          <w:lang w:eastAsia="zh-CN"/>
        </w:rPr>
        <w:t>对个人和家庭的补助</w:t>
      </w:r>
      <w:r>
        <w:rPr>
          <w:rFonts w:hint="eastAsia" w:ascii="仿宋" w:hAnsi="仿宋" w:eastAsia="仿宋" w:cs="仿宋"/>
          <w:color w:val="auto"/>
          <w:sz w:val="32"/>
          <w:szCs w:val="32"/>
          <w:lang w:val="en-US" w:eastAsia="zh-CN"/>
        </w:rPr>
        <w:t>0.82万元，</w:t>
      </w:r>
      <w:r>
        <w:rPr>
          <w:rFonts w:hint="eastAsia" w:ascii="仿宋" w:hAnsi="仿宋" w:eastAsia="仿宋" w:cs="仿宋"/>
          <w:color w:val="auto"/>
          <w:sz w:val="30"/>
          <w:szCs w:val="30"/>
          <w:lang w:val="en-US" w:eastAsia="zh-CN"/>
        </w:rPr>
        <w:t>占支出预算总额的0.52%，</w:t>
      </w:r>
      <w:r>
        <w:rPr>
          <w:rFonts w:hint="eastAsia" w:ascii="仿宋" w:hAnsi="仿宋" w:eastAsia="仿宋" w:cs="仿宋"/>
          <w:color w:val="auto"/>
          <w:sz w:val="32"/>
          <w:szCs w:val="32"/>
          <w:lang w:val="en-US" w:eastAsia="zh-CN"/>
        </w:rPr>
        <w:t>较上年预算安排增加万元；项目支出0万元，占财政拨款预算总额的0%，较上年预算安排增加0万元。</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21.10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13.56%，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15.08</w:t>
      </w:r>
      <w:r>
        <w:rPr>
          <w:rFonts w:hint="eastAsia" w:ascii="仿宋" w:hAnsi="仿宋" w:eastAsia="仿宋" w:cs="仿宋"/>
          <w:color w:val="auto"/>
          <w:sz w:val="32"/>
          <w:szCs w:val="32"/>
          <w:lang w:eastAsia="zh-CN"/>
        </w:rPr>
        <w:t>万元；住房保障</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17.97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11.55%，</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0.85</w:t>
      </w:r>
      <w:r>
        <w:rPr>
          <w:rFonts w:hint="eastAsia" w:ascii="仿宋" w:hAnsi="仿宋" w:eastAsia="仿宋" w:cs="仿宋"/>
          <w:color w:val="auto"/>
          <w:sz w:val="32"/>
          <w:szCs w:val="32"/>
          <w:lang w:eastAsia="zh-CN"/>
        </w:rPr>
        <w:t>万元；卫生健康</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116.50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，占支出预算总额的</w:t>
      </w:r>
      <w:r>
        <w:rPr>
          <w:rFonts w:hint="eastAsia" w:ascii="仿宋" w:hAnsi="仿宋" w:eastAsia="仿宋" w:cs="仿宋"/>
          <w:color w:val="auto"/>
          <w:sz w:val="30"/>
          <w:szCs w:val="30"/>
          <w:lang w:val="en-US" w:eastAsia="zh-CN"/>
        </w:rPr>
        <w:t>74.89%，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47.11</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960" w:firstLineChars="300"/>
        <w:rPr>
          <w:rFonts w:hint="eastAsia" w:ascii="仿宋" w:hAnsi="仿宋" w:eastAsia="仿宋" w:cs="仿宋"/>
          <w:color w:val="auto"/>
          <w:sz w:val="24"/>
          <w:szCs w:val="24"/>
          <w:lang w:eastAsia="zh-CN"/>
        </w:rPr>
      </w:pP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政府性基金</w:t>
      </w:r>
      <w:r>
        <w:rPr>
          <w:rFonts w:hint="eastAsia" w:ascii="仿宋" w:hAnsi="仿宋" w:eastAsia="仿宋" w:cs="仿宋"/>
          <w:color w:val="auto"/>
          <w:sz w:val="32"/>
          <w:szCs w:val="32"/>
          <w:lang w:eastAsia="zh-CN"/>
        </w:rPr>
        <w:t>预算拨款安排</w:t>
      </w:r>
      <w:r>
        <w:rPr>
          <w:rFonts w:hint="eastAsia" w:ascii="仿宋" w:hAnsi="仿宋" w:eastAsia="仿宋" w:cs="仿宋"/>
          <w:color w:val="auto"/>
          <w:sz w:val="32"/>
          <w:szCs w:val="32"/>
        </w:rPr>
        <w:t>支出</w:t>
      </w:r>
      <w:r>
        <w:rPr>
          <w:rFonts w:hint="eastAsia" w:ascii="仿宋" w:hAnsi="仿宋" w:eastAsia="仿宋" w:cs="仿宋"/>
          <w:color w:val="auto"/>
          <w:sz w:val="32"/>
          <w:szCs w:val="32"/>
          <w:lang w:eastAsia="zh-CN"/>
        </w:rPr>
        <w:t>。</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年预算增加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lang w:val="en-US" w:eastAsia="zh-CN"/>
        </w:rPr>
        <w:t>378.8</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378.8</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，特殊用途车</w:t>
      </w:r>
      <w:r>
        <w:rPr>
          <w:rFonts w:hint="eastAsia" w:ascii="仿宋" w:hAnsi="仿宋" w:eastAsia="仿宋" w:cs="仿宋"/>
          <w:color w:val="auto"/>
          <w:sz w:val="32"/>
          <w:szCs w:val="32"/>
          <w:lang w:val="en-US" w:eastAsia="zh-CN"/>
        </w:rPr>
        <w:t>1辆</w:t>
      </w:r>
      <w:r>
        <w:rPr>
          <w:rFonts w:hint="eastAsia" w:ascii="仿宋" w:hAnsi="仿宋" w:eastAsia="仿宋" w:cs="仿宋"/>
          <w:color w:val="auto"/>
          <w:sz w:val="32"/>
          <w:szCs w:val="32"/>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eastAsia="zh-CN"/>
        </w:rPr>
        <w:t>公务用</w:t>
      </w:r>
      <w:r>
        <w:rPr>
          <w:rFonts w:hint="eastAsia" w:ascii="仿宋" w:hAnsi="仿宋" w:eastAsia="仿宋" w:cs="仿宋"/>
          <w:color w:val="auto"/>
          <w:sz w:val="32"/>
          <w:szCs w:val="32"/>
        </w:rPr>
        <w:t>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结核病防治所</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color w:val="auto"/>
          <w:lang w:eastAsia="zh-CN"/>
        </w:rPr>
      </w:pPr>
      <w:r>
        <w:drawing>
          <wp:inline distT="0" distB="0" distL="114300" distR="114300">
            <wp:extent cx="5273675" cy="3792855"/>
            <wp:effectExtent l="0" t="0" r="3175"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5273675" cy="3792855"/>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ascii="仿宋" w:hAnsi="仿宋" w:eastAsia="仿宋" w:cs="仿宋"/>
          <w:color w:val="auto"/>
          <w:sz w:val="32"/>
          <w:szCs w:val="32"/>
        </w:rPr>
      </w:pPr>
      <w:r>
        <w:drawing>
          <wp:inline distT="0" distB="0" distL="114300" distR="114300">
            <wp:extent cx="5955030" cy="4697730"/>
            <wp:effectExtent l="0" t="0" r="762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955030" cy="469773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《部门支出总表》</w:t>
      </w:r>
    </w:p>
    <w:p>
      <w:pPr>
        <w:numPr>
          <w:ilvl w:val="0"/>
          <w:numId w:val="0"/>
        </w:numPr>
        <w:spacing w:line="560" w:lineRule="exact"/>
        <w:ind w:leftChars="0"/>
        <w:rPr>
          <w:rFonts w:hint="eastAsia" w:ascii="仿宋" w:hAnsi="仿宋" w:eastAsia="仿宋" w:cs="仿宋"/>
          <w:color w:val="auto"/>
          <w:sz w:val="32"/>
          <w:szCs w:val="32"/>
        </w:rPr>
      </w:pPr>
    </w:p>
    <w:p>
      <w:pPr>
        <w:pStyle w:val="2"/>
        <w:rPr>
          <w:rFonts w:hint="eastAsia" w:eastAsia="仿宋"/>
          <w:color w:val="auto"/>
          <w:lang w:eastAsia="zh-CN"/>
        </w:rPr>
      </w:pPr>
      <w:r>
        <w:drawing>
          <wp:inline distT="0" distB="0" distL="114300" distR="114300">
            <wp:extent cx="6076315" cy="5759450"/>
            <wp:effectExtent l="0" t="0" r="63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6076315" cy="575945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color w:val="auto"/>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eastAsia="仿宋"/>
          <w:color w:val="auto"/>
          <w:lang w:eastAsia="zh-CN"/>
        </w:rPr>
      </w:pPr>
      <w:r>
        <w:drawing>
          <wp:inline distT="0" distB="0" distL="114300" distR="114300">
            <wp:extent cx="5664200" cy="4820285"/>
            <wp:effectExtent l="0" t="0" r="12700" b="184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664200" cy="4820285"/>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pPr>
      <w:r>
        <w:drawing>
          <wp:inline distT="0" distB="0" distL="114300" distR="114300">
            <wp:extent cx="5551170" cy="6169025"/>
            <wp:effectExtent l="0" t="0" r="1143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551170" cy="6169025"/>
                    </a:xfrm>
                    <a:prstGeom prst="rect">
                      <a:avLst/>
                    </a:prstGeom>
                    <a:noFill/>
                    <a:ln>
                      <a:noFill/>
                    </a:ln>
                  </pic:spPr>
                </pic:pic>
              </a:graphicData>
            </a:graphic>
          </wp:inline>
        </w:drawing>
      </w:r>
    </w:p>
    <w:p>
      <w:pPr>
        <w:pStyle w:val="2"/>
      </w:pPr>
    </w:p>
    <w:p>
      <w:pPr>
        <w:pStyle w:val="2"/>
      </w:pPr>
    </w:p>
    <w:p>
      <w:pPr>
        <w:pStyle w:val="2"/>
        <w:rPr>
          <w:rFonts w:hint="eastAsia" w:eastAsia="仿宋_GB2312"/>
          <w:lang w:val="en-US" w:eastAsia="zh-CN"/>
        </w:rPr>
      </w:pPr>
      <w:r>
        <w:rPr>
          <w:rFonts w:hint="eastAsia"/>
          <w:lang w:val="en-US" w:eastAsia="zh-CN"/>
        </w:rPr>
        <w:t>`</w:t>
      </w: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eastAsia="仿宋"/>
          <w:color w:val="auto"/>
          <w:lang w:eastAsia="zh-CN"/>
        </w:rPr>
      </w:pPr>
      <w:r>
        <w:drawing>
          <wp:inline distT="0" distB="0" distL="114300" distR="114300">
            <wp:extent cx="5268595" cy="4310380"/>
            <wp:effectExtent l="0" t="0" r="8255" b="139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9"/>
                    <a:stretch>
                      <a:fillRect/>
                    </a:stretch>
                  </pic:blipFill>
                  <pic:spPr>
                    <a:xfrm>
                      <a:off x="0" y="0"/>
                      <a:ext cx="5268595" cy="431038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color w:val="auto"/>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pPr>
      <w:r>
        <w:drawing>
          <wp:inline distT="0" distB="0" distL="114300" distR="114300">
            <wp:extent cx="5269865" cy="2253615"/>
            <wp:effectExtent l="0" t="0" r="6985" b="133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stretch>
                      <a:fillRect/>
                    </a:stretch>
                  </pic:blipFill>
                  <pic:spPr>
                    <a:xfrm>
                      <a:off x="0" y="0"/>
                      <a:ext cx="5269865" cy="225361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pPr>
      <w:r>
        <w:drawing>
          <wp:inline distT="0" distB="0" distL="114300" distR="114300">
            <wp:extent cx="6057265" cy="2501900"/>
            <wp:effectExtent l="0" t="0" r="63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6057265" cy="250190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pPr>
      <w:r>
        <w:drawing>
          <wp:inline distT="0" distB="0" distL="114300" distR="114300">
            <wp:extent cx="5265420" cy="1869440"/>
            <wp:effectExtent l="0" t="0" r="11430" b="165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a:stretch>
                      <a:fillRect/>
                    </a:stretch>
                  </pic:blipFill>
                  <pic:spPr>
                    <a:xfrm>
                      <a:off x="0" y="0"/>
                      <a:ext cx="5265420" cy="186944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numPr>
          <w:ilvl w:val="0"/>
          <w:numId w:val="0"/>
        </w:numPr>
        <w:spacing w:line="560" w:lineRule="exact"/>
        <w:ind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无</w:t>
      </w: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numPr>
          <w:ilvl w:val="0"/>
          <w:numId w:val="0"/>
        </w:numPr>
        <w:spacing w:line="560" w:lineRule="exact"/>
        <w:ind w:leftChars="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无</w:t>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1920" w:firstLineChars="600"/>
        <w:jc w:val="both"/>
        <w:rPr>
          <w:rFonts w:hint="eastAsia" w:ascii="黑体" w:hAnsi="黑体" w:eastAsia="黑体" w:cs="黑体"/>
          <w:b w:val="0"/>
          <w:bCs w:val="0"/>
          <w:color w:val="auto"/>
          <w:sz w:val="32"/>
          <w:szCs w:val="32"/>
        </w:rPr>
      </w:pPr>
    </w:p>
    <w:p>
      <w:pPr>
        <w:spacing w:line="560" w:lineRule="exact"/>
        <w:jc w:val="both"/>
        <w:rPr>
          <w:rFonts w:hint="eastAsia" w:ascii="黑体" w:hAnsi="黑体" w:eastAsia="黑体" w:cs="黑体"/>
          <w:b w:val="0"/>
          <w:bCs w:val="0"/>
          <w:color w:val="auto"/>
          <w:sz w:val="32"/>
          <w:szCs w:val="32"/>
        </w:rPr>
      </w:pPr>
    </w:p>
    <w:p>
      <w:pPr>
        <w:spacing w:line="560" w:lineRule="exact"/>
        <w:ind w:firstLine="1920" w:firstLineChars="600"/>
        <w:jc w:val="both"/>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bookmarkStart w:id="0" w:name="_GoBack"/>
      <w:bookmarkEnd w:id="0"/>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（七）公共卫生（款）基本公共卫生服务（项）：反映我单位在开展基本公共服务方面支出。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6CE283E"/>
    <w:rsid w:val="0B1526A9"/>
    <w:rsid w:val="19565C44"/>
    <w:rsid w:val="1BED63AC"/>
    <w:rsid w:val="1E02311E"/>
    <w:rsid w:val="2D7705F4"/>
    <w:rsid w:val="31C93669"/>
    <w:rsid w:val="35957464"/>
    <w:rsid w:val="3C91181B"/>
    <w:rsid w:val="426C1010"/>
    <w:rsid w:val="43DE530A"/>
    <w:rsid w:val="452F2AE8"/>
    <w:rsid w:val="47EA6595"/>
    <w:rsid w:val="55E666F7"/>
    <w:rsid w:val="58F924EB"/>
    <w:rsid w:val="5D715F41"/>
    <w:rsid w:val="5E9234E7"/>
    <w:rsid w:val="660B3529"/>
    <w:rsid w:val="793649D3"/>
    <w:rsid w:val="7B5432A8"/>
    <w:rsid w:val="7D7F5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2917</Words>
  <Characters>3233</Characters>
  <Lines>0</Lines>
  <Paragraphs>0</Paragraphs>
  <TotalTime>39</TotalTime>
  <ScaleCrop>false</ScaleCrop>
  <LinksUpToDate>false</LinksUpToDate>
  <CharactersWithSpaces>3259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F003623FF1E34171A0D9CF385BE04B66</vt:lpwstr>
  </property>
</Properties>
</file>