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兴国县人民医院2022年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人民医院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人民医院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人民医院2022年</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部门整体</w:t>
      </w:r>
      <w:r>
        <w:rPr>
          <w:rFonts w:hint="eastAsia" w:ascii="仿宋" w:hAnsi="仿宋" w:eastAsia="仿宋" w:cs="仿宋"/>
          <w:color w:val="auto"/>
          <w:sz w:val="32"/>
          <w:szCs w:val="32"/>
        </w:rPr>
        <w:t>支出绩效目标表》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rPr>
        <w:t>《项目支出绩效目标表》</w:t>
      </w:r>
    </w:p>
    <w:p>
      <w:p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人民医院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一、部门主要职责</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兴国县人民医院</w:t>
      </w:r>
      <w:r>
        <w:rPr>
          <w:rFonts w:hint="eastAsia" w:ascii="仿宋" w:hAnsi="仿宋" w:eastAsia="仿宋" w:cs="仿宋"/>
          <w:sz w:val="32"/>
          <w:szCs w:val="32"/>
        </w:rPr>
        <w:t>为人民身体健康提供医疗与护理保健服务，负责医疗与护理、医学教学、医学研究、卫生医疗人员培训、卫生技术人员继续教育、保健与健康教育。</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olor w:val="auto"/>
          <w:sz w:val="32"/>
          <w:szCs w:val="32"/>
          <w:lang w:val="en-US" w:eastAsia="zh-CN"/>
        </w:rPr>
        <w:t>人民医院</w:t>
      </w:r>
      <w:r>
        <w:rPr>
          <w:rFonts w:hint="eastAsia" w:ascii="仿宋" w:hAnsi="仿宋" w:eastAsia="仿宋"/>
          <w:color w:val="auto"/>
          <w:sz w:val="32"/>
          <w:szCs w:val="32"/>
          <w:lang w:eastAsia="zh-CN"/>
        </w:rPr>
        <w:t>内设处室</w:t>
      </w:r>
      <w:r>
        <w:rPr>
          <w:rFonts w:hint="eastAsia" w:ascii="仿宋" w:hAnsi="仿宋" w:eastAsia="仿宋"/>
          <w:color w:val="auto"/>
          <w:sz w:val="32"/>
          <w:szCs w:val="32"/>
          <w:lang w:val="en-US" w:eastAsia="zh-CN"/>
        </w:rPr>
        <w:t>69个，其中</w:t>
      </w:r>
      <w:r>
        <w:rPr>
          <w:rFonts w:hint="eastAsia" w:ascii="仿宋" w:hAnsi="仿宋" w:eastAsia="仿宋" w:cs="Times New Roman"/>
          <w:color w:val="auto"/>
          <w:kern w:val="0"/>
          <w:sz w:val="32"/>
          <w:szCs w:val="32"/>
          <w:lang w:val="en-US" w:eastAsia="zh-CN"/>
        </w:rPr>
        <w:t>临床科室39</w:t>
      </w:r>
      <w:r>
        <w:rPr>
          <w:rFonts w:ascii="仿宋" w:hAnsi="仿宋" w:eastAsia="仿宋"/>
          <w:color w:val="auto"/>
          <w:sz w:val="32"/>
          <w:szCs w:val="32"/>
        </w:rPr>
        <w:t>个</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医技科室7个、职能科室23个。</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601</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部分补助事业编制人数601人，</w:t>
      </w:r>
      <w:r>
        <w:rPr>
          <w:rFonts w:ascii="仿宋" w:hAnsi="仿宋" w:eastAsia="仿宋"/>
          <w:color w:val="auto"/>
          <w:sz w:val="32"/>
          <w:szCs w:val="32"/>
        </w:rPr>
        <w:t>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1310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1310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部分补助事业在职人数538人，备案制人数297人，聘用合同制人数466人，退休返聘9人</w:t>
      </w:r>
      <w:r>
        <w:rPr>
          <w:rFonts w:ascii="仿宋" w:hAnsi="仿宋" w:eastAsia="仿宋"/>
          <w:color w:val="auto"/>
          <w:sz w:val="32"/>
          <w:szCs w:val="32"/>
        </w:rPr>
        <w:t>。</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234</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highlight w:val="none"/>
          <w:lang w:val="en-US" w:eastAsia="zh-CN"/>
        </w:rPr>
        <w:t>7</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人民医院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val="en-US" w:eastAsia="zh-CN"/>
        </w:rPr>
        <w:t>本单位</w:t>
      </w:r>
      <w:r>
        <w:rPr>
          <w:rFonts w:hint="eastAsia" w:ascii="仿宋" w:hAnsi="仿宋" w:eastAsia="仿宋" w:cs="仿宋"/>
          <w:color w:val="auto"/>
          <w:sz w:val="30"/>
          <w:szCs w:val="30"/>
          <w:lang w:eastAsia="zh-CN"/>
        </w:rPr>
        <w:t>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69802.56</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加21218.65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幅43.67%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医疗业务收入增加</w:t>
      </w:r>
      <w:r>
        <w:rPr>
          <w:rFonts w:hint="eastAsia" w:ascii="仿宋" w:hAnsi="仿宋" w:eastAsia="仿宋" w:cs="仿宋"/>
          <w:color w:val="auto"/>
          <w:sz w:val="32"/>
          <w:szCs w:val="32"/>
          <w:lang w:eastAsia="zh-CN"/>
        </w:rPr>
        <w:t>。</w:t>
      </w:r>
    </w:p>
    <w:p>
      <w:pPr>
        <w:spacing w:line="560" w:lineRule="exact"/>
        <w:ind w:firstLine="600" w:firstLineChars="200"/>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val="en-US" w:eastAsia="zh-CN"/>
        </w:rPr>
        <w:t>财政拨款</w:t>
      </w:r>
      <w:r>
        <w:rPr>
          <w:rFonts w:hint="eastAsia" w:ascii="仿宋" w:hAnsi="仿宋" w:eastAsia="仿宋" w:cs="仿宋"/>
          <w:color w:val="auto"/>
          <w:sz w:val="30"/>
          <w:szCs w:val="30"/>
          <w:lang w:eastAsia="zh-CN"/>
        </w:rPr>
        <w:t>收入</w:t>
      </w:r>
      <w:r>
        <w:rPr>
          <w:rFonts w:hint="eastAsia" w:ascii="仿宋" w:hAnsi="仿宋" w:eastAsia="仿宋" w:cs="仿宋"/>
          <w:color w:val="auto"/>
          <w:sz w:val="32"/>
          <w:szCs w:val="32"/>
          <w:lang w:val="en-US" w:eastAsia="zh-CN"/>
        </w:rPr>
        <w:t>1525.05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占收入预算总额的2.18%，</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加49.4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；事业收入68277.51万元，占收入预算总额的97.82%，较上年预算安排增加21169.25万元。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69802.56</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加21218.65</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幅43.67%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人员工资及药品增长以及政府采购计划增长</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69802.56</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加21218.65</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w:t>
      </w:r>
      <w:r>
        <w:rPr>
          <w:rFonts w:hint="eastAsia" w:ascii="仿宋" w:hAnsi="仿宋" w:eastAsia="仿宋" w:cs="仿宋"/>
          <w:color w:val="auto"/>
          <w:sz w:val="30"/>
          <w:szCs w:val="30"/>
          <w:lang w:val="en-US" w:eastAsia="zh-CN"/>
        </w:rPr>
        <w:t>工资福利支出22651.31万元，占支出预算总额的32.45%，较上年预算安排增加4594.65万元；商品和服务支出32755.85万元，占支出预算总额的46.93%，较上年预算安排增加5428.68万元；对个人和家庭的补助39.73万元，占支出预算总额的0.06%，较上年预算安排减少0.38万元；资本性支出14355.67万元，占支出预算总额的20.56%，较上年预算安排增加11195.7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lang w:val="en-US" w:eastAsia="zh-CN"/>
        </w:rPr>
        <w:t>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1462.34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占支出预算总额的2.1%，</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减少9.31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卫生健康支出67767.69万元，占支出预算总额的97.08%，较上年预算安排增加21280.95万元；住房保障支出572.53万元，占支出预算总额的0.82%，较上年预算安排减少52.99万元。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2022年本单位财政拨款（补助）支出预算1525.05万元，占本年支出预算额的2.18%，，较上年预算安排增加49.4万元，增幅3.35%。增减变化主要原因是：职工人员增加。具体为：</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经济分类科目划分：基本支出1525.05万元，较上年预算安排增加49.4万元，其中：工资福利支出1525.05万元，占财政拨款预算总额的100%，较上年预算安排增加49.4万元；项目支出0万元，较上年预算安排减少0万元。</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功能分类科目划分：社会保障和就业支出181.94万元，占财政拨款支出预算总额的11.93%，较上年预算安排增加6.77万元；卫生健康支出1343.11万元，占财政拨款支出预算总额的88.07%，较上年预算安排增加42.63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无政府性基金预算拨款安排的支出</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本单位</w:t>
      </w:r>
      <w:r>
        <w:rPr>
          <w:rFonts w:hint="eastAsia" w:ascii="仿宋" w:hAnsi="仿宋" w:eastAsia="仿宋" w:cs="仿宋"/>
          <w:color w:val="auto"/>
          <w:sz w:val="32"/>
          <w:szCs w:val="32"/>
        </w:rPr>
        <w:t>国有资本经营支出预算为0万元，本单位无</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${page400644146.ds215660413_REP_BGT_T_HC1100002019_DXQ02_S_AMTGYZBJYYSZJ}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国有资本经营预算收入</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年预算减少</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万元，下降</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u w:val="none"/>
          <w:lang w:val="en-US" w:eastAsia="zh-CN"/>
        </w:rPr>
        <w:t>14355.67</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none"/>
          <w:lang w:val="en-US" w:eastAsia="zh-CN"/>
        </w:rPr>
        <w:t>9119.57</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none"/>
          <w:lang w:val="en-US" w:eastAsia="zh-CN"/>
        </w:rPr>
        <w:t>58.5</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none"/>
          <w:lang w:val="en-US" w:eastAsia="zh-CN"/>
        </w:rPr>
        <w:t>5177.6</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2021年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u w:val="single"/>
          <w:lang w:val="en-US" w:eastAsia="zh-CN"/>
        </w:rPr>
        <w:t>8</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特种专业技术用车8辆</w:t>
      </w:r>
      <w:r>
        <w:rPr>
          <w:rFonts w:hint="eastAsia" w:ascii="仿宋" w:hAnsi="仿宋" w:eastAsia="仿宋" w:cs="仿宋"/>
          <w:color w:val="auto"/>
          <w:sz w:val="32"/>
          <w:szCs w:val="32"/>
        </w:rPr>
        <w:t>。</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辆，安排购置单位价值200万元以上大型设备具为：</w:t>
      </w:r>
      <w:r>
        <w:rPr>
          <w:rFonts w:hint="eastAsia" w:ascii="仿宋" w:hAnsi="仿宋" w:eastAsia="仿宋" w:cs="仿宋"/>
          <w:kern w:val="2"/>
          <w:sz w:val="32"/>
          <w:szCs w:val="32"/>
          <w:u w:val="single"/>
          <w:lang w:val="en-US" w:eastAsia="zh-CN" w:bidi="ar"/>
        </w:rPr>
        <w:t xml:space="preserve">经皮内镜下超声骨动力系统、1470激光、过氧化氢低温等离子灭菌器、奥林巴斯CV-290主机、一条电子胃镜、一条电子结肠镜、大孔径CT模拟定位机、放疗配套设备（剂量、验证）、脊柱手术显微镜、经皮内镜下超声骨动力系统、大型数字减影血管造影机、电子鼻咽喉镜  </w:t>
      </w:r>
      <w:r>
        <w:rPr>
          <w:rFonts w:hint="eastAsia" w:ascii="仿宋" w:hAnsi="仿宋" w:eastAsia="仿宋" w:cs="仿宋"/>
          <w:kern w:val="2"/>
          <w:sz w:val="32"/>
          <w:szCs w:val="32"/>
          <w:lang w:val="en-US" w:eastAsia="zh-CN" w:bidi="ar"/>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w:t>
      </w:r>
      <w:r>
        <w:rPr>
          <w:rFonts w:hint="eastAsia" w:ascii="仿宋" w:hAnsi="仿宋" w:eastAsia="仿宋" w:cs="仿宋"/>
          <w:color w:val="auto"/>
          <w:sz w:val="32"/>
          <w:szCs w:val="32"/>
          <w:lang w:val="en-US" w:eastAsia="zh-CN"/>
        </w:rPr>
        <w:t>元。</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减少0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减少0</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val="en-US" w:eastAsia="zh-CN"/>
        </w:rPr>
        <w:t>与上年保持一致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减少0</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val="en-US" w:eastAsia="zh-CN"/>
        </w:rPr>
        <w:t>与上年保持一致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减少0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val="en-US" w:eastAsia="zh-CN"/>
        </w:rPr>
        <w:t>与上年保持一致</w:t>
      </w:r>
      <w:r>
        <w:rPr>
          <w:rFonts w:hint="eastAsia" w:ascii="仿宋" w:hAnsi="仿宋" w:eastAsia="仿宋" w:cs="仿宋"/>
          <w:color w:val="auto"/>
          <w:sz w:val="32"/>
          <w:szCs w:val="32"/>
        </w:rPr>
        <w:t>。</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人民医院2022年</w:t>
      </w:r>
      <w:r>
        <w:rPr>
          <w:rFonts w:hint="eastAsia" w:ascii="黑体" w:hAnsi="黑体" w:eastAsia="黑体" w:cs="黑体"/>
          <w:b w:val="0"/>
          <w:bCs w:val="0"/>
          <w:color w:val="auto"/>
          <w:sz w:val="32"/>
          <w:szCs w:val="32"/>
        </w:rPr>
        <w:t>预算表</w:t>
      </w:r>
    </w:p>
    <w:p>
      <w:pPr>
        <w:keepNext w:val="0"/>
        <w:keepLines w:val="0"/>
        <w:pageBreakBefore w:val="0"/>
        <w:widowControl w:val="0"/>
        <w:kinsoku/>
        <w:wordWrap/>
        <w:overflowPunct/>
        <w:topLinePunct w:val="0"/>
        <w:autoSpaceDE/>
        <w:autoSpaceDN/>
        <w:bidi w:val="0"/>
        <w:adjustRightInd/>
        <w:snapToGrid w:val="0"/>
        <w:spacing w:line="240" w:lineRule="auto"/>
        <w:ind w:firstLine="320" w:firstLineChars="1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3"/>
        <w:tblpPr w:leftFromText="181" w:rightFromText="181" w:vertAnchor="text" w:horzAnchor="page" w:tblpX="2189" w:tblpY="284"/>
        <w:tblOverlap w:val="never"/>
        <w:tblW w:w="121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97"/>
        <w:gridCol w:w="2751"/>
        <w:gridCol w:w="3608"/>
        <w:gridCol w:w="15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3" w:hRule="atLeast"/>
        </w:trPr>
        <w:tc>
          <w:tcPr>
            <w:tcW w:w="12160" w:type="dxa"/>
            <w:gridSpan w:val="4"/>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4297" w:type="dxa"/>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填报单位:[403008]兴国县人民医院</w:t>
            </w:r>
          </w:p>
        </w:tc>
        <w:tc>
          <w:tcPr>
            <w:tcW w:w="2751"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val="0"/>
              <w:spacing w:line="120" w:lineRule="atLeast"/>
              <w:rPr>
                <w:rFonts w:hint="eastAsia" w:ascii="Calibri" w:hAnsi="Calibri" w:cs="Calibri"/>
                <w:i w:val="0"/>
                <w:iCs w:val="0"/>
                <w:color w:val="000000"/>
                <w:sz w:val="22"/>
                <w:szCs w:val="22"/>
                <w:u w:val="none"/>
              </w:rPr>
            </w:pPr>
          </w:p>
        </w:tc>
        <w:tc>
          <w:tcPr>
            <w:tcW w:w="3608"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val="0"/>
              <w:spacing w:line="120" w:lineRule="atLeast"/>
              <w:rPr>
                <w:rFonts w:hint="default" w:ascii="Calibri" w:hAnsi="Calibri" w:cs="Calibri"/>
                <w:i w:val="0"/>
                <w:iCs w:val="0"/>
                <w:color w:val="000000"/>
                <w:sz w:val="22"/>
                <w:szCs w:val="22"/>
                <w:u w:val="none"/>
              </w:rPr>
            </w:pPr>
          </w:p>
        </w:tc>
        <w:tc>
          <w:tcPr>
            <w:tcW w:w="1504" w:type="dxa"/>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70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51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2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1,462.34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（一）一般公共预算收入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67,767.69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（二）政府性基金预算收入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（三）国有资本经营预算收入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二、教育收费资金收入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三、事业收入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68,277.51</w:t>
            </w: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四、事业单位经营收入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五、附属单位上缴收入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六、上级补助收入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七、其他收入</w:t>
            </w: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jc w:val="left"/>
              <w:rPr>
                <w:rFonts w:hint="eastAsia" w:ascii="宋体" w:hAnsi="宋体" w:eastAsia="宋体" w:cs="宋体"/>
                <w:i w:val="0"/>
                <w:iCs w:val="0"/>
                <w:color w:val="000000"/>
                <w:sz w:val="24"/>
                <w:szCs w:val="24"/>
                <w:u w:val="none"/>
              </w:rPr>
            </w:pP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本年收入合计</w:t>
            </w: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69,802.56</w:t>
            </w: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本年支出合计</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69,802.56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八、使用非财政拨款结余</w:t>
            </w: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结转下年</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九、上年结转（结余）</w:t>
            </w: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kinsoku/>
              <w:wordWrap/>
              <w:overflowPunct/>
              <w:topLinePunct w:val="0"/>
              <w:autoSpaceDE/>
              <w:autoSpaceDN/>
              <w:bidi w:val="0"/>
              <w:adjustRightInd/>
              <w:snapToGrid w:val="0"/>
              <w:spacing w:line="120" w:lineRule="atLeast"/>
              <w:rPr>
                <w:rFonts w:hint="default" w:ascii="Calibri" w:hAnsi="Calibri" w:cs="Calibri"/>
                <w:i w:val="0"/>
                <w:iCs w:val="0"/>
                <w:color w:val="000000"/>
                <w:sz w:val="22"/>
                <w:szCs w:val="22"/>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kinsoku/>
              <w:wordWrap/>
              <w:overflowPunct/>
              <w:topLinePunct w:val="0"/>
              <w:autoSpaceDE/>
              <w:autoSpaceDN/>
              <w:bidi w:val="0"/>
              <w:adjustRightInd/>
              <w:snapToGrid w:val="0"/>
              <w:spacing w:line="120" w:lineRule="atLeast"/>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kinsoku/>
              <w:wordWrap/>
              <w:overflowPunct/>
              <w:topLinePunct w:val="0"/>
              <w:autoSpaceDE/>
              <w:autoSpaceDN/>
              <w:bidi w:val="0"/>
              <w:adjustRightInd/>
              <w:snapToGrid w:val="0"/>
              <w:spacing w:line="120" w:lineRule="atLeast"/>
              <w:rPr>
                <w:rFonts w:hint="eastAsia" w:ascii="宋体" w:hAnsi="宋体" w:eastAsia="宋体" w:cs="宋体"/>
                <w:i w:val="0"/>
                <w:iCs w:val="0"/>
                <w:color w:val="000000"/>
                <w:sz w:val="24"/>
                <w:szCs w:val="24"/>
                <w:u w:val="none"/>
              </w:rPr>
            </w:pP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val="0"/>
              <w:spacing w:line="120" w:lineRule="atLeast"/>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4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27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69,802.56</w:t>
            </w:r>
          </w:p>
        </w:tc>
        <w:tc>
          <w:tcPr>
            <w:tcW w:w="3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spacing w:line="120" w:lineRule="atLeast"/>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69,802.56</w:t>
            </w:r>
          </w:p>
        </w:tc>
      </w:tr>
    </w:tbl>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w:t>
      </w: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lang w:val="en-US" w:eastAsia="zh-CN"/>
        </w:rPr>
      </w:pP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《部门收入总表》</w:t>
      </w:r>
    </w:p>
    <w:tbl>
      <w:tblPr>
        <w:tblStyle w:val="3"/>
        <w:tblW w:w="0" w:type="auto"/>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7"/>
        <w:gridCol w:w="3633"/>
        <w:gridCol w:w="1380"/>
        <w:gridCol w:w="320"/>
        <w:gridCol w:w="1100"/>
        <w:gridCol w:w="1060"/>
        <w:gridCol w:w="780"/>
        <w:gridCol w:w="720"/>
        <w:gridCol w:w="427"/>
        <w:gridCol w:w="1213"/>
        <w:gridCol w:w="440"/>
        <w:gridCol w:w="640"/>
        <w:gridCol w:w="600"/>
        <w:gridCol w:w="660"/>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24" w:hRule="atLeast"/>
        </w:trPr>
        <w:tc>
          <w:tcPr>
            <w:tcW w:w="14940" w:type="dxa"/>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1" w:hRule="atLeast"/>
        </w:trPr>
        <w:tc>
          <w:tcPr>
            <w:tcW w:w="4880" w:type="dxa"/>
            <w:gridSpan w:val="2"/>
            <w:tcBorders>
              <w:top w:val="nil"/>
              <w:left w:val="nil"/>
              <w:bottom w:val="nil"/>
              <w:right w:val="nil"/>
            </w:tcBorders>
            <w:shd w:val="clear" w:color="auto" w:fill="auto"/>
            <w:noWrap/>
            <w:vAlign w:val="center"/>
          </w:tcPr>
          <w:p>
            <w:pPr>
              <w:rPr>
                <w:rFonts w:hint="eastAsia" w:ascii="Calibri" w:hAnsi="Calibri" w:cs="Calibri"/>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[403008]兴国县人民医院</w:t>
            </w:r>
          </w:p>
        </w:tc>
        <w:tc>
          <w:tcPr>
            <w:tcW w:w="138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32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10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06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78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72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427"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213"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44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64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60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380"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0" w:hRule="atLeast"/>
        </w:trPr>
        <w:tc>
          <w:tcPr>
            <w:tcW w:w="124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功能科目编码</w:t>
            </w:r>
          </w:p>
        </w:tc>
        <w:tc>
          <w:tcPr>
            <w:tcW w:w="36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功能科目名称</w:t>
            </w:r>
          </w:p>
        </w:tc>
        <w:tc>
          <w:tcPr>
            <w:tcW w:w="1380"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上年结转</w:t>
            </w:r>
          </w:p>
        </w:tc>
        <w:tc>
          <w:tcPr>
            <w:tcW w:w="366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财政拨款</w:t>
            </w:r>
          </w:p>
        </w:tc>
        <w:tc>
          <w:tcPr>
            <w:tcW w:w="427"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教育收费资金收入</w:t>
            </w:r>
          </w:p>
        </w:tc>
        <w:tc>
          <w:tcPr>
            <w:tcW w:w="121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事业收入</w:t>
            </w:r>
          </w:p>
        </w:tc>
        <w:tc>
          <w:tcPr>
            <w:tcW w:w="44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事业单位经营收入</w:t>
            </w:r>
          </w:p>
        </w:tc>
        <w:tc>
          <w:tcPr>
            <w:tcW w:w="64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附属单位上缴收入</w:t>
            </w:r>
          </w:p>
        </w:tc>
        <w:tc>
          <w:tcPr>
            <w:tcW w:w="60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上级补助收入</w:t>
            </w:r>
          </w:p>
        </w:tc>
        <w:tc>
          <w:tcPr>
            <w:tcW w:w="66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其他收入</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192" w:hRule="atLeast"/>
        </w:trPr>
        <w:tc>
          <w:tcPr>
            <w:tcW w:w="124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6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80"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小计</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一般公共预算拨款收入</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政府性基金预算拨款收入</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国有资本经营预算收入</w:t>
            </w:r>
          </w:p>
        </w:tc>
        <w:tc>
          <w:tcPr>
            <w:tcW w:w="427"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213"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4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0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6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86" w:hRule="atLeast"/>
        </w:trPr>
        <w:tc>
          <w:tcPr>
            <w:tcW w:w="1247"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63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38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0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6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72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27"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1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4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4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60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66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72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69,802.56</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1,525.05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1,525.05</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68,277.51</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1,462.34</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181.94</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181.94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1,280.40</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3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1,433.70</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181.94</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181.94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1,251.76</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2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2080505</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w:t>
            </w:r>
            <w:r>
              <w:rPr>
                <w:rFonts w:hint="eastAsia" w:ascii="宋体" w:hAnsi="宋体" w:eastAsia="宋体" w:cs="宋体"/>
                <w:i w:val="0"/>
                <w:iCs w:val="0"/>
                <w:color w:val="000000"/>
                <w:kern w:val="0"/>
                <w:sz w:val="18"/>
                <w:szCs w:val="18"/>
                <w:u w:val="none"/>
                <w:lang w:val="en-US" w:eastAsia="zh-CN" w:bidi="ar"/>
              </w:rPr>
              <w:t>机关事业单位基本养老保险缴费支出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1,108.05</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121.29</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121.29</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986.76</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2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2080506</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机关事业单位职业年金缴费支出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325.65</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60.65</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60.65</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265.01</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1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99</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其他社会保障和就业支出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28.64</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28.64</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4"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2089999</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其他社会保障和就业支出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28.64</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28.64</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67,767.69</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1,343.11</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1,343.11</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66,424.58</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公立医院</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67,204.87</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1,201.09</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1,201.09</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66,003.78</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2100201</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综合医院</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67,204.87</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1,201.09</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1,201.09</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66,003.78</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562.83</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142.02</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420.81</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2101102</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562.83</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142.02</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142.02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420.81</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572.53</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572.53</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7"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住房改革支出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572.53</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572.53</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72" w:hRule="atLeast"/>
        </w:trPr>
        <w:tc>
          <w:tcPr>
            <w:tcW w:w="12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2210201</w:t>
            </w:r>
          </w:p>
        </w:tc>
        <w:tc>
          <w:tcPr>
            <w:tcW w:w="3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572.53</w:t>
            </w:r>
          </w:p>
        </w:tc>
        <w:tc>
          <w:tcPr>
            <w:tcW w:w="3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572.53</w:t>
            </w:r>
          </w:p>
        </w:tc>
        <w:tc>
          <w:tcPr>
            <w:tcW w:w="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1"/>
                <w:szCs w:val="21"/>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《部门支出总表》</w:t>
      </w:r>
    </w:p>
    <w:tbl>
      <w:tblPr>
        <w:tblStyle w:val="3"/>
        <w:tblW w:w="1579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87"/>
        <w:gridCol w:w="4650"/>
        <w:gridCol w:w="2641"/>
        <w:gridCol w:w="2538"/>
        <w:gridCol w:w="20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1" w:hRule="atLeast"/>
        </w:trPr>
        <w:tc>
          <w:tcPr>
            <w:tcW w:w="3887"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65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641"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538"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8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1"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填报单位[403008]兴国县人民医院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641"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2641"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69,802.56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69,802.56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1,462.34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1,462.34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325.65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325.65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2089999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其他社会保障和就业支出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67,767.69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67,767.69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公立医院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67,204.87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67,204.87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综合医院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67,204.87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67,204.87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562.83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562.83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562.83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562.83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住房改革支出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2210201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572.53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tbl>
      <w:tblPr>
        <w:tblStyle w:val="3"/>
        <w:tblpPr w:leftFromText="181" w:rightFromText="181" w:vertAnchor="text" w:horzAnchor="page" w:tblpX="936" w:tblpY="511"/>
        <w:tblOverlap w:val="never"/>
        <w:tblW w:w="152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30"/>
        <w:gridCol w:w="2040"/>
        <w:gridCol w:w="3570"/>
        <w:gridCol w:w="2085"/>
        <w:gridCol w:w="1785"/>
        <w:gridCol w:w="1200"/>
        <w:gridCol w:w="14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333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4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57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8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78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00"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20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财政拨款收支总表</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[403008]兴国县人民医院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3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3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208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78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一般公共预算支出</w:t>
            </w:r>
          </w:p>
        </w:tc>
        <w:tc>
          <w:tcPr>
            <w:tcW w:w="120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政府性基金预算支出</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一、本年支出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1,343.11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1,343.11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国有资本经营预算收入</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bl>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《一般公共预算支出表》</w:t>
      </w:r>
    </w:p>
    <w:tbl>
      <w:tblPr>
        <w:tblStyle w:val="3"/>
        <w:tblW w:w="138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56"/>
        <w:gridCol w:w="4650"/>
        <w:gridCol w:w="2490"/>
        <w:gridCol w:w="2490"/>
        <w:gridCol w:w="24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5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65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49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49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49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[403008]兴国县人民医院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1,343.11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1,343.11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公立医院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综合医院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《一般公共预算基本支出表》</w:t>
      </w:r>
    </w:p>
    <w:tbl>
      <w:tblPr>
        <w:tblStyle w:val="3"/>
        <w:tblpPr w:leftFromText="181" w:rightFromText="181" w:vertAnchor="text" w:horzAnchor="page" w:tblpX="1543" w:tblpY="285"/>
        <w:tblOverlap w:val="never"/>
        <w:tblW w:w="130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40"/>
        <w:gridCol w:w="3990"/>
        <w:gridCol w:w="2040"/>
        <w:gridCol w:w="2040"/>
        <w:gridCol w:w="20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4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99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4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4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4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305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4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[403008]兴国县人民医院</w:t>
            </w:r>
          </w:p>
        </w:tc>
        <w:tc>
          <w:tcPr>
            <w:tcW w:w="399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04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04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04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69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支出经济分类科目</w:t>
            </w:r>
          </w:p>
        </w:tc>
        <w:tc>
          <w:tcPr>
            <w:tcW w:w="612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3990"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人员经费</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4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99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301</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工资福利支出</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1,525.05</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30101</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基本工资</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1,201.09</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1,201.09</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30108</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121.29</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121.29</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30109</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职业年金缴费</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60.65</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60.65</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30110</w:t>
            </w:r>
          </w:p>
        </w:tc>
        <w:tc>
          <w:tcPr>
            <w:tcW w:w="3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职工基本医疗保险缴费</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142.02</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142.02</w:t>
            </w:r>
          </w:p>
        </w:tc>
        <w:tc>
          <w:tcPr>
            <w:tcW w:w="20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bl>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sectPr>
          <w:pgSz w:w="16838" w:h="11906" w:orient="landscape"/>
          <w:pgMar w:top="720" w:right="567" w:bottom="720" w:left="567" w:header="851" w:footer="992" w:gutter="0"/>
          <w:cols w:space="425" w:num="1"/>
          <w:docGrid w:type="lines" w:linePitch="312" w:charSpace="0"/>
        </w:sect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《一般公共预算“三公”经费支出表》</w:t>
      </w:r>
    </w:p>
    <w:p>
      <w:pPr>
        <w:numPr>
          <w:ilvl w:val="0"/>
          <w:numId w:val="0"/>
        </w:numPr>
        <w:spacing w:line="560" w:lineRule="exact"/>
        <w:ind w:leftChars="0"/>
        <w:rPr>
          <w:rFonts w:hint="eastAsia" w:ascii="仿宋" w:hAnsi="仿宋" w:eastAsia="仿宋" w:cs="仿宋"/>
          <w:color w:val="auto"/>
          <w:sz w:val="32"/>
          <w:szCs w:val="32"/>
          <w:lang w:val="en-US" w:eastAsia="zh-CN"/>
        </w:rPr>
      </w:pPr>
    </w:p>
    <w:tbl>
      <w:tblPr>
        <w:tblStyle w:val="3"/>
        <w:tblpPr w:leftFromText="180" w:rightFromText="180" w:vertAnchor="text" w:horzAnchor="page" w:tblpX="1475" w:tblpY="76"/>
        <w:tblOverlap w:val="never"/>
        <w:tblW w:w="134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6"/>
        <w:gridCol w:w="2617"/>
        <w:gridCol w:w="1486"/>
        <w:gridCol w:w="1495"/>
        <w:gridCol w:w="1175"/>
        <w:gridCol w:w="1175"/>
        <w:gridCol w:w="16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3459"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816"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填报单位[403008]兴国县人民医院</w:t>
            </w:r>
          </w:p>
        </w:tc>
        <w:tc>
          <w:tcPr>
            <w:tcW w:w="261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486"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49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175"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4"/>
                <w:szCs w:val="24"/>
                <w:u w:val="none"/>
              </w:rPr>
            </w:pPr>
          </w:p>
        </w:tc>
        <w:tc>
          <w:tcPr>
            <w:tcW w:w="117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69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38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单位编码</w:t>
            </w:r>
          </w:p>
        </w:tc>
        <w:tc>
          <w:tcPr>
            <w:tcW w:w="261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单位名称</w:t>
            </w:r>
          </w:p>
        </w:tc>
        <w:tc>
          <w:tcPr>
            <w:tcW w:w="148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11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11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公务用车运行维护费</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8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61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8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6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 </w:t>
            </w:r>
          </w:p>
        </w:tc>
        <w:tc>
          <w:tcPr>
            <w:tcW w:w="1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 </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 </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Arial" w:hAnsi="Arial" w:cs="Arial"/>
                <w:i w:val="0"/>
                <w:iCs w:val="0"/>
                <w:color w:val="000000"/>
                <w:sz w:val="20"/>
                <w:szCs w:val="20"/>
                <w:u w:val="none"/>
              </w:rPr>
            </w:pPr>
          </w:p>
        </w:tc>
        <w:tc>
          <w:tcPr>
            <w:tcW w:w="26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4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r>
    </w:tbl>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1"/>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numPr>
          <w:ilvl w:val="0"/>
          <w:numId w:val="0"/>
        </w:numPr>
        <w:ind w:firstLine="7680" w:firstLineChars="2400"/>
        <w:rPr>
          <w:rFonts w:hint="eastAsia"/>
        </w:rPr>
      </w:pPr>
      <w:r>
        <w:rPr>
          <w:rFonts w:hint="eastAsia"/>
        </w:rPr>
        <w:t>注：若为空表，则为该部门（单位）无政府性基金收支</w:t>
      </w:r>
    </w:p>
    <w:tbl>
      <w:tblPr>
        <w:tblStyle w:val="3"/>
        <w:tblpPr w:leftFromText="181" w:rightFromText="181" w:vertAnchor="text" w:horzAnchor="page" w:tblpX="868" w:tblpY="341"/>
        <w:tblOverlap w:val="never"/>
        <w:tblW w:w="153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03"/>
        <w:gridCol w:w="3203"/>
        <w:gridCol w:w="1895"/>
        <w:gridCol w:w="3203"/>
        <w:gridCol w:w="38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5" w:hRule="atLeast"/>
        </w:trPr>
        <w:tc>
          <w:tcPr>
            <w:tcW w:w="1536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trPr>
        <w:tc>
          <w:tcPr>
            <w:tcW w:w="3203"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320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89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320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3856"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64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895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3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3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3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3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8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32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32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18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32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385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bl>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numPr>
          <w:ilvl w:val="0"/>
          <w:numId w:val="0"/>
        </w:numPr>
        <w:ind w:leftChars="0" w:firstLine="6720" w:firstLineChars="2100"/>
        <w:rPr>
          <w:rFonts w:hint="eastAsia"/>
        </w:rPr>
      </w:pPr>
      <w:r>
        <w:rPr>
          <w:rFonts w:hint="eastAsia"/>
        </w:rPr>
        <w:t>注：若为空表，则为该部门（单位）无国有资本经营预算收支</w:t>
      </w:r>
    </w:p>
    <w:tbl>
      <w:tblPr>
        <w:tblStyle w:val="3"/>
        <w:tblpPr w:leftFromText="181" w:rightFromText="181" w:vertAnchor="text" w:horzAnchor="page" w:tblpX="987" w:tblpY="284"/>
        <w:tblOverlap w:val="never"/>
        <w:tblW w:w="15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38"/>
        <w:gridCol w:w="2103"/>
        <w:gridCol w:w="1245"/>
        <w:gridCol w:w="2103"/>
        <w:gridCol w:w="25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1502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atLeast"/>
        </w:trPr>
        <w:tc>
          <w:tcPr>
            <w:tcW w:w="7038"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填报单位:[403008]兴国县人民医院</w:t>
            </w:r>
          </w:p>
        </w:tc>
        <w:tc>
          <w:tcPr>
            <w:tcW w:w="210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24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10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531"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914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587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70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25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 w:hRule="atLeast"/>
        </w:trPr>
        <w:tc>
          <w:tcPr>
            <w:tcW w:w="703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103"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124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103"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531"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703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210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253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bl>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lang w:val="en-US"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rPr>
        <w:t>《项目支出绩效目标表》</w:t>
      </w:r>
    </w:p>
    <w:p>
      <w:pPr>
        <w:pStyle w:val="2"/>
        <w:rPr>
          <w:rFonts w:hint="eastAsia" w:ascii="仿宋" w:hAnsi="仿宋" w:eastAsia="仿宋" w:cs="仿宋"/>
          <w:color w:val="auto"/>
          <w:sz w:val="32"/>
          <w:szCs w:val="32"/>
          <w:lang w:val="en-US" w:eastAsia="zh-CN"/>
        </w:rPr>
        <w:sectPr>
          <w:pgSz w:w="16838" w:h="11906" w:orient="landscape"/>
          <w:pgMar w:top="720" w:right="567" w:bottom="720" w:left="567" w:header="851" w:footer="992" w:gutter="0"/>
          <w:cols w:space="425" w:num="1"/>
          <w:docGrid w:type="lines" w:linePitch="312" w:charSpace="0"/>
        </w:sectPr>
      </w:pPr>
      <w:r>
        <w:rPr>
          <w:rFonts w:hint="eastAsia" w:eastAsia="仿宋"/>
          <w:color w:val="auto"/>
          <w:lang w:val="en-US" w:eastAsia="zh-CN"/>
        </w:rPr>
        <w:t>无</w:t>
      </w: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bookmarkStart w:id="0" w:name="_GoBack"/>
      <w:bookmarkEnd w:id="0"/>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（六）死亡抚恤：反映单位遗属人员生活补助。</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eastAsia="仿宋"/>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卫生健康支出：反映政府卫生健康方面的支出。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FF2185"/>
    <w:multiLevelType w:val="singleLevel"/>
    <w:tmpl w:val="42FF2185"/>
    <w:lvl w:ilvl="0" w:tentative="0">
      <w:start w:val="8"/>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hMTIzNDIxMzZmMjhiZDliMDdkYjllYTRiMjQ3MjUifQ=="/>
  </w:docVars>
  <w:rsids>
    <w:rsidRoot w:val="31C93669"/>
    <w:rsid w:val="09EA5159"/>
    <w:rsid w:val="0A1977EC"/>
    <w:rsid w:val="0B1526A9"/>
    <w:rsid w:val="15804BC3"/>
    <w:rsid w:val="19112D11"/>
    <w:rsid w:val="1BF10CB7"/>
    <w:rsid w:val="1C850DC1"/>
    <w:rsid w:val="1E02311E"/>
    <w:rsid w:val="2011116E"/>
    <w:rsid w:val="280451E0"/>
    <w:rsid w:val="28287811"/>
    <w:rsid w:val="30907F59"/>
    <w:rsid w:val="31C93669"/>
    <w:rsid w:val="3A59472B"/>
    <w:rsid w:val="3B5F0193"/>
    <w:rsid w:val="405945B9"/>
    <w:rsid w:val="436E6219"/>
    <w:rsid w:val="4692419A"/>
    <w:rsid w:val="47EA6595"/>
    <w:rsid w:val="4A905C83"/>
    <w:rsid w:val="4B11183E"/>
    <w:rsid w:val="52613892"/>
    <w:rsid w:val="54256E26"/>
    <w:rsid w:val="5D715F41"/>
    <w:rsid w:val="60AE1BB1"/>
    <w:rsid w:val="687E0A55"/>
    <w:rsid w:val="71C54FAD"/>
    <w:rsid w:val="76A21F4E"/>
    <w:rsid w:val="7B5432A8"/>
    <w:rsid w:val="7C0908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customStyle="1" w:styleId="5">
    <w:name w:val="row_tree_level_4"/>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4407</Words>
  <Characters>5814</Characters>
  <Lines>1</Lines>
  <Paragraphs>1</Paragraphs>
  <TotalTime>65</TotalTime>
  <ScaleCrop>false</ScaleCrop>
  <LinksUpToDate>false</LinksUpToDate>
  <CharactersWithSpaces>5955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2023-06-19T02:46:50Z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F003623FF1E34171A0D9CF385BE04B66</vt:lpwstr>
  </property>
</Properties>
</file>