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6"/>
        <w:ind w:left="0"/>
        <w:rPr>
          <w:rFonts w:ascii="黑体"/>
          <w:sz w:val="40"/>
        </w:rPr>
      </w:pPr>
    </w:p>
    <w:p>
      <w:pPr>
        <w:pStyle w:val="3"/>
        <w:ind w:right="1500"/>
      </w:pPr>
      <w:r>
        <w:t>兴国县</w:t>
      </w:r>
      <w:r>
        <w:rPr>
          <w:rFonts w:hint="eastAsia"/>
        </w:rPr>
        <w:t>皮肤病性病防治所</w:t>
      </w:r>
      <w:r>
        <w:t>20</w:t>
      </w:r>
      <w:r>
        <w:rPr>
          <w:rFonts w:hint="eastAsia"/>
          <w:lang w:val="en-US" w:eastAsia="zh-CN"/>
        </w:rPr>
        <w:t>20</w:t>
      </w:r>
      <w:r>
        <w:t>年度部门决算</w:t>
      </w:r>
    </w:p>
    <w:p>
      <w:pPr>
        <w:pStyle w:val="2"/>
        <w:tabs>
          <w:tab w:val="left" w:pos="899"/>
        </w:tabs>
        <w:spacing w:before="83"/>
        <w:ind w:left="0" w:right="1503"/>
        <w:jc w:val="center"/>
        <w:rPr>
          <w:rFonts w:hint="eastAsia" w:ascii="黑体" w:eastAsia="黑体"/>
        </w:rPr>
      </w:pPr>
      <w:r>
        <w:rPr>
          <w:rFonts w:hint="eastAsia" w:ascii="黑体" w:eastAsia="黑体"/>
        </w:rPr>
        <w:t>目</w:t>
      </w:r>
      <w:r>
        <w:rPr>
          <w:rFonts w:hint="eastAsia" w:ascii="黑体" w:eastAsia="黑体"/>
        </w:rPr>
        <w:tab/>
      </w:r>
      <w:r>
        <w:rPr>
          <w:rFonts w:hint="eastAsia" w:ascii="黑体" w:eastAsia="黑体"/>
        </w:rPr>
        <w:t>录</w:t>
      </w:r>
    </w:p>
    <w:p>
      <w:pPr>
        <w:spacing w:after="0"/>
        <w:jc w:val="center"/>
        <w:rPr>
          <w:rFonts w:hint="eastAsia" w:ascii="黑体" w:eastAsia="黑体"/>
        </w:rPr>
      </w:pPr>
    </w:p>
    <w:p>
      <w:pPr>
        <w:tabs>
          <w:tab w:val="left" w:pos="2265"/>
        </w:tabs>
        <w:spacing w:before="58"/>
        <w:ind w:left="760" w:right="0" w:firstLine="0"/>
        <w:jc w:val="left"/>
        <w:rPr>
          <w:rFonts w:hint="eastAsia" w:ascii="黑体" w:hAnsi="黑体" w:eastAsia="黑体"/>
          <w:b/>
          <w:sz w:val="30"/>
        </w:rPr>
      </w:pPr>
      <w:r>
        <w:rPr>
          <w:rFonts w:hint="eastAsia" w:ascii="黑体" w:hAnsi="黑体" w:eastAsia="黑体"/>
          <w:b/>
          <w:sz w:val="30"/>
        </w:rPr>
        <w:t>第一部分</w:t>
      </w:r>
      <w:r>
        <w:rPr>
          <w:rFonts w:hint="eastAsia" w:ascii="黑体" w:hAnsi="黑体" w:eastAsia="黑体"/>
          <w:b/>
          <w:sz w:val="30"/>
          <w:lang w:val="en-US" w:eastAsia="zh-CN"/>
        </w:rPr>
        <w:t xml:space="preserve"> 兴国县皮肤病性病防治所</w:t>
      </w:r>
      <w:r>
        <w:rPr>
          <w:rFonts w:hint="eastAsia" w:ascii="黑体" w:hAnsi="黑体" w:eastAsia="黑体"/>
          <w:b/>
          <w:sz w:val="30"/>
        </w:rPr>
        <w:t>概况</w:t>
      </w:r>
    </w:p>
    <w:p>
      <w:pPr>
        <w:pStyle w:val="2"/>
        <w:spacing w:before="215"/>
        <w:ind w:left="760" w:firstLine="600" w:firstLineChars="200"/>
      </w:pPr>
      <w:r>
        <w:t>一、部门主要职责</w:t>
      </w:r>
    </w:p>
    <w:p>
      <w:pPr>
        <w:pStyle w:val="2"/>
        <w:spacing w:before="216"/>
        <w:ind w:left="1360"/>
      </w:pPr>
      <w:r>
        <w:t>二、部门基本情况</w:t>
      </w:r>
    </w:p>
    <w:p>
      <w:pPr>
        <w:widowControl/>
        <w:spacing w:line="600" w:lineRule="exact"/>
        <w:ind w:firstLine="640"/>
        <w:jc w:val="left"/>
        <w:rPr>
          <w:rFonts w:hint="eastAsia" w:ascii="黑体" w:hAnsi="黑体" w:eastAsia="黑体"/>
          <w:sz w:val="32"/>
          <w:szCs w:val="32"/>
        </w:rPr>
      </w:pPr>
      <w:r>
        <w:rPr>
          <w:rFonts w:hint="eastAsia" w:ascii="黑体" w:hAnsi="黑体" w:eastAsia="黑体"/>
          <w:sz w:val="32"/>
          <w:szCs w:val="32"/>
        </w:rPr>
        <w:t>第二部分  2020年度部门决算表</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一、收入支出决算总表</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二、收入决算表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三、支出决算表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四、财政拨款收入支出决算总表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五、一般公共预算财政拨款支出决算表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六、一般公共预算财政拨款基本支出决算表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七、一般公共预算财政拨款“三公”经费支出决算</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表</w:t>
      </w:r>
    </w:p>
    <w:p>
      <w:pPr>
        <w:widowControl/>
        <w:numPr>
          <w:ilvl w:val="0"/>
          <w:numId w:val="1"/>
        </w:numPr>
        <w:spacing w:line="600" w:lineRule="exact"/>
        <w:ind w:left="1280" w:leftChars="0" w:firstLine="0" w:firstLineChars="0"/>
        <w:jc w:val="left"/>
        <w:rPr>
          <w:rFonts w:hint="eastAsia" w:ascii="仿宋" w:hAnsi="仿宋" w:eastAsia="仿宋" w:cs="宋体"/>
          <w:kern w:val="0"/>
          <w:sz w:val="32"/>
          <w:szCs w:val="32"/>
        </w:rPr>
      </w:pPr>
      <w:r>
        <w:rPr>
          <w:rFonts w:hint="eastAsia" w:ascii="仿宋" w:hAnsi="仿宋" w:eastAsia="仿宋" w:cs="宋体"/>
          <w:kern w:val="0"/>
          <w:sz w:val="32"/>
          <w:szCs w:val="32"/>
        </w:rPr>
        <w:t>政府性基金预算财政拨款收入支出决算表</w:t>
      </w:r>
    </w:p>
    <w:p>
      <w:pPr>
        <w:widowControl/>
        <w:numPr>
          <w:ilvl w:val="0"/>
          <w:numId w:val="1"/>
        </w:numPr>
        <w:spacing w:line="600" w:lineRule="exact"/>
        <w:ind w:left="1280" w:leftChars="0" w:firstLine="0" w:firstLineChars="0"/>
        <w:jc w:val="left"/>
        <w:rPr>
          <w:rFonts w:hint="eastAsia" w:ascii="仿宋" w:hAnsi="仿宋" w:eastAsia="仿宋" w:cs="宋体"/>
          <w:kern w:val="0"/>
          <w:sz w:val="32"/>
          <w:szCs w:val="32"/>
        </w:rPr>
      </w:pPr>
      <w:r>
        <w:rPr>
          <w:rFonts w:hint="eastAsia" w:ascii="仿宋" w:hAnsi="仿宋" w:eastAsia="仿宋" w:cs="宋体"/>
          <w:kern w:val="0"/>
          <w:sz w:val="32"/>
          <w:szCs w:val="32"/>
          <w:lang w:val="en-US" w:eastAsia="zh-CN"/>
        </w:rPr>
        <w:t>国有资本经营预算财政拨款支出决算表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w:t>
      </w:r>
      <w:r>
        <w:rPr>
          <w:rFonts w:hint="eastAsia" w:ascii="仿宋" w:hAnsi="仿宋" w:eastAsia="仿宋" w:cs="宋体"/>
          <w:kern w:val="0"/>
          <w:sz w:val="32"/>
          <w:szCs w:val="32"/>
          <w:lang w:val="en-US" w:eastAsia="zh-CN"/>
        </w:rPr>
        <w:t>十</w:t>
      </w:r>
      <w:r>
        <w:rPr>
          <w:rFonts w:hint="eastAsia" w:ascii="仿宋" w:hAnsi="仿宋" w:eastAsia="仿宋" w:cs="宋体"/>
          <w:kern w:val="0"/>
          <w:sz w:val="32"/>
          <w:szCs w:val="32"/>
        </w:rPr>
        <w:t>、国有资产占用情况表</w:t>
      </w:r>
    </w:p>
    <w:p>
      <w:pPr>
        <w:widowControl/>
        <w:spacing w:line="600" w:lineRule="exact"/>
        <w:jc w:val="left"/>
        <w:rPr>
          <w:rFonts w:hint="eastAsia" w:ascii="黑体" w:hAnsi="黑体" w:eastAsia="黑体"/>
          <w:sz w:val="32"/>
          <w:szCs w:val="32"/>
        </w:rPr>
      </w:pPr>
      <w:r>
        <w:rPr>
          <w:rFonts w:hint="eastAsia" w:ascii="仿宋" w:hAnsi="仿宋" w:eastAsia="仿宋" w:cs="宋体"/>
          <w:kern w:val="0"/>
          <w:sz w:val="32"/>
          <w:szCs w:val="32"/>
        </w:rPr>
        <w:t xml:space="preserve">    </w:t>
      </w:r>
      <w:r>
        <w:rPr>
          <w:rFonts w:hint="eastAsia" w:ascii="黑体" w:hAnsi="黑体" w:eastAsia="黑体"/>
          <w:sz w:val="32"/>
          <w:szCs w:val="32"/>
        </w:rPr>
        <w:t>第三部分  2020年度部门决算情况说明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一、收入决算情况说明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二、支出决算情况说明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三、财政拨款支出决算情况说明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四、一般公共预算财政拨款基本支出决算情况说明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五、一般公共预算财政拨款“三公”经费支出决算</w:t>
      </w:r>
    </w:p>
    <w:p>
      <w:pPr>
        <w:widowControl/>
        <w:spacing w:line="600" w:lineRule="exact"/>
        <w:jc w:val="left"/>
        <w:rPr>
          <w:rFonts w:hint="eastAsia" w:ascii="仿宋" w:hAnsi="仿宋" w:eastAsia="仿宋"/>
          <w:sz w:val="32"/>
          <w:szCs w:val="30"/>
        </w:rPr>
      </w:pPr>
      <w:r>
        <w:rPr>
          <w:rFonts w:hint="eastAsia" w:ascii="仿宋" w:hAnsi="仿宋" w:eastAsia="仿宋"/>
          <w:sz w:val="32"/>
          <w:szCs w:val="30"/>
        </w:rPr>
        <w:t xml:space="preserve">    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六、机关运行经费支出情况说明</w:t>
      </w:r>
    </w:p>
    <w:p>
      <w:pPr>
        <w:widowControl/>
        <w:spacing w:line="600" w:lineRule="exact"/>
        <w:ind w:firstLine="640"/>
        <w:jc w:val="left"/>
        <w:rPr>
          <w:rFonts w:hint="eastAsia" w:ascii="仿宋" w:hAnsi="仿宋" w:eastAsia="仿宋"/>
          <w:sz w:val="32"/>
          <w:szCs w:val="30"/>
        </w:rPr>
      </w:pPr>
      <w:r>
        <w:rPr>
          <w:rFonts w:hint="eastAsia" w:ascii="仿宋" w:hAnsi="仿宋" w:eastAsia="仿宋"/>
          <w:sz w:val="32"/>
          <w:szCs w:val="30"/>
        </w:rPr>
        <w:t xml:space="preserve">    七、政府采购支出情况说明</w:t>
      </w:r>
    </w:p>
    <w:p>
      <w:pPr>
        <w:widowControl/>
        <w:spacing w:line="600" w:lineRule="exact"/>
        <w:ind w:firstLine="640"/>
        <w:jc w:val="left"/>
        <w:rPr>
          <w:rFonts w:hint="eastAsia" w:ascii="仿宋" w:hAnsi="仿宋" w:eastAsia="仿宋"/>
          <w:sz w:val="32"/>
          <w:szCs w:val="30"/>
        </w:rPr>
      </w:pPr>
      <w:r>
        <w:rPr>
          <w:rFonts w:hint="eastAsia" w:ascii="仿宋" w:hAnsi="仿宋" w:eastAsia="仿宋"/>
          <w:sz w:val="32"/>
          <w:szCs w:val="30"/>
        </w:rPr>
        <w:t xml:space="preserve">    八、国有资产占用情况说明</w:t>
      </w:r>
    </w:p>
    <w:p>
      <w:pPr>
        <w:widowControl/>
        <w:spacing w:line="600" w:lineRule="exact"/>
        <w:ind w:firstLine="640"/>
        <w:jc w:val="left"/>
        <w:rPr>
          <w:rFonts w:hint="eastAsia" w:ascii="仿宋" w:hAnsi="仿宋" w:eastAsia="仿宋"/>
          <w:sz w:val="32"/>
          <w:szCs w:val="30"/>
        </w:rPr>
      </w:pPr>
      <w:r>
        <w:rPr>
          <w:rFonts w:hint="eastAsia" w:ascii="仿宋" w:hAnsi="仿宋" w:eastAsia="仿宋"/>
          <w:sz w:val="32"/>
          <w:szCs w:val="30"/>
        </w:rPr>
        <w:t xml:space="preserve">    九、预算绩效情况说明</w:t>
      </w:r>
    </w:p>
    <w:p>
      <w:pPr>
        <w:pStyle w:val="2"/>
        <w:spacing w:before="215"/>
        <w:ind w:firstLine="602" w:firstLineChars="200"/>
        <w:rPr>
          <w:rFonts w:hint="eastAsia" w:ascii="黑体" w:hAnsi="黑体" w:eastAsia="黑体" w:cs="仿宋"/>
          <w:b/>
          <w:sz w:val="30"/>
          <w:szCs w:val="22"/>
          <w:lang w:val="zh-CN" w:eastAsia="zh-CN" w:bidi="zh-CN"/>
        </w:rPr>
      </w:pPr>
      <w:r>
        <w:rPr>
          <w:rFonts w:hint="eastAsia" w:ascii="黑体" w:hAnsi="黑体" w:eastAsia="黑体" w:cs="仿宋"/>
          <w:b/>
          <w:sz w:val="30"/>
          <w:szCs w:val="22"/>
          <w:lang w:val="zh-CN" w:eastAsia="zh-CN" w:bidi="zh-CN"/>
        </w:rPr>
        <w:t>第四部分</w:t>
      </w:r>
      <w:r>
        <w:rPr>
          <w:rFonts w:hint="eastAsia" w:ascii="黑体" w:hAnsi="黑体" w:eastAsia="黑体" w:cs="仿宋"/>
          <w:b/>
          <w:sz w:val="30"/>
          <w:szCs w:val="22"/>
          <w:lang w:val="zh-CN" w:eastAsia="zh-CN" w:bidi="zh-CN"/>
        </w:rPr>
        <w:tab/>
      </w:r>
      <w:r>
        <w:rPr>
          <w:rFonts w:hint="eastAsia" w:ascii="黑体" w:hAnsi="黑体" w:eastAsia="黑体" w:cs="仿宋"/>
          <w:b/>
          <w:sz w:val="30"/>
          <w:szCs w:val="22"/>
          <w:lang w:val="zh-CN" w:eastAsia="zh-CN" w:bidi="zh-CN"/>
        </w:rPr>
        <w:t>名词解释</w:t>
      </w:r>
    </w:p>
    <w:p>
      <w:pPr>
        <w:pStyle w:val="2"/>
        <w:spacing w:before="215"/>
        <w:ind w:firstLine="602" w:firstLineChars="200"/>
        <w:rPr>
          <w:rFonts w:hint="eastAsia" w:ascii="黑体" w:hAnsi="黑体" w:eastAsia="黑体" w:cs="仿宋"/>
          <w:b/>
          <w:sz w:val="30"/>
          <w:szCs w:val="22"/>
          <w:lang w:val="zh-CN" w:eastAsia="zh-CN" w:bidi="zh-CN"/>
        </w:rPr>
      </w:pPr>
    </w:p>
    <w:p>
      <w:pPr>
        <w:pStyle w:val="2"/>
        <w:spacing w:before="215"/>
        <w:ind w:firstLine="602" w:firstLineChars="200"/>
        <w:rPr>
          <w:rFonts w:hint="eastAsia" w:ascii="黑体" w:hAnsi="黑体" w:eastAsia="黑体" w:cs="仿宋"/>
          <w:b/>
          <w:sz w:val="30"/>
          <w:szCs w:val="22"/>
          <w:lang w:val="zh-CN" w:eastAsia="zh-CN" w:bidi="zh-CN"/>
        </w:rPr>
      </w:pPr>
    </w:p>
    <w:p>
      <w:pPr>
        <w:pStyle w:val="2"/>
        <w:spacing w:before="215"/>
        <w:ind w:firstLine="602" w:firstLineChars="200"/>
        <w:rPr>
          <w:rFonts w:hint="eastAsia" w:ascii="黑体" w:hAnsi="黑体" w:eastAsia="黑体" w:cs="仿宋"/>
          <w:b/>
          <w:sz w:val="30"/>
          <w:szCs w:val="22"/>
          <w:lang w:val="zh-CN" w:eastAsia="zh-CN" w:bidi="zh-CN"/>
        </w:rPr>
      </w:pPr>
    </w:p>
    <w:p>
      <w:pPr>
        <w:pStyle w:val="2"/>
        <w:spacing w:before="215"/>
        <w:ind w:firstLine="602" w:firstLineChars="200"/>
        <w:rPr>
          <w:rFonts w:hint="eastAsia" w:ascii="黑体" w:hAnsi="黑体" w:eastAsia="黑体" w:cs="仿宋"/>
          <w:b/>
          <w:sz w:val="30"/>
          <w:szCs w:val="22"/>
          <w:lang w:val="zh-CN" w:eastAsia="zh-CN" w:bidi="zh-CN"/>
        </w:rPr>
      </w:pPr>
    </w:p>
    <w:p>
      <w:pPr>
        <w:pStyle w:val="2"/>
        <w:spacing w:before="215"/>
        <w:ind w:firstLine="602" w:firstLineChars="200"/>
        <w:rPr>
          <w:rFonts w:hint="eastAsia" w:ascii="黑体" w:hAnsi="黑体" w:eastAsia="黑体" w:cs="仿宋"/>
          <w:b/>
          <w:sz w:val="30"/>
          <w:szCs w:val="22"/>
          <w:lang w:val="zh-CN" w:eastAsia="zh-CN" w:bidi="zh-CN"/>
        </w:rPr>
      </w:pPr>
    </w:p>
    <w:p>
      <w:pPr>
        <w:pStyle w:val="2"/>
        <w:spacing w:before="215"/>
        <w:ind w:firstLine="602" w:firstLineChars="200"/>
        <w:rPr>
          <w:rFonts w:hint="eastAsia" w:ascii="黑体" w:hAnsi="黑体" w:eastAsia="黑体" w:cs="仿宋"/>
          <w:b/>
          <w:sz w:val="30"/>
          <w:szCs w:val="22"/>
          <w:lang w:val="zh-CN" w:eastAsia="zh-CN" w:bidi="zh-CN"/>
        </w:rPr>
      </w:pPr>
    </w:p>
    <w:p>
      <w:pPr>
        <w:pStyle w:val="2"/>
        <w:spacing w:before="215"/>
        <w:ind w:firstLine="602" w:firstLineChars="200"/>
        <w:rPr>
          <w:rFonts w:hint="eastAsia" w:ascii="黑体" w:hAnsi="黑体" w:eastAsia="黑体" w:cs="仿宋"/>
          <w:b/>
          <w:sz w:val="30"/>
          <w:szCs w:val="22"/>
          <w:lang w:val="zh-CN" w:eastAsia="zh-CN" w:bidi="zh-CN"/>
        </w:rPr>
      </w:pPr>
    </w:p>
    <w:p>
      <w:pPr>
        <w:pStyle w:val="2"/>
        <w:spacing w:before="215"/>
        <w:ind w:firstLine="602" w:firstLineChars="200"/>
        <w:rPr>
          <w:rFonts w:hint="eastAsia" w:ascii="黑体" w:hAnsi="黑体" w:eastAsia="黑体" w:cs="仿宋"/>
          <w:b/>
          <w:sz w:val="30"/>
          <w:szCs w:val="22"/>
          <w:lang w:val="zh-CN" w:eastAsia="zh-CN" w:bidi="zh-CN"/>
        </w:rPr>
      </w:pPr>
    </w:p>
    <w:p>
      <w:pPr>
        <w:pStyle w:val="2"/>
        <w:spacing w:before="215"/>
        <w:ind w:firstLine="602" w:firstLineChars="200"/>
        <w:rPr>
          <w:rFonts w:hint="eastAsia" w:ascii="黑体" w:hAnsi="黑体" w:eastAsia="黑体" w:cs="仿宋"/>
          <w:b/>
          <w:sz w:val="30"/>
          <w:szCs w:val="22"/>
          <w:lang w:val="zh-CN" w:eastAsia="zh-CN" w:bidi="zh-CN"/>
        </w:rPr>
      </w:pPr>
    </w:p>
    <w:p>
      <w:pPr>
        <w:pStyle w:val="2"/>
        <w:spacing w:before="215"/>
        <w:ind w:firstLine="602" w:firstLineChars="200"/>
        <w:rPr>
          <w:rFonts w:hint="eastAsia" w:ascii="黑体" w:hAnsi="黑体" w:eastAsia="黑体" w:cs="仿宋"/>
          <w:b/>
          <w:sz w:val="30"/>
          <w:szCs w:val="22"/>
          <w:lang w:val="zh-CN" w:eastAsia="zh-CN" w:bidi="zh-CN"/>
        </w:rPr>
      </w:pPr>
    </w:p>
    <w:p>
      <w:pPr>
        <w:pStyle w:val="2"/>
        <w:spacing w:before="215"/>
        <w:ind w:firstLine="602" w:firstLineChars="200"/>
        <w:rPr>
          <w:rFonts w:hint="eastAsia" w:ascii="黑体" w:hAnsi="黑体" w:eastAsia="黑体" w:cs="仿宋"/>
          <w:b/>
          <w:sz w:val="30"/>
          <w:szCs w:val="22"/>
          <w:lang w:val="zh-CN" w:eastAsia="zh-CN" w:bidi="zh-CN"/>
        </w:rPr>
      </w:pPr>
    </w:p>
    <w:p>
      <w:pPr>
        <w:pStyle w:val="2"/>
        <w:spacing w:before="215"/>
        <w:ind w:firstLine="602" w:firstLineChars="200"/>
        <w:rPr>
          <w:rFonts w:hint="eastAsia" w:ascii="黑体" w:hAnsi="黑体" w:eastAsia="黑体" w:cs="仿宋"/>
          <w:b/>
          <w:sz w:val="30"/>
          <w:szCs w:val="22"/>
          <w:lang w:val="zh-CN" w:eastAsia="zh-CN" w:bidi="zh-CN"/>
        </w:rPr>
      </w:pPr>
    </w:p>
    <w:p>
      <w:pPr>
        <w:pStyle w:val="2"/>
        <w:spacing w:before="215"/>
        <w:ind w:firstLine="602" w:firstLineChars="200"/>
        <w:rPr>
          <w:rFonts w:hint="eastAsia" w:ascii="黑体" w:hAnsi="黑体" w:eastAsia="黑体" w:cs="仿宋"/>
          <w:b/>
          <w:sz w:val="30"/>
          <w:szCs w:val="22"/>
          <w:lang w:val="zh-CN" w:eastAsia="zh-CN" w:bidi="zh-CN"/>
        </w:rPr>
      </w:pPr>
    </w:p>
    <w:p>
      <w:pPr>
        <w:pStyle w:val="2"/>
        <w:spacing w:before="215"/>
        <w:ind w:firstLine="602" w:firstLineChars="200"/>
        <w:rPr>
          <w:rFonts w:hint="eastAsia" w:ascii="黑体" w:hAnsi="黑体" w:eastAsia="黑体" w:cs="仿宋"/>
          <w:b/>
          <w:sz w:val="30"/>
          <w:szCs w:val="22"/>
          <w:lang w:val="zh-CN" w:eastAsia="zh-CN" w:bidi="zh-CN"/>
        </w:rPr>
      </w:pPr>
    </w:p>
    <w:p>
      <w:pPr>
        <w:pStyle w:val="2"/>
        <w:spacing w:before="215"/>
        <w:ind w:firstLine="602" w:firstLineChars="200"/>
        <w:rPr>
          <w:rFonts w:hint="eastAsia" w:ascii="黑体" w:hAnsi="黑体" w:eastAsia="黑体" w:cs="仿宋"/>
          <w:b/>
          <w:sz w:val="30"/>
          <w:szCs w:val="22"/>
          <w:lang w:val="zh-CN" w:eastAsia="zh-CN" w:bidi="zh-CN"/>
        </w:rPr>
      </w:pPr>
    </w:p>
    <w:p>
      <w:pPr>
        <w:pStyle w:val="2"/>
        <w:spacing w:before="215"/>
        <w:ind w:firstLine="602" w:firstLineChars="200"/>
        <w:rPr>
          <w:rFonts w:hint="eastAsia" w:ascii="黑体" w:hAnsi="黑体" w:eastAsia="黑体" w:cs="仿宋"/>
          <w:b/>
          <w:sz w:val="30"/>
          <w:szCs w:val="22"/>
          <w:lang w:val="zh-CN" w:eastAsia="zh-CN" w:bidi="zh-CN"/>
        </w:rPr>
      </w:pPr>
    </w:p>
    <w:p>
      <w:pPr>
        <w:pStyle w:val="2"/>
        <w:spacing w:before="215"/>
        <w:ind w:firstLine="602" w:firstLineChars="200"/>
        <w:rPr>
          <w:rFonts w:hint="eastAsia" w:ascii="黑体" w:hAnsi="黑体" w:eastAsia="黑体" w:cs="仿宋"/>
          <w:b/>
          <w:sz w:val="30"/>
          <w:szCs w:val="22"/>
          <w:lang w:val="zh-CN" w:eastAsia="zh-CN" w:bidi="zh-CN"/>
        </w:rPr>
      </w:pPr>
    </w:p>
    <w:p>
      <w:pPr>
        <w:pStyle w:val="2"/>
        <w:spacing w:before="215"/>
        <w:ind w:firstLine="602" w:firstLineChars="200"/>
        <w:rPr>
          <w:rFonts w:hint="eastAsia" w:ascii="黑体" w:hAnsi="黑体" w:eastAsia="黑体" w:cs="仿宋"/>
          <w:b/>
          <w:sz w:val="30"/>
          <w:szCs w:val="22"/>
          <w:lang w:val="zh-CN" w:eastAsia="zh-CN" w:bidi="zh-CN"/>
        </w:rPr>
      </w:pPr>
    </w:p>
    <w:p>
      <w:pPr>
        <w:pStyle w:val="2"/>
        <w:spacing w:before="215"/>
        <w:ind w:firstLine="602" w:firstLineChars="200"/>
        <w:rPr>
          <w:rFonts w:hint="eastAsia" w:ascii="黑体" w:hAnsi="黑体" w:eastAsia="黑体" w:cs="仿宋"/>
          <w:b/>
          <w:sz w:val="30"/>
          <w:szCs w:val="22"/>
          <w:lang w:val="zh-CN" w:eastAsia="zh-CN" w:bidi="zh-CN"/>
        </w:rPr>
      </w:pPr>
    </w:p>
    <w:p>
      <w:pPr>
        <w:pStyle w:val="2"/>
        <w:spacing w:before="215"/>
        <w:ind w:firstLine="602" w:firstLineChars="200"/>
        <w:rPr>
          <w:rFonts w:hint="eastAsia" w:ascii="黑体" w:hAnsi="黑体" w:eastAsia="黑体" w:cs="仿宋"/>
          <w:b/>
          <w:sz w:val="30"/>
          <w:szCs w:val="22"/>
          <w:lang w:val="zh-CN" w:eastAsia="zh-CN" w:bidi="zh-CN"/>
        </w:rPr>
      </w:pPr>
    </w:p>
    <w:p>
      <w:pPr>
        <w:pStyle w:val="4"/>
        <w:tabs>
          <w:tab w:val="left" w:pos="1504"/>
        </w:tabs>
        <w:spacing w:before="215"/>
        <w:ind w:left="0" w:right="137"/>
        <w:jc w:val="center"/>
        <w:rPr>
          <w:rFonts w:hint="eastAsia" w:ascii="宋体" w:hAnsi="宋体" w:eastAsia="宋体"/>
          <w:sz w:val="48"/>
          <w:szCs w:val="48"/>
        </w:rPr>
      </w:pPr>
      <w:r>
        <w:rPr>
          <w:rFonts w:hint="eastAsia" w:ascii="宋体" w:hAnsi="宋体" w:eastAsia="宋体"/>
          <w:sz w:val="48"/>
          <w:szCs w:val="48"/>
        </w:rPr>
        <w:t>第一部分单位概况</w:t>
      </w:r>
    </w:p>
    <w:p>
      <w:pPr>
        <w:pStyle w:val="2"/>
        <w:spacing w:before="216"/>
        <w:ind w:left="748"/>
        <w:rPr>
          <w:rFonts w:hint="eastAsia" w:ascii="黑体" w:eastAsia="黑体"/>
          <w:sz w:val="36"/>
          <w:szCs w:val="36"/>
        </w:rPr>
      </w:pPr>
      <w:r>
        <w:rPr>
          <w:rFonts w:hint="eastAsia" w:ascii="黑体" w:eastAsia="黑体"/>
          <w:sz w:val="36"/>
          <w:szCs w:val="36"/>
        </w:rPr>
        <w:t>一、部门主要职能</w:t>
      </w:r>
    </w:p>
    <w:p>
      <w:pPr>
        <w:pStyle w:val="2"/>
        <w:spacing w:before="216"/>
        <w:ind w:left="0" w:leftChars="0" w:firstLine="720" w:firstLineChars="200"/>
        <w:rPr>
          <w:rFonts w:hint="eastAsia" w:eastAsia="仿宋"/>
          <w:sz w:val="36"/>
          <w:szCs w:val="36"/>
          <w:lang w:eastAsia="zh-CN"/>
        </w:rPr>
      </w:pPr>
      <w:r>
        <w:rPr>
          <w:sz w:val="36"/>
          <w:szCs w:val="36"/>
        </w:rPr>
        <w:t>（一）</w:t>
      </w:r>
      <w:r>
        <w:rPr>
          <w:rFonts w:hint="eastAsia"/>
          <w:sz w:val="36"/>
          <w:szCs w:val="36"/>
        </w:rPr>
        <w:t>为控制皮肤病</w:t>
      </w:r>
      <w:r>
        <w:rPr>
          <w:rFonts w:hint="eastAsia"/>
          <w:sz w:val="36"/>
          <w:szCs w:val="36"/>
          <w:lang w:eastAsia="zh-CN"/>
        </w:rPr>
        <w:t>、性病等疾病提供防治保障。</w:t>
      </w:r>
    </w:p>
    <w:p>
      <w:pPr>
        <w:pStyle w:val="2"/>
        <w:spacing w:before="215"/>
        <w:ind w:left="0" w:leftChars="0" w:firstLine="720" w:firstLineChars="200"/>
        <w:rPr>
          <w:rFonts w:hint="eastAsia" w:eastAsia="仿宋"/>
          <w:sz w:val="36"/>
          <w:szCs w:val="36"/>
          <w:lang w:eastAsia="zh-CN"/>
        </w:rPr>
      </w:pPr>
      <w:r>
        <w:rPr>
          <w:sz w:val="36"/>
          <w:szCs w:val="36"/>
        </w:rPr>
        <w:t>（二）</w:t>
      </w:r>
      <w:r>
        <w:rPr>
          <w:rFonts w:hint="eastAsia"/>
          <w:sz w:val="36"/>
          <w:szCs w:val="36"/>
        </w:rPr>
        <w:t>负责艾滋病</w:t>
      </w:r>
      <w:r>
        <w:rPr>
          <w:rFonts w:hint="eastAsia"/>
          <w:sz w:val="36"/>
          <w:szCs w:val="36"/>
          <w:lang w:eastAsia="zh-CN"/>
        </w:rPr>
        <w:t>、性病、皮肤病等疾病的监测防治与咨询。</w:t>
      </w:r>
    </w:p>
    <w:p>
      <w:pPr>
        <w:pStyle w:val="2"/>
        <w:spacing w:before="216"/>
        <w:ind w:firstLine="720" w:firstLineChars="200"/>
        <w:rPr>
          <w:rFonts w:hint="default" w:eastAsia="仿宋"/>
          <w:sz w:val="36"/>
          <w:szCs w:val="36"/>
          <w:lang w:val="en-US" w:eastAsia="zh-CN"/>
        </w:rPr>
      </w:pPr>
      <w:r>
        <w:rPr>
          <w:rFonts w:hint="eastAsia"/>
          <w:sz w:val="36"/>
          <w:szCs w:val="36"/>
          <w:lang w:val="en-US" w:eastAsia="zh-CN"/>
        </w:rPr>
        <w:t>(三)相关专业技术人员培训，健康教育。</w:t>
      </w:r>
    </w:p>
    <w:p>
      <w:pPr>
        <w:pStyle w:val="2"/>
        <w:spacing w:before="215"/>
        <w:ind w:left="748"/>
        <w:rPr>
          <w:rFonts w:hint="eastAsia" w:ascii="黑体" w:eastAsia="黑体"/>
          <w:sz w:val="36"/>
          <w:szCs w:val="36"/>
        </w:rPr>
      </w:pPr>
      <w:r>
        <w:rPr>
          <w:rFonts w:hint="eastAsia" w:ascii="黑体" w:eastAsia="黑体"/>
          <w:sz w:val="36"/>
          <w:szCs w:val="36"/>
        </w:rPr>
        <w:t>二、部门基本情况</w:t>
      </w:r>
    </w:p>
    <w:p>
      <w:pPr>
        <w:ind w:firstLine="1304" w:firstLineChars="386"/>
        <w:jc w:val="left"/>
        <w:rPr>
          <w:rFonts w:hint="eastAsia"/>
          <w:spacing w:val="-11"/>
          <w:sz w:val="36"/>
          <w:szCs w:val="36"/>
        </w:rPr>
      </w:pPr>
    </w:p>
    <w:p>
      <w:pPr>
        <w:ind w:firstLine="1304" w:firstLineChars="386"/>
        <w:jc w:val="left"/>
        <w:rPr>
          <w:rFonts w:hint="eastAsia" w:ascii="仿宋" w:hAnsi="仿宋" w:eastAsia="仿宋" w:cs="仿宋"/>
          <w:color w:val="auto"/>
          <w:sz w:val="36"/>
          <w:szCs w:val="36"/>
        </w:rPr>
      </w:pPr>
      <w:r>
        <w:rPr>
          <w:rFonts w:hint="eastAsia"/>
          <w:spacing w:val="-11"/>
          <w:sz w:val="36"/>
          <w:szCs w:val="36"/>
        </w:rPr>
        <w:t>纳入本套</w:t>
      </w:r>
      <w:r>
        <w:rPr>
          <w:spacing w:val="-11"/>
          <w:sz w:val="36"/>
          <w:szCs w:val="36"/>
        </w:rPr>
        <w:t>决算汇编范围的单位共</w:t>
      </w:r>
      <w:r>
        <w:rPr>
          <w:rFonts w:hint="eastAsia"/>
          <w:spacing w:val="-11"/>
          <w:sz w:val="36"/>
          <w:szCs w:val="36"/>
          <w:lang w:val="en-US" w:eastAsia="zh-CN"/>
        </w:rPr>
        <w:t>1</w:t>
      </w:r>
      <w:r>
        <w:rPr>
          <w:spacing w:val="-11"/>
          <w:sz w:val="36"/>
          <w:szCs w:val="36"/>
        </w:rPr>
        <w:t>个，</w:t>
      </w:r>
      <w:r>
        <w:rPr>
          <w:rFonts w:hint="eastAsia" w:ascii="仿宋" w:hAnsi="仿宋" w:eastAsia="仿宋" w:cs="仿宋"/>
          <w:color w:val="auto"/>
          <w:sz w:val="36"/>
          <w:szCs w:val="36"/>
        </w:rPr>
        <w:t>本</w:t>
      </w:r>
      <w:r>
        <w:rPr>
          <w:rFonts w:hint="eastAsia" w:ascii="仿宋" w:hAnsi="仿宋" w:eastAsia="仿宋" w:cs="仿宋"/>
          <w:color w:val="auto"/>
          <w:sz w:val="36"/>
          <w:szCs w:val="36"/>
          <w:lang w:val="en-US" w:eastAsia="zh-CN"/>
        </w:rPr>
        <w:t>单位</w:t>
      </w:r>
      <w:r>
        <w:rPr>
          <w:rFonts w:hint="eastAsia" w:ascii="仿宋" w:hAnsi="仿宋" w:eastAsia="仿宋" w:cs="仿宋"/>
          <w:color w:val="auto"/>
          <w:sz w:val="36"/>
          <w:szCs w:val="36"/>
        </w:rPr>
        <w:t>202</w:t>
      </w:r>
      <w:r>
        <w:rPr>
          <w:rFonts w:hint="eastAsia" w:ascii="仿宋" w:hAnsi="仿宋" w:eastAsia="仿宋" w:cs="仿宋"/>
          <w:color w:val="auto"/>
          <w:sz w:val="36"/>
          <w:szCs w:val="36"/>
          <w:lang w:val="en-US" w:eastAsia="zh-CN"/>
        </w:rPr>
        <w:t>1</w:t>
      </w:r>
      <w:r>
        <w:rPr>
          <w:rFonts w:hint="eastAsia" w:ascii="仿宋" w:hAnsi="仿宋" w:eastAsia="仿宋" w:cs="仿宋"/>
          <w:color w:val="auto"/>
          <w:sz w:val="36"/>
          <w:szCs w:val="36"/>
        </w:rPr>
        <w:t xml:space="preserve">年年末实有人数  </w:t>
      </w:r>
      <w:r>
        <w:rPr>
          <w:rFonts w:hint="eastAsia" w:cs="仿宋"/>
          <w:color w:val="auto"/>
          <w:sz w:val="36"/>
          <w:szCs w:val="36"/>
          <w:lang w:val="en-US" w:eastAsia="zh-CN"/>
        </w:rPr>
        <w:t>10</w:t>
      </w:r>
      <w:r>
        <w:rPr>
          <w:rFonts w:hint="eastAsia" w:ascii="仿宋" w:hAnsi="仿宋" w:eastAsia="仿宋" w:cs="仿宋"/>
          <w:color w:val="auto"/>
          <w:sz w:val="36"/>
          <w:szCs w:val="36"/>
        </w:rPr>
        <w:t xml:space="preserve"> 人，其中在职人员 </w:t>
      </w:r>
      <w:r>
        <w:rPr>
          <w:rFonts w:hint="eastAsia" w:cs="仿宋"/>
          <w:color w:val="auto"/>
          <w:sz w:val="36"/>
          <w:szCs w:val="36"/>
          <w:lang w:val="en-US" w:eastAsia="zh-CN"/>
        </w:rPr>
        <w:t>10</w:t>
      </w:r>
      <w:r>
        <w:rPr>
          <w:rFonts w:hint="eastAsia" w:ascii="仿宋" w:hAnsi="仿宋" w:eastAsia="仿宋" w:cs="仿宋"/>
          <w:color w:val="auto"/>
          <w:sz w:val="36"/>
          <w:szCs w:val="36"/>
        </w:rPr>
        <w:t xml:space="preserve"> 人，离休人员 </w:t>
      </w:r>
      <w:r>
        <w:rPr>
          <w:rFonts w:hint="eastAsia" w:cs="仿宋"/>
          <w:color w:val="auto"/>
          <w:sz w:val="36"/>
          <w:szCs w:val="36"/>
          <w:lang w:val="en-US" w:eastAsia="zh-CN"/>
        </w:rPr>
        <w:t>0</w:t>
      </w:r>
      <w:r>
        <w:rPr>
          <w:rFonts w:hint="eastAsia" w:ascii="仿宋" w:hAnsi="仿宋" w:eastAsia="仿宋" w:cs="仿宋"/>
          <w:color w:val="auto"/>
          <w:sz w:val="36"/>
          <w:szCs w:val="36"/>
        </w:rPr>
        <w:t xml:space="preserve"> 人，退休人员 </w:t>
      </w:r>
      <w:r>
        <w:rPr>
          <w:rFonts w:hint="eastAsia" w:cs="仿宋"/>
          <w:color w:val="auto"/>
          <w:sz w:val="36"/>
          <w:szCs w:val="36"/>
          <w:lang w:val="en-US" w:eastAsia="zh-CN"/>
        </w:rPr>
        <w:t>0</w:t>
      </w:r>
      <w:r>
        <w:rPr>
          <w:rFonts w:hint="eastAsia" w:ascii="仿宋" w:hAnsi="仿宋" w:eastAsia="仿宋" w:cs="仿宋"/>
          <w:color w:val="auto"/>
          <w:sz w:val="36"/>
          <w:szCs w:val="36"/>
        </w:rPr>
        <w:t xml:space="preserve">  人</w:t>
      </w:r>
      <w:r>
        <w:rPr>
          <w:rFonts w:hint="eastAsia" w:ascii="仿宋" w:hAnsi="仿宋" w:eastAsia="仿宋" w:cs="仿宋"/>
          <w:color w:val="auto"/>
          <w:sz w:val="36"/>
          <w:szCs w:val="36"/>
          <w:lang w:eastAsia="zh-CN"/>
        </w:rPr>
        <w:t>（</w:t>
      </w:r>
      <w:r>
        <w:rPr>
          <w:rFonts w:hint="eastAsia" w:ascii="仿宋" w:hAnsi="仿宋" w:eastAsia="仿宋" w:cs="仿宋"/>
          <w:color w:val="auto"/>
          <w:sz w:val="36"/>
          <w:szCs w:val="36"/>
          <w:lang w:val="en-US" w:eastAsia="zh-CN"/>
        </w:rPr>
        <w:t>不含</w:t>
      </w:r>
      <w:r>
        <w:rPr>
          <w:rFonts w:hint="eastAsia" w:ascii="仿宋" w:hAnsi="仿宋" w:eastAsia="仿宋" w:cs="仿宋"/>
          <w:color w:val="auto"/>
          <w:sz w:val="36"/>
          <w:szCs w:val="36"/>
        </w:rPr>
        <w:t>由养老保险基金发放养老金的离退休人员</w:t>
      </w:r>
      <w:r>
        <w:rPr>
          <w:rFonts w:hint="eastAsia" w:ascii="仿宋" w:hAnsi="仿宋" w:eastAsia="仿宋" w:cs="仿宋"/>
          <w:color w:val="auto"/>
          <w:sz w:val="36"/>
          <w:szCs w:val="36"/>
          <w:lang w:eastAsia="zh-CN"/>
        </w:rPr>
        <w:t>）</w:t>
      </w:r>
      <w:r>
        <w:rPr>
          <w:rFonts w:hint="eastAsia" w:ascii="仿宋" w:hAnsi="仿宋" w:eastAsia="仿宋" w:cs="仿宋"/>
          <w:color w:val="auto"/>
          <w:sz w:val="36"/>
          <w:szCs w:val="36"/>
        </w:rPr>
        <w:t xml:space="preserve">；年末其他人员  </w:t>
      </w:r>
      <w:r>
        <w:rPr>
          <w:rFonts w:hint="eastAsia" w:cs="仿宋"/>
          <w:color w:val="auto"/>
          <w:sz w:val="36"/>
          <w:szCs w:val="36"/>
          <w:lang w:val="en-US" w:eastAsia="zh-CN"/>
        </w:rPr>
        <w:t>10</w:t>
      </w:r>
      <w:r>
        <w:rPr>
          <w:rFonts w:hint="eastAsia" w:ascii="仿宋" w:hAnsi="仿宋" w:eastAsia="仿宋" w:cs="仿宋"/>
          <w:color w:val="auto"/>
          <w:sz w:val="36"/>
          <w:szCs w:val="36"/>
        </w:rPr>
        <w:t xml:space="preserve"> 人；年末学生人数  </w:t>
      </w:r>
      <w:r>
        <w:rPr>
          <w:rFonts w:hint="eastAsia" w:cs="仿宋"/>
          <w:color w:val="auto"/>
          <w:sz w:val="36"/>
          <w:szCs w:val="36"/>
          <w:lang w:val="en-US" w:eastAsia="zh-CN"/>
        </w:rPr>
        <w:t>0</w:t>
      </w:r>
      <w:r>
        <w:rPr>
          <w:rFonts w:hint="eastAsia" w:ascii="仿宋" w:hAnsi="仿宋" w:eastAsia="仿宋" w:cs="仿宋"/>
          <w:color w:val="auto"/>
          <w:sz w:val="36"/>
          <w:szCs w:val="36"/>
        </w:rPr>
        <w:t xml:space="preserve"> 人</w:t>
      </w:r>
      <w:r>
        <w:rPr>
          <w:rFonts w:hint="eastAsia" w:ascii="仿宋" w:hAnsi="仿宋" w:eastAsia="仿宋" w:cs="仿宋"/>
          <w:color w:val="auto"/>
          <w:sz w:val="36"/>
          <w:szCs w:val="36"/>
          <w:lang w:val="en-US" w:eastAsia="zh-CN"/>
        </w:rPr>
        <w:t>；</w:t>
      </w:r>
      <w:r>
        <w:rPr>
          <w:rFonts w:hint="eastAsia" w:ascii="仿宋" w:hAnsi="仿宋" w:eastAsia="仿宋" w:cs="仿宋"/>
          <w:color w:val="auto"/>
          <w:sz w:val="36"/>
          <w:szCs w:val="36"/>
        </w:rPr>
        <w:t>由养老保险基金发放养老金的离退休人员</w:t>
      </w:r>
      <w:r>
        <w:rPr>
          <w:rFonts w:hint="eastAsia" w:ascii="仿宋" w:hAnsi="仿宋" w:eastAsia="仿宋" w:cs="仿宋"/>
          <w:color w:val="auto"/>
          <w:sz w:val="36"/>
          <w:szCs w:val="36"/>
          <w:lang w:val="en-US" w:eastAsia="zh-CN"/>
        </w:rPr>
        <w:t xml:space="preserve"> </w:t>
      </w:r>
      <w:r>
        <w:rPr>
          <w:rFonts w:hint="eastAsia" w:cs="仿宋"/>
          <w:color w:val="auto"/>
          <w:sz w:val="36"/>
          <w:szCs w:val="36"/>
          <w:lang w:val="en-US" w:eastAsia="zh-CN"/>
        </w:rPr>
        <w:t>5</w:t>
      </w:r>
      <w:r>
        <w:rPr>
          <w:rFonts w:hint="eastAsia" w:ascii="仿宋" w:hAnsi="仿宋" w:eastAsia="仿宋" w:cs="仿宋"/>
          <w:color w:val="auto"/>
          <w:sz w:val="36"/>
          <w:szCs w:val="36"/>
        </w:rPr>
        <w:t>人</w:t>
      </w:r>
      <w:r>
        <w:rPr>
          <w:rFonts w:hint="eastAsia" w:ascii="仿宋" w:hAnsi="仿宋" w:eastAsia="仿宋" w:cs="仿宋"/>
          <w:color w:val="auto"/>
          <w:sz w:val="36"/>
          <w:szCs w:val="36"/>
          <w:lang w:eastAsia="zh-CN"/>
        </w:rPr>
        <w:t>。</w:t>
      </w:r>
    </w:p>
    <w:p>
      <w:pPr>
        <w:pStyle w:val="4"/>
        <w:tabs>
          <w:tab w:val="left" w:pos="2005"/>
        </w:tabs>
        <w:ind w:left="501"/>
        <w:jc w:val="center"/>
        <w:rPr>
          <w:rFonts w:hint="eastAsia" w:ascii="宋体" w:eastAsia="宋体"/>
        </w:rPr>
      </w:pPr>
    </w:p>
    <w:p>
      <w:pPr>
        <w:pStyle w:val="4"/>
        <w:tabs>
          <w:tab w:val="left" w:pos="2005"/>
        </w:tabs>
        <w:ind w:left="501"/>
        <w:jc w:val="center"/>
        <w:rPr>
          <w:rFonts w:hint="eastAsia" w:ascii="宋体" w:eastAsia="宋体"/>
        </w:rPr>
      </w:pPr>
    </w:p>
    <w:p>
      <w:pPr>
        <w:pStyle w:val="4"/>
        <w:tabs>
          <w:tab w:val="left" w:pos="2005"/>
        </w:tabs>
        <w:ind w:left="501"/>
        <w:jc w:val="center"/>
        <w:rPr>
          <w:rFonts w:hint="eastAsia" w:ascii="宋体" w:eastAsia="宋体"/>
        </w:rPr>
      </w:pPr>
    </w:p>
    <w:p>
      <w:pPr>
        <w:rPr>
          <w:rFonts w:hint="eastAsia" w:ascii="宋体" w:eastAsia="宋体"/>
        </w:rPr>
      </w:pPr>
    </w:p>
    <w:p>
      <w:pPr>
        <w:rPr>
          <w:rFonts w:hint="eastAsia" w:ascii="宋体" w:eastAsia="宋体"/>
        </w:rPr>
      </w:pPr>
    </w:p>
    <w:p>
      <w:pPr>
        <w:rPr>
          <w:rFonts w:hint="eastAsia" w:ascii="宋体" w:eastAsia="宋体"/>
        </w:rPr>
      </w:pPr>
    </w:p>
    <w:p>
      <w:pPr>
        <w:rPr>
          <w:rFonts w:hint="eastAsia" w:ascii="宋体" w:eastAsia="宋体"/>
        </w:rPr>
      </w:pPr>
    </w:p>
    <w:p>
      <w:pPr>
        <w:rPr>
          <w:rFonts w:hint="eastAsia" w:ascii="宋体" w:eastAsia="宋体"/>
        </w:rPr>
      </w:pPr>
    </w:p>
    <w:p>
      <w:pPr>
        <w:rPr>
          <w:rFonts w:hint="eastAsia" w:ascii="宋体" w:eastAsia="宋体"/>
        </w:rPr>
      </w:pPr>
    </w:p>
    <w:p>
      <w:pPr>
        <w:rPr>
          <w:rFonts w:hint="eastAsia" w:ascii="宋体" w:eastAsia="宋体"/>
        </w:rPr>
      </w:pPr>
    </w:p>
    <w:p>
      <w:pPr>
        <w:rPr>
          <w:rFonts w:hint="eastAsia" w:ascii="宋体" w:eastAsia="宋体"/>
        </w:rPr>
      </w:pPr>
    </w:p>
    <w:p>
      <w:pPr>
        <w:rPr>
          <w:rFonts w:hint="eastAsia" w:ascii="宋体" w:eastAsia="宋体"/>
        </w:rPr>
      </w:pPr>
    </w:p>
    <w:p>
      <w:pPr>
        <w:rPr>
          <w:rFonts w:hint="eastAsia" w:ascii="宋体" w:eastAsia="宋体"/>
        </w:rPr>
      </w:pPr>
    </w:p>
    <w:p>
      <w:pPr>
        <w:rPr>
          <w:rFonts w:hint="eastAsia" w:ascii="宋体" w:eastAsia="宋体"/>
        </w:rPr>
      </w:pPr>
    </w:p>
    <w:p>
      <w:pPr>
        <w:rPr>
          <w:rFonts w:hint="eastAsia" w:ascii="宋体" w:eastAsia="宋体"/>
        </w:rPr>
      </w:pPr>
    </w:p>
    <w:p>
      <w:pPr>
        <w:rPr>
          <w:rFonts w:hint="eastAsia" w:ascii="宋体" w:eastAsia="宋体"/>
        </w:rPr>
      </w:pPr>
    </w:p>
    <w:p>
      <w:pPr>
        <w:rPr>
          <w:rFonts w:hint="eastAsia" w:ascii="宋体" w:eastAsia="宋体"/>
        </w:rPr>
      </w:pPr>
    </w:p>
    <w:p>
      <w:pPr>
        <w:rPr>
          <w:rFonts w:hint="eastAsia" w:ascii="宋体" w:eastAsia="宋体"/>
        </w:rPr>
      </w:pPr>
    </w:p>
    <w:p>
      <w:pPr>
        <w:rPr>
          <w:rFonts w:hint="eastAsia" w:ascii="宋体" w:eastAsia="宋体"/>
        </w:rPr>
      </w:pPr>
    </w:p>
    <w:p>
      <w:pPr>
        <w:rPr>
          <w:rFonts w:hint="eastAsia" w:ascii="宋体" w:eastAsia="宋体"/>
        </w:rPr>
      </w:pPr>
    </w:p>
    <w:p>
      <w:pPr>
        <w:rPr>
          <w:rFonts w:hint="eastAsia" w:ascii="宋体" w:eastAsia="宋体"/>
        </w:rPr>
      </w:pPr>
    </w:p>
    <w:p>
      <w:pPr>
        <w:rPr>
          <w:rFonts w:hint="eastAsia" w:ascii="宋体" w:eastAsia="宋体"/>
        </w:rPr>
      </w:pPr>
    </w:p>
    <w:p>
      <w:pPr>
        <w:rPr>
          <w:rFonts w:hint="eastAsia" w:ascii="宋体" w:eastAsia="宋体"/>
        </w:rPr>
      </w:pPr>
    </w:p>
    <w:p>
      <w:pPr>
        <w:rPr>
          <w:rFonts w:hint="eastAsia" w:ascii="宋体" w:eastAsia="宋体"/>
        </w:rPr>
      </w:pPr>
    </w:p>
    <w:p>
      <w:pPr>
        <w:rPr>
          <w:rFonts w:hint="eastAsia" w:ascii="宋体" w:eastAsia="宋体"/>
        </w:rPr>
      </w:pPr>
    </w:p>
    <w:p>
      <w:pPr>
        <w:rPr>
          <w:rFonts w:hint="eastAsia" w:ascii="宋体" w:eastAsia="宋体"/>
        </w:rPr>
      </w:pPr>
    </w:p>
    <w:p>
      <w:pPr>
        <w:rPr>
          <w:rFonts w:hint="eastAsia" w:ascii="宋体" w:eastAsia="宋体"/>
        </w:rPr>
      </w:pPr>
    </w:p>
    <w:p>
      <w:pPr>
        <w:rPr>
          <w:rFonts w:hint="eastAsia" w:ascii="宋体" w:eastAsia="宋体"/>
        </w:rPr>
      </w:pPr>
    </w:p>
    <w:p>
      <w:pPr>
        <w:rPr>
          <w:rFonts w:hint="eastAsia" w:ascii="宋体" w:eastAsia="宋体"/>
        </w:rPr>
      </w:pPr>
    </w:p>
    <w:p>
      <w:pPr>
        <w:rPr>
          <w:rFonts w:hint="eastAsia" w:ascii="宋体" w:eastAsia="宋体"/>
        </w:rPr>
      </w:pPr>
    </w:p>
    <w:p>
      <w:pPr>
        <w:rPr>
          <w:rFonts w:hint="eastAsia" w:ascii="宋体" w:eastAsia="宋体"/>
        </w:rPr>
      </w:pPr>
    </w:p>
    <w:p>
      <w:pPr>
        <w:rPr>
          <w:rFonts w:hint="eastAsia" w:ascii="宋体" w:eastAsia="宋体"/>
        </w:rPr>
      </w:pPr>
    </w:p>
    <w:p>
      <w:pPr>
        <w:pStyle w:val="4"/>
        <w:tabs>
          <w:tab w:val="left" w:pos="2005"/>
        </w:tabs>
        <w:ind w:left="501"/>
        <w:jc w:val="center"/>
        <w:rPr>
          <w:rFonts w:hint="eastAsia" w:ascii="宋体" w:eastAsia="宋体"/>
        </w:rPr>
      </w:pPr>
    </w:p>
    <w:p>
      <w:pPr>
        <w:pStyle w:val="4"/>
        <w:tabs>
          <w:tab w:val="left" w:pos="2005"/>
        </w:tabs>
        <w:ind w:left="501"/>
        <w:jc w:val="center"/>
        <w:rPr>
          <w:rFonts w:hint="eastAsia" w:ascii="宋体" w:eastAsia="宋体"/>
        </w:rPr>
      </w:pPr>
    </w:p>
    <w:p>
      <w:pPr>
        <w:pStyle w:val="4"/>
        <w:tabs>
          <w:tab w:val="left" w:pos="2005"/>
        </w:tabs>
        <w:ind w:left="501"/>
        <w:jc w:val="center"/>
        <w:rPr>
          <w:rFonts w:hint="eastAsia" w:ascii="宋体" w:eastAsia="宋体"/>
        </w:rPr>
      </w:pPr>
      <w:r>
        <w:rPr>
          <w:rFonts w:hint="eastAsia" w:ascii="宋体" w:eastAsia="宋体"/>
        </w:rPr>
        <w:t>第二部分</w:t>
      </w:r>
      <w:r>
        <w:rPr>
          <w:rFonts w:hint="eastAsia" w:ascii="宋体" w:eastAsia="宋体"/>
        </w:rPr>
        <w:tab/>
      </w:r>
      <w:r>
        <w:rPr>
          <w:rFonts w:hint="eastAsia" w:ascii="宋体" w:eastAsia="宋体"/>
        </w:rPr>
        <w:t>20</w:t>
      </w:r>
      <w:r>
        <w:rPr>
          <w:rFonts w:hint="eastAsia" w:ascii="宋体" w:eastAsia="宋体"/>
          <w:lang w:val="en-US" w:eastAsia="zh-CN"/>
        </w:rPr>
        <w:t>20</w:t>
      </w:r>
      <w:r>
        <w:rPr>
          <w:rFonts w:hint="eastAsia" w:ascii="宋体" w:eastAsia="宋体"/>
          <w:spacing w:val="-77"/>
        </w:rPr>
        <w:t xml:space="preserve"> </w:t>
      </w:r>
      <w:r>
        <w:rPr>
          <w:rFonts w:hint="eastAsia" w:ascii="宋体" w:eastAsia="宋体"/>
        </w:rPr>
        <w:t>年度部门决算表</w:t>
      </w:r>
    </w:p>
    <w:tbl>
      <w:tblPr>
        <w:tblStyle w:val="6"/>
        <w:tblW w:w="7500" w:type="dxa"/>
        <w:tblInd w:w="93" w:type="dxa"/>
        <w:shd w:val="clear" w:color="auto" w:fill="auto"/>
        <w:tblLayout w:type="autofit"/>
        <w:tblCellMar>
          <w:top w:w="0" w:type="dxa"/>
          <w:left w:w="108" w:type="dxa"/>
          <w:bottom w:w="0" w:type="dxa"/>
          <w:right w:w="108" w:type="dxa"/>
        </w:tblCellMar>
      </w:tblPr>
      <w:tblGrid>
        <w:gridCol w:w="2916"/>
        <w:gridCol w:w="576"/>
        <w:gridCol w:w="1116"/>
        <w:gridCol w:w="2916"/>
        <w:gridCol w:w="576"/>
        <w:gridCol w:w="1116"/>
      </w:tblGrid>
      <w:tr>
        <w:tblPrEx>
          <w:shd w:val="clear" w:color="auto" w:fill="auto"/>
          <w:tblCellMar>
            <w:top w:w="0" w:type="dxa"/>
            <w:left w:w="108" w:type="dxa"/>
            <w:bottom w:w="0" w:type="dxa"/>
            <w:right w:w="108" w:type="dxa"/>
          </w:tblCellMar>
        </w:tblPrEx>
        <w:trPr>
          <w:trHeight w:val="540" w:hRule="atLeast"/>
        </w:trPr>
        <w:tc>
          <w:tcPr>
            <w:tcW w:w="7500" w:type="dxa"/>
            <w:gridSpan w:val="6"/>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kern w:val="0"/>
                <w:sz w:val="44"/>
                <w:szCs w:val="44"/>
                <w:u w:val="none"/>
                <w:lang w:val="en-US" w:eastAsia="zh-CN" w:bidi="ar"/>
              </w:rPr>
              <w:t>收入支出决算总表</w:t>
            </w:r>
          </w:p>
        </w:tc>
      </w:tr>
      <w:tr>
        <w:tblPrEx>
          <w:shd w:val="clear" w:color="auto" w:fill="auto"/>
          <w:tblCellMar>
            <w:top w:w="0" w:type="dxa"/>
            <w:left w:w="108" w:type="dxa"/>
            <w:bottom w:w="0" w:type="dxa"/>
            <w:right w:w="108" w:type="dxa"/>
          </w:tblCellMar>
        </w:tblPrEx>
        <w:trPr>
          <w:trHeight w:val="255" w:hRule="atLeast"/>
        </w:trPr>
        <w:tc>
          <w:tcPr>
            <w:tcW w:w="0" w:type="auto"/>
            <w:gridSpan w:val="6"/>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shd w:val="clear" w:color="auto" w:fill="auto"/>
          <w:tblCellMar>
            <w:top w:w="0" w:type="dxa"/>
            <w:left w:w="108" w:type="dxa"/>
            <w:bottom w:w="0" w:type="dxa"/>
            <w:right w:w="108" w:type="dxa"/>
          </w:tblCellMar>
        </w:tblPrEx>
        <w:trPr>
          <w:trHeight w:val="255" w:hRule="atLeast"/>
        </w:trPr>
        <w:tc>
          <w:tcPr>
            <w:tcW w:w="0" w:type="auto"/>
            <w:gridSpan w:val="6"/>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编制单位：兴国县皮肤病防治所              2020年度            公开01表</w:t>
            </w:r>
          </w:p>
        </w:tc>
      </w:tr>
      <w:tr>
        <w:tblPrEx>
          <w:shd w:val="clear" w:color="auto" w:fill="auto"/>
          <w:tblCellMar>
            <w:top w:w="0" w:type="dxa"/>
            <w:left w:w="108" w:type="dxa"/>
            <w:bottom w:w="0" w:type="dxa"/>
            <w:right w:w="108" w:type="dxa"/>
          </w:tblCellMar>
        </w:tblPrEx>
        <w:trPr>
          <w:trHeight w:val="308"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收     入</w:t>
            </w:r>
          </w:p>
        </w:tc>
        <w:tc>
          <w:tcPr>
            <w:tcW w:w="0" w:type="auto"/>
            <w:gridSpan w:val="3"/>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支     出</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    目</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行次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决算数</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项目（按功能分类）</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行次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决算数</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栏    次</w:t>
            </w:r>
          </w:p>
        </w:tc>
        <w:tc>
          <w:tcPr>
            <w:tcW w:w="0" w:type="auto"/>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栏    次</w:t>
            </w:r>
          </w:p>
        </w:tc>
        <w:tc>
          <w:tcPr>
            <w:tcW w:w="0" w:type="auto"/>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一、一般公共预算财政拨款收入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auto"/>
                <w:kern w:val="0"/>
                <w:sz w:val="18"/>
                <w:szCs w:val="18"/>
                <w:u w:val="none"/>
                <w:lang w:val="en-US" w:eastAsia="zh-CN" w:bidi="ar"/>
              </w:rPr>
              <w:t xml:space="preserve">74.69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一、一般公共服务支出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二、政府性基金预算财政拨款收入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二、外交支出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三、上级补助收入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三、国防支出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四、事业收入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auto"/>
                <w:kern w:val="0"/>
                <w:sz w:val="18"/>
                <w:szCs w:val="18"/>
                <w:u w:val="none"/>
                <w:lang w:val="en-US" w:eastAsia="zh-CN" w:bidi="ar"/>
              </w:rPr>
              <w:t xml:space="preserve">222.21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四、公共安全支出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五、经营收入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五、教育支出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六、附属单位上缴收入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六、科学技术支出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七、其他收入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七、文化旅游体育与传媒支出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8"/>
                <w:szCs w:val="18"/>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八、社会保障和就业支出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auto"/>
                <w:kern w:val="0"/>
                <w:sz w:val="18"/>
                <w:szCs w:val="18"/>
                <w:u w:val="none"/>
                <w:lang w:val="en-US" w:eastAsia="zh-CN" w:bidi="ar"/>
              </w:rPr>
              <w:t xml:space="preserve">9.51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8"/>
                <w:szCs w:val="18"/>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九、卫生健康支出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auto"/>
                <w:kern w:val="0"/>
                <w:sz w:val="18"/>
                <w:szCs w:val="18"/>
                <w:u w:val="none"/>
                <w:lang w:val="en-US" w:eastAsia="zh-CN" w:bidi="ar"/>
              </w:rPr>
              <w:t xml:space="preserve">319.57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8"/>
                <w:szCs w:val="18"/>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十、节能环保支出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8"/>
                <w:szCs w:val="18"/>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十一、城乡社区支出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8"/>
                <w:szCs w:val="18"/>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十二、农林水支出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8"/>
                <w:szCs w:val="18"/>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十三、交通运输支出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8"/>
                <w:szCs w:val="18"/>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十四、资源勘探信息等支出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8"/>
                <w:szCs w:val="18"/>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十五、商业服务业等支出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8"/>
                <w:szCs w:val="18"/>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十六、金融支出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8"/>
                <w:szCs w:val="18"/>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十七、援助其他地区支出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8"/>
                <w:szCs w:val="18"/>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十八、自然资源海洋气象等支出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8"/>
                <w:szCs w:val="18"/>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十九、住房保障支出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auto"/>
                <w:kern w:val="0"/>
                <w:sz w:val="18"/>
                <w:szCs w:val="18"/>
                <w:u w:val="none"/>
                <w:lang w:val="en-US" w:eastAsia="zh-CN" w:bidi="ar"/>
              </w:rPr>
              <w:t xml:space="preserve">55.44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8"/>
                <w:szCs w:val="18"/>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二十、粮油物资储备支出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8"/>
                <w:szCs w:val="18"/>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二十一、灾害防治及应急管理支出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8"/>
                <w:szCs w:val="18"/>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二十二、其他支出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8"/>
                <w:szCs w:val="18"/>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二十三、债务还本支出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8"/>
                <w:szCs w:val="18"/>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二十四、债务付息支出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8"/>
                <w:szCs w:val="18"/>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8"/>
                <w:szCs w:val="18"/>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本年收入合计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auto"/>
                <w:kern w:val="0"/>
                <w:sz w:val="18"/>
                <w:szCs w:val="18"/>
                <w:u w:val="none"/>
                <w:lang w:val="en-US" w:eastAsia="zh-CN" w:bidi="ar"/>
              </w:rPr>
              <w:t xml:space="preserve">296.90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本年支出合计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auto"/>
                <w:kern w:val="0"/>
                <w:sz w:val="18"/>
                <w:szCs w:val="18"/>
                <w:u w:val="none"/>
                <w:lang w:val="en-US" w:eastAsia="zh-CN" w:bidi="ar"/>
              </w:rPr>
              <w:t xml:space="preserve">334.62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用事业基金弥补收支差额</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37.72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结余分配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年初结转和结余</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年末结转和结余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8"/>
                <w:szCs w:val="18"/>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总计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auto"/>
                <w:kern w:val="0"/>
                <w:sz w:val="18"/>
                <w:szCs w:val="18"/>
                <w:u w:val="none"/>
                <w:lang w:val="en-US" w:eastAsia="zh-CN" w:bidi="ar"/>
              </w:rPr>
              <w:t xml:space="preserve">334.62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总计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auto"/>
                <w:kern w:val="0"/>
                <w:sz w:val="18"/>
                <w:szCs w:val="18"/>
                <w:u w:val="none"/>
                <w:lang w:val="en-US" w:eastAsia="zh-CN" w:bidi="ar"/>
              </w:rPr>
              <w:t xml:space="preserve">334.62 </w:t>
            </w:r>
          </w:p>
        </w:tc>
      </w:tr>
    </w:tbl>
    <w:p>
      <w:pPr>
        <w:pStyle w:val="2"/>
        <w:spacing w:before="216"/>
        <w:ind w:left="0" w:right="138"/>
        <w:jc w:val="both"/>
      </w:pPr>
    </w:p>
    <w:p>
      <w:pPr>
        <w:pStyle w:val="2"/>
        <w:spacing w:before="216"/>
        <w:ind w:left="0" w:right="138"/>
        <w:jc w:val="center"/>
      </w:pPr>
    </w:p>
    <w:p>
      <w:pPr>
        <w:pStyle w:val="2"/>
        <w:spacing w:before="216"/>
        <w:ind w:left="0" w:right="138"/>
        <w:jc w:val="center"/>
      </w:pPr>
    </w:p>
    <w:p>
      <w:pPr>
        <w:pStyle w:val="2"/>
        <w:spacing w:before="216"/>
        <w:ind w:left="0" w:right="138"/>
        <w:jc w:val="center"/>
      </w:pPr>
    </w:p>
    <w:p>
      <w:pPr>
        <w:pStyle w:val="2"/>
        <w:spacing w:before="216"/>
        <w:ind w:left="0" w:right="138"/>
        <w:jc w:val="center"/>
      </w:pPr>
    </w:p>
    <w:p>
      <w:pPr>
        <w:pStyle w:val="2"/>
        <w:spacing w:before="216"/>
        <w:ind w:left="0" w:right="138"/>
        <w:jc w:val="center"/>
      </w:pPr>
    </w:p>
    <w:tbl>
      <w:tblPr>
        <w:tblStyle w:val="6"/>
        <w:tblW w:w="10616" w:type="dxa"/>
        <w:tblInd w:w="93" w:type="dxa"/>
        <w:shd w:val="clear" w:color="auto" w:fill="auto"/>
        <w:tblLayout w:type="fixed"/>
        <w:tblCellMar>
          <w:top w:w="0" w:type="dxa"/>
          <w:left w:w="108" w:type="dxa"/>
          <w:bottom w:w="0" w:type="dxa"/>
          <w:right w:w="108" w:type="dxa"/>
        </w:tblCellMar>
      </w:tblPr>
      <w:tblGrid>
        <w:gridCol w:w="340"/>
        <w:gridCol w:w="340"/>
        <w:gridCol w:w="340"/>
        <w:gridCol w:w="1573"/>
        <w:gridCol w:w="1335"/>
        <w:gridCol w:w="1116"/>
        <w:gridCol w:w="514"/>
        <w:gridCol w:w="1330"/>
        <w:gridCol w:w="1087"/>
        <w:gridCol w:w="714"/>
        <w:gridCol w:w="1212"/>
        <w:gridCol w:w="715"/>
      </w:tblGrid>
      <w:tr>
        <w:tblPrEx>
          <w:shd w:val="clear" w:color="auto" w:fill="auto"/>
          <w:tblCellMar>
            <w:top w:w="0" w:type="dxa"/>
            <w:left w:w="108" w:type="dxa"/>
            <w:bottom w:w="0" w:type="dxa"/>
            <w:right w:w="108" w:type="dxa"/>
          </w:tblCellMar>
        </w:tblPrEx>
        <w:trPr>
          <w:trHeight w:val="540" w:hRule="atLeast"/>
        </w:trPr>
        <w:tc>
          <w:tcPr>
            <w:tcW w:w="10616" w:type="dxa"/>
            <w:gridSpan w:val="12"/>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kern w:val="0"/>
                <w:sz w:val="44"/>
                <w:szCs w:val="44"/>
                <w:u w:val="none"/>
                <w:lang w:val="en-US" w:eastAsia="zh-CN" w:bidi="ar"/>
              </w:rPr>
              <w:t>收入决算表</w:t>
            </w:r>
          </w:p>
        </w:tc>
      </w:tr>
      <w:tr>
        <w:tblPrEx>
          <w:shd w:val="clear" w:color="auto" w:fill="auto"/>
          <w:tblCellMar>
            <w:top w:w="0" w:type="dxa"/>
            <w:left w:w="108" w:type="dxa"/>
            <w:bottom w:w="0" w:type="dxa"/>
            <w:right w:w="108" w:type="dxa"/>
          </w:tblCellMar>
        </w:tblPrEx>
        <w:trPr>
          <w:trHeight w:val="255" w:hRule="atLeast"/>
        </w:trPr>
        <w:tc>
          <w:tcPr>
            <w:tcW w:w="10616" w:type="dxa"/>
            <w:gridSpan w:val="12"/>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shd w:val="clear" w:color="auto" w:fill="auto"/>
          <w:tblCellMar>
            <w:top w:w="0" w:type="dxa"/>
            <w:left w:w="108" w:type="dxa"/>
            <w:bottom w:w="0" w:type="dxa"/>
            <w:right w:w="108" w:type="dxa"/>
          </w:tblCellMar>
        </w:tblPrEx>
        <w:trPr>
          <w:trHeight w:val="255" w:hRule="atLeast"/>
        </w:trPr>
        <w:tc>
          <w:tcPr>
            <w:tcW w:w="10616" w:type="dxa"/>
            <w:gridSpan w:val="1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kern w:val="0"/>
                <w:sz w:val="20"/>
                <w:szCs w:val="20"/>
                <w:u w:val="none"/>
                <w:lang w:val="en-US" w:eastAsia="zh-CN" w:bidi="ar"/>
              </w:rPr>
              <w:t>编制单位：兴国县皮肤病防治所     2020年度                公开02表</w:t>
            </w:r>
          </w:p>
        </w:tc>
      </w:tr>
      <w:tr>
        <w:tblPrEx>
          <w:shd w:val="clear" w:color="auto" w:fill="auto"/>
          <w:tblCellMar>
            <w:top w:w="0" w:type="dxa"/>
            <w:left w:w="108" w:type="dxa"/>
            <w:bottom w:w="0" w:type="dxa"/>
            <w:right w:w="108" w:type="dxa"/>
          </w:tblCellMar>
        </w:tblPrEx>
        <w:trPr>
          <w:trHeight w:val="308" w:hRule="atLeast"/>
        </w:trPr>
        <w:tc>
          <w:tcPr>
            <w:tcW w:w="2593"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    目</w:t>
            </w:r>
          </w:p>
        </w:tc>
        <w:tc>
          <w:tcPr>
            <w:tcW w:w="1335" w:type="dxa"/>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本年收入合计</w:t>
            </w:r>
          </w:p>
        </w:tc>
        <w:tc>
          <w:tcPr>
            <w:tcW w:w="1116" w:type="dxa"/>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财政拨款收入</w:t>
            </w:r>
          </w:p>
        </w:tc>
        <w:tc>
          <w:tcPr>
            <w:tcW w:w="514" w:type="dxa"/>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上级补助收入</w:t>
            </w:r>
          </w:p>
        </w:tc>
        <w:tc>
          <w:tcPr>
            <w:tcW w:w="2417" w:type="dxa"/>
            <w:gridSpan w:val="2"/>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事业收入</w:t>
            </w:r>
          </w:p>
        </w:tc>
        <w:tc>
          <w:tcPr>
            <w:tcW w:w="714" w:type="dxa"/>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经营收入</w:t>
            </w:r>
          </w:p>
        </w:tc>
        <w:tc>
          <w:tcPr>
            <w:tcW w:w="1212" w:type="dxa"/>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附属单位上缴收入</w:t>
            </w:r>
          </w:p>
        </w:tc>
        <w:tc>
          <w:tcPr>
            <w:tcW w:w="715" w:type="dxa"/>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其他收入</w:t>
            </w:r>
          </w:p>
        </w:tc>
      </w:tr>
      <w:tr>
        <w:tblPrEx>
          <w:shd w:val="clear" w:color="auto" w:fill="auto"/>
          <w:tblCellMar>
            <w:top w:w="0" w:type="dxa"/>
            <w:left w:w="108" w:type="dxa"/>
            <w:bottom w:w="0" w:type="dxa"/>
            <w:right w:w="108" w:type="dxa"/>
          </w:tblCellMar>
        </w:tblPrEx>
        <w:trPr>
          <w:trHeight w:val="308" w:hRule="atLeast"/>
        </w:trPr>
        <w:tc>
          <w:tcPr>
            <w:tcW w:w="1020"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支出功能分类科目编码</w:t>
            </w:r>
          </w:p>
        </w:tc>
        <w:tc>
          <w:tcPr>
            <w:tcW w:w="1573"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科目名称</w:t>
            </w:r>
          </w:p>
        </w:tc>
        <w:tc>
          <w:tcPr>
            <w:tcW w:w="1335"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1116"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514"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1330"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小计</w:t>
            </w:r>
          </w:p>
        </w:tc>
        <w:tc>
          <w:tcPr>
            <w:tcW w:w="1087"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其中：教育收费</w:t>
            </w:r>
          </w:p>
        </w:tc>
        <w:tc>
          <w:tcPr>
            <w:tcW w:w="714"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1212"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715"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308" w:hRule="atLeast"/>
        </w:trPr>
        <w:tc>
          <w:tcPr>
            <w:tcW w:w="1020"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18"/>
                <w:szCs w:val="18"/>
                <w:u w:val="none"/>
              </w:rPr>
            </w:pPr>
          </w:p>
        </w:tc>
        <w:tc>
          <w:tcPr>
            <w:tcW w:w="1573"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6"/>
                <w:szCs w:val="16"/>
                <w:u w:val="none"/>
              </w:rPr>
            </w:pPr>
          </w:p>
        </w:tc>
        <w:tc>
          <w:tcPr>
            <w:tcW w:w="1335"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1116"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514"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1330"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1087"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714"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1212"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715"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308" w:hRule="atLeast"/>
        </w:trPr>
        <w:tc>
          <w:tcPr>
            <w:tcW w:w="1020"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18"/>
                <w:szCs w:val="18"/>
                <w:u w:val="none"/>
              </w:rPr>
            </w:pPr>
          </w:p>
        </w:tc>
        <w:tc>
          <w:tcPr>
            <w:tcW w:w="1573"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6"/>
                <w:szCs w:val="16"/>
                <w:u w:val="none"/>
              </w:rPr>
            </w:pPr>
          </w:p>
        </w:tc>
        <w:tc>
          <w:tcPr>
            <w:tcW w:w="1335"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1116"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514"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1330"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1087"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714"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1212"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715"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308" w:hRule="atLeast"/>
        </w:trPr>
        <w:tc>
          <w:tcPr>
            <w:tcW w:w="340" w:type="dxa"/>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类</w:t>
            </w:r>
          </w:p>
        </w:tc>
        <w:tc>
          <w:tcPr>
            <w:tcW w:w="340"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款</w:t>
            </w:r>
          </w:p>
        </w:tc>
        <w:tc>
          <w:tcPr>
            <w:tcW w:w="340"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1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栏次</w:t>
            </w:r>
          </w:p>
        </w:tc>
        <w:tc>
          <w:tcPr>
            <w:tcW w:w="13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1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33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08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71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21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7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r>
      <w:tr>
        <w:tblPrEx>
          <w:shd w:val="clear" w:color="auto" w:fill="auto"/>
          <w:tblCellMar>
            <w:top w:w="0" w:type="dxa"/>
            <w:left w:w="108" w:type="dxa"/>
            <w:bottom w:w="0" w:type="dxa"/>
            <w:right w:w="108" w:type="dxa"/>
          </w:tblCellMar>
        </w:tblPrEx>
        <w:trPr>
          <w:trHeight w:val="323" w:hRule="atLeast"/>
        </w:trPr>
        <w:tc>
          <w:tcPr>
            <w:tcW w:w="340" w:type="dxa"/>
            <w:vMerge w:val="continue"/>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340"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340"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1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合计</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296.90 </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74.69 </w:t>
            </w:r>
          </w:p>
        </w:tc>
        <w:tc>
          <w:tcPr>
            <w:tcW w:w="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13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222.21 </w:t>
            </w:r>
          </w:p>
        </w:tc>
        <w:tc>
          <w:tcPr>
            <w:tcW w:w="108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12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w:t>
            </w:r>
          </w:p>
        </w:tc>
        <w:tc>
          <w:tcPr>
            <w:tcW w:w="157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社会保障和就业支出</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9.51 </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9.51 </w:t>
            </w:r>
          </w:p>
        </w:tc>
        <w:tc>
          <w:tcPr>
            <w:tcW w:w="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13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0.00 </w:t>
            </w:r>
          </w:p>
        </w:tc>
        <w:tc>
          <w:tcPr>
            <w:tcW w:w="108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12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20805</w:t>
            </w:r>
          </w:p>
        </w:tc>
        <w:tc>
          <w:tcPr>
            <w:tcW w:w="157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行政事业单位离退休</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9.51 </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9.51 </w:t>
            </w:r>
          </w:p>
        </w:tc>
        <w:tc>
          <w:tcPr>
            <w:tcW w:w="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13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0.00 </w:t>
            </w:r>
          </w:p>
        </w:tc>
        <w:tc>
          <w:tcPr>
            <w:tcW w:w="108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12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2080505</w:t>
            </w:r>
          </w:p>
        </w:tc>
        <w:tc>
          <w:tcPr>
            <w:tcW w:w="157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机关事业单位基本养老保险缴费支出</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9.51 </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9.51 </w:t>
            </w:r>
          </w:p>
        </w:tc>
        <w:tc>
          <w:tcPr>
            <w:tcW w:w="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13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0.00 </w:t>
            </w:r>
          </w:p>
        </w:tc>
        <w:tc>
          <w:tcPr>
            <w:tcW w:w="108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12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w:t>
            </w:r>
          </w:p>
        </w:tc>
        <w:tc>
          <w:tcPr>
            <w:tcW w:w="157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卫生健康支出</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281.84 </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59.64 </w:t>
            </w:r>
          </w:p>
        </w:tc>
        <w:tc>
          <w:tcPr>
            <w:tcW w:w="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13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222.21 </w:t>
            </w:r>
          </w:p>
        </w:tc>
        <w:tc>
          <w:tcPr>
            <w:tcW w:w="108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12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21002</w:t>
            </w:r>
          </w:p>
        </w:tc>
        <w:tc>
          <w:tcPr>
            <w:tcW w:w="157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公立医院</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273.01 </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50.81 </w:t>
            </w:r>
          </w:p>
        </w:tc>
        <w:tc>
          <w:tcPr>
            <w:tcW w:w="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13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222.21 </w:t>
            </w:r>
          </w:p>
        </w:tc>
        <w:tc>
          <w:tcPr>
            <w:tcW w:w="108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12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2100203</w:t>
            </w:r>
          </w:p>
        </w:tc>
        <w:tc>
          <w:tcPr>
            <w:tcW w:w="157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传染病医院</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273.01 </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50.81 </w:t>
            </w:r>
          </w:p>
        </w:tc>
        <w:tc>
          <w:tcPr>
            <w:tcW w:w="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13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222.21 </w:t>
            </w:r>
          </w:p>
        </w:tc>
        <w:tc>
          <w:tcPr>
            <w:tcW w:w="108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12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21004</w:t>
            </w:r>
          </w:p>
        </w:tc>
        <w:tc>
          <w:tcPr>
            <w:tcW w:w="157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公共卫生</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5.00 </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5.00 </w:t>
            </w:r>
          </w:p>
        </w:tc>
        <w:tc>
          <w:tcPr>
            <w:tcW w:w="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13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0.00 </w:t>
            </w:r>
          </w:p>
        </w:tc>
        <w:tc>
          <w:tcPr>
            <w:tcW w:w="108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12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2100401</w:t>
            </w:r>
          </w:p>
        </w:tc>
        <w:tc>
          <w:tcPr>
            <w:tcW w:w="157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疾病预防控制机构</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5.00 </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5.00 </w:t>
            </w:r>
          </w:p>
        </w:tc>
        <w:tc>
          <w:tcPr>
            <w:tcW w:w="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13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0.00 </w:t>
            </w:r>
          </w:p>
        </w:tc>
        <w:tc>
          <w:tcPr>
            <w:tcW w:w="108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12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2100409</w:t>
            </w:r>
          </w:p>
        </w:tc>
        <w:tc>
          <w:tcPr>
            <w:tcW w:w="157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重大公共卫生专项</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3.83 </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3.83 </w:t>
            </w:r>
          </w:p>
        </w:tc>
        <w:tc>
          <w:tcPr>
            <w:tcW w:w="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13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0.00 </w:t>
            </w:r>
          </w:p>
        </w:tc>
        <w:tc>
          <w:tcPr>
            <w:tcW w:w="108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12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21011</w:t>
            </w:r>
          </w:p>
        </w:tc>
        <w:tc>
          <w:tcPr>
            <w:tcW w:w="157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行政事业单位医疗</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3.83 </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3.83 </w:t>
            </w:r>
          </w:p>
        </w:tc>
        <w:tc>
          <w:tcPr>
            <w:tcW w:w="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13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0.00 </w:t>
            </w:r>
          </w:p>
        </w:tc>
        <w:tc>
          <w:tcPr>
            <w:tcW w:w="108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12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2101102</w:t>
            </w:r>
          </w:p>
        </w:tc>
        <w:tc>
          <w:tcPr>
            <w:tcW w:w="157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事业单位医疗</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5.54 </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5.54 </w:t>
            </w:r>
          </w:p>
        </w:tc>
        <w:tc>
          <w:tcPr>
            <w:tcW w:w="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13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0.00 </w:t>
            </w:r>
          </w:p>
        </w:tc>
        <w:tc>
          <w:tcPr>
            <w:tcW w:w="108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12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w:t>
            </w:r>
          </w:p>
        </w:tc>
        <w:tc>
          <w:tcPr>
            <w:tcW w:w="157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住房保障支出</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5.54 </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5.54 </w:t>
            </w:r>
          </w:p>
        </w:tc>
        <w:tc>
          <w:tcPr>
            <w:tcW w:w="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13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0.00 </w:t>
            </w:r>
          </w:p>
        </w:tc>
        <w:tc>
          <w:tcPr>
            <w:tcW w:w="108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12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22102</w:t>
            </w:r>
          </w:p>
        </w:tc>
        <w:tc>
          <w:tcPr>
            <w:tcW w:w="157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住房改革支出</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5.54 </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5.54 </w:t>
            </w:r>
          </w:p>
        </w:tc>
        <w:tc>
          <w:tcPr>
            <w:tcW w:w="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13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0.00 </w:t>
            </w:r>
          </w:p>
        </w:tc>
        <w:tc>
          <w:tcPr>
            <w:tcW w:w="108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12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2210201</w:t>
            </w:r>
          </w:p>
        </w:tc>
        <w:tc>
          <w:tcPr>
            <w:tcW w:w="157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住房公积金</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296.90 </w:t>
            </w:r>
          </w:p>
        </w:tc>
        <w:tc>
          <w:tcPr>
            <w:tcW w:w="11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74.69 </w:t>
            </w:r>
          </w:p>
        </w:tc>
        <w:tc>
          <w:tcPr>
            <w:tcW w:w="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lang w:val="en-US" w:eastAsia="zh-CN" w:bidi="ar"/>
              </w:rPr>
              <w:t xml:space="preserve">0.00 </w:t>
            </w:r>
          </w:p>
        </w:tc>
        <w:tc>
          <w:tcPr>
            <w:tcW w:w="13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222.21 </w:t>
            </w:r>
          </w:p>
        </w:tc>
        <w:tc>
          <w:tcPr>
            <w:tcW w:w="108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12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7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bl>
    <w:p>
      <w:pPr>
        <w:pStyle w:val="2"/>
        <w:spacing w:before="216"/>
        <w:ind w:left="0" w:right="138"/>
        <w:jc w:val="both"/>
      </w:pPr>
    </w:p>
    <w:p>
      <w:pPr>
        <w:pStyle w:val="2"/>
        <w:spacing w:before="216"/>
        <w:ind w:left="0" w:right="138"/>
        <w:jc w:val="both"/>
      </w:pPr>
    </w:p>
    <w:p>
      <w:pPr>
        <w:pStyle w:val="2"/>
        <w:spacing w:before="216"/>
        <w:ind w:left="0" w:right="138"/>
        <w:jc w:val="both"/>
      </w:pPr>
    </w:p>
    <w:p>
      <w:pPr>
        <w:pStyle w:val="2"/>
        <w:spacing w:before="216"/>
        <w:ind w:left="0" w:right="138"/>
        <w:jc w:val="both"/>
      </w:pPr>
    </w:p>
    <w:p>
      <w:pPr>
        <w:pStyle w:val="2"/>
        <w:spacing w:before="216"/>
        <w:ind w:left="0" w:right="138"/>
        <w:jc w:val="both"/>
      </w:pPr>
    </w:p>
    <w:p>
      <w:pPr>
        <w:pStyle w:val="2"/>
        <w:spacing w:before="216"/>
        <w:ind w:left="0" w:right="138"/>
        <w:jc w:val="both"/>
      </w:pPr>
    </w:p>
    <w:p>
      <w:pPr>
        <w:pStyle w:val="2"/>
        <w:spacing w:before="216"/>
        <w:ind w:left="0" w:right="138"/>
        <w:jc w:val="center"/>
      </w:pPr>
    </w:p>
    <w:p>
      <w:pPr>
        <w:pStyle w:val="2"/>
        <w:spacing w:before="216"/>
        <w:ind w:left="0" w:right="138"/>
        <w:jc w:val="center"/>
      </w:pPr>
    </w:p>
    <w:tbl>
      <w:tblPr>
        <w:tblStyle w:val="6"/>
        <w:tblW w:w="9360" w:type="dxa"/>
        <w:tblInd w:w="93" w:type="dxa"/>
        <w:shd w:val="clear" w:color="auto" w:fill="auto"/>
        <w:tblLayout w:type="fixed"/>
        <w:tblCellMar>
          <w:top w:w="0" w:type="dxa"/>
          <w:left w:w="108" w:type="dxa"/>
          <w:bottom w:w="0" w:type="dxa"/>
          <w:right w:w="108" w:type="dxa"/>
        </w:tblCellMar>
      </w:tblPr>
      <w:tblGrid>
        <w:gridCol w:w="396"/>
        <w:gridCol w:w="396"/>
        <w:gridCol w:w="396"/>
        <w:gridCol w:w="2665"/>
        <w:gridCol w:w="1350"/>
        <w:gridCol w:w="1335"/>
        <w:gridCol w:w="780"/>
        <w:gridCol w:w="630"/>
        <w:gridCol w:w="585"/>
        <w:gridCol w:w="827"/>
      </w:tblGrid>
      <w:tr>
        <w:tblPrEx>
          <w:shd w:val="clear" w:color="auto" w:fill="auto"/>
          <w:tblCellMar>
            <w:top w:w="0" w:type="dxa"/>
            <w:left w:w="108" w:type="dxa"/>
            <w:bottom w:w="0" w:type="dxa"/>
            <w:right w:w="108" w:type="dxa"/>
          </w:tblCellMar>
        </w:tblPrEx>
        <w:trPr>
          <w:trHeight w:val="540" w:hRule="atLeast"/>
        </w:trPr>
        <w:tc>
          <w:tcPr>
            <w:tcW w:w="9360" w:type="dxa"/>
            <w:gridSpan w:val="10"/>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kern w:val="0"/>
                <w:sz w:val="44"/>
                <w:szCs w:val="44"/>
                <w:u w:val="none"/>
                <w:lang w:val="en-US" w:eastAsia="zh-CN" w:bidi="ar"/>
              </w:rPr>
              <w:t>支出决算表</w:t>
            </w:r>
          </w:p>
        </w:tc>
      </w:tr>
      <w:tr>
        <w:tblPrEx>
          <w:shd w:val="clear" w:color="auto" w:fill="auto"/>
          <w:tblCellMar>
            <w:top w:w="0" w:type="dxa"/>
            <w:left w:w="108" w:type="dxa"/>
            <w:bottom w:w="0" w:type="dxa"/>
            <w:right w:w="108" w:type="dxa"/>
          </w:tblCellMar>
        </w:tblPrEx>
        <w:trPr>
          <w:trHeight w:val="255" w:hRule="atLeast"/>
        </w:trPr>
        <w:tc>
          <w:tcPr>
            <w:tcW w:w="9360" w:type="dxa"/>
            <w:gridSpan w:val="10"/>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shd w:val="clear" w:color="auto" w:fill="auto"/>
          <w:tblCellMar>
            <w:top w:w="0" w:type="dxa"/>
            <w:left w:w="108" w:type="dxa"/>
            <w:bottom w:w="0" w:type="dxa"/>
            <w:right w:w="108" w:type="dxa"/>
          </w:tblCellMar>
        </w:tblPrEx>
        <w:trPr>
          <w:trHeight w:val="255" w:hRule="atLeast"/>
        </w:trPr>
        <w:tc>
          <w:tcPr>
            <w:tcW w:w="9360" w:type="dxa"/>
            <w:gridSpan w:val="10"/>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kern w:val="0"/>
                <w:sz w:val="20"/>
                <w:szCs w:val="20"/>
                <w:u w:val="none"/>
                <w:lang w:val="en-US" w:eastAsia="zh-CN" w:bidi="ar"/>
              </w:rPr>
              <w:t>编制单位：兴国县皮肤病防治所        2020年度         公开03表</w:t>
            </w:r>
          </w:p>
        </w:tc>
      </w:tr>
      <w:tr>
        <w:tblPrEx>
          <w:shd w:val="clear" w:color="auto" w:fill="auto"/>
          <w:tblCellMar>
            <w:top w:w="0" w:type="dxa"/>
            <w:left w:w="108" w:type="dxa"/>
            <w:bottom w:w="0" w:type="dxa"/>
            <w:right w:w="108" w:type="dxa"/>
          </w:tblCellMar>
        </w:tblPrEx>
        <w:trPr>
          <w:trHeight w:val="308" w:hRule="atLeast"/>
        </w:trPr>
        <w:tc>
          <w:tcPr>
            <w:tcW w:w="3853"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    目</w:t>
            </w:r>
          </w:p>
        </w:tc>
        <w:tc>
          <w:tcPr>
            <w:tcW w:w="135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本年支出合计</w:t>
            </w:r>
          </w:p>
        </w:tc>
        <w:tc>
          <w:tcPr>
            <w:tcW w:w="1335"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基本支出</w:t>
            </w:r>
          </w:p>
        </w:tc>
        <w:tc>
          <w:tcPr>
            <w:tcW w:w="78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项目支出</w:t>
            </w:r>
          </w:p>
        </w:tc>
        <w:tc>
          <w:tcPr>
            <w:tcW w:w="63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上缴上级支出</w:t>
            </w:r>
          </w:p>
        </w:tc>
        <w:tc>
          <w:tcPr>
            <w:tcW w:w="585"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经营支出</w:t>
            </w:r>
          </w:p>
        </w:tc>
        <w:tc>
          <w:tcPr>
            <w:tcW w:w="827"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对附属单位补助支出</w:t>
            </w:r>
          </w:p>
        </w:tc>
      </w:tr>
      <w:tr>
        <w:tblPrEx>
          <w:shd w:val="clear" w:color="auto" w:fill="auto"/>
          <w:tblCellMar>
            <w:top w:w="0" w:type="dxa"/>
            <w:left w:w="108" w:type="dxa"/>
            <w:bottom w:w="0" w:type="dxa"/>
            <w:right w:w="108" w:type="dxa"/>
          </w:tblCellMar>
        </w:tblPrEx>
        <w:trPr>
          <w:trHeight w:val="308" w:hRule="atLeast"/>
        </w:trPr>
        <w:tc>
          <w:tcPr>
            <w:tcW w:w="1188"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支出功能分类科目编码</w:t>
            </w:r>
          </w:p>
        </w:tc>
        <w:tc>
          <w:tcPr>
            <w:tcW w:w="2665"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科目名称</w:t>
            </w:r>
          </w:p>
        </w:tc>
        <w:tc>
          <w:tcPr>
            <w:tcW w:w="135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18"/>
                <w:szCs w:val="18"/>
                <w:u w:val="none"/>
              </w:rPr>
            </w:pPr>
          </w:p>
        </w:tc>
        <w:tc>
          <w:tcPr>
            <w:tcW w:w="133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18"/>
                <w:szCs w:val="18"/>
                <w:u w:val="none"/>
              </w:rPr>
            </w:pPr>
          </w:p>
        </w:tc>
        <w:tc>
          <w:tcPr>
            <w:tcW w:w="78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18"/>
                <w:szCs w:val="18"/>
                <w:u w:val="none"/>
              </w:rPr>
            </w:pPr>
          </w:p>
        </w:tc>
        <w:tc>
          <w:tcPr>
            <w:tcW w:w="63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18"/>
                <w:szCs w:val="18"/>
                <w:u w:val="none"/>
              </w:rPr>
            </w:pPr>
          </w:p>
        </w:tc>
        <w:tc>
          <w:tcPr>
            <w:tcW w:w="58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18"/>
                <w:szCs w:val="18"/>
                <w:u w:val="none"/>
              </w:rPr>
            </w:pPr>
          </w:p>
        </w:tc>
        <w:tc>
          <w:tcPr>
            <w:tcW w:w="827"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308" w:hRule="atLeast"/>
        </w:trPr>
        <w:tc>
          <w:tcPr>
            <w:tcW w:w="1188"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18"/>
                <w:szCs w:val="18"/>
                <w:u w:val="none"/>
              </w:rPr>
            </w:pPr>
          </w:p>
        </w:tc>
        <w:tc>
          <w:tcPr>
            <w:tcW w:w="2665"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135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18"/>
                <w:szCs w:val="18"/>
                <w:u w:val="none"/>
              </w:rPr>
            </w:pPr>
          </w:p>
        </w:tc>
        <w:tc>
          <w:tcPr>
            <w:tcW w:w="133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18"/>
                <w:szCs w:val="18"/>
                <w:u w:val="none"/>
              </w:rPr>
            </w:pPr>
          </w:p>
        </w:tc>
        <w:tc>
          <w:tcPr>
            <w:tcW w:w="78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18"/>
                <w:szCs w:val="18"/>
                <w:u w:val="none"/>
              </w:rPr>
            </w:pPr>
          </w:p>
        </w:tc>
        <w:tc>
          <w:tcPr>
            <w:tcW w:w="63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18"/>
                <w:szCs w:val="18"/>
                <w:u w:val="none"/>
              </w:rPr>
            </w:pPr>
          </w:p>
        </w:tc>
        <w:tc>
          <w:tcPr>
            <w:tcW w:w="58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18"/>
                <w:szCs w:val="18"/>
                <w:u w:val="none"/>
              </w:rPr>
            </w:pPr>
          </w:p>
        </w:tc>
        <w:tc>
          <w:tcPr>
            <w:tcW w:w="827"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308" w:hRule="atLeast"/>
        </w:trPr>
        <w:tc>
          <w:tcPr>
            <w:tcW w:w="1188"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18"/>
                <w:szCs w:val="18"/>
                <w:u w:val="none"/>
              </w:rPr>
            </w:pPr>
          </w:p>
        </w:tc>
        <w:tc>
          <w:tcPr>
            <w:tcW w:w="2665"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135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18"/>
                <w:szCs w:val="18"/>
                <w:u w:val="none"/>
              </w:rPr>
            </w:pPr>
          </w:p>
        </w:tc>
        <w:tc>
          <w:tcPr>
            <w:tcW w:w="133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18"/>
                <w:szCs w:val="18"/>
                <w:u w:val="none"/>
              </w:rPr>
            </w:pPr>
          </w:p>
        </w:tc>
        <w:tc>
          <w:tcPr>
            <w:tcW w:w="78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18"/>
                <w:szCs w:val="18"/>
                <w:u w:val="none"/>
              </w:rPr>
            </w:pPr>
          </w:p>
        </w:tc>
        <w:tc>
          <w:tcPr>
            <w:tcW w:w="63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18"/>
                <w:szCs w:val="18"/>
                <w:u w:val="none"/>
              </w:rPr>
            </w:pPr>
          </w:p>
        </w:tc>
        <w:tc>
          <w:tcPr>
            <w:tcW w:w="58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18"/>
                <w:szCs w:val="18"/>
                <w:u w:val="none"/>
              </w:rPr>
            </w:pPr>
          </w:p>
        </w:tc>
        <w:tc>
          <w:tcPr>
            <w:tcW w:w="827"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308" w:hRule="atLeast"/>
        </w:trPr>
        <w:tc>
          <w:tcPr>
            <w:tcW w:w="396" w:type="dxa"/>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类</w:t>
            </w:r>
          </w:p>
        </w:tc>
        <w:tc>
          <w:tcPr>
            <w:tcW w:w="396"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款</w:t>
            </w:r>
          </w:p>
        </w:tc>
        <w:tc>
          <w:tcPr>
            <w:tcW w:w="396"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266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栏次</w:t>
            </w:r>
          </w:p>
        </w:tc>
        <w:tc>
          <w:tcPr>
            <w:tcW w:w="135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33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78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63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2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r>
      <w:tr>
        <w:tblPrEx>
          <w:shd w:val="clear" w:color="auto" w:fill="auto"/>
          <w:tblCellMar>
            <w:top w:w="0" w:type="dxa"/>
            <w:left w:w="108" w:type="dxa"/>
            <w:bottom w:w="0" w:type="dxa"/>
            <w:right w:w="108" w:type="dxa"/>
          </w:tblCellMar>
        </w:tblPrEx>
        <w:trPr>
          <w:trHeight w:val="308" w:hRule="atLeast"/>
        </w:trPr>
        <w:tc>
          <w:tcPr>
            <w:tcW w:w="396" w:type="dxa"/>
            <w:vMerge w:val="continue"/>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396"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8"/>
                <w:szCs w:val="18"/>
                <w:u w:val="none"/>
              </w:rPr>
            </w:pPr>
          </w:p>
        </w:tc>
        <w:tc>
          <w:tcPr>
            <w:tcW w:w="266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334.62 </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334.62 </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6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5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w:t>
            </w:r>
          </w:p>
        </w:tc>
        <w:tc>
          <w:tcPr>
            <w:tcW w:w="2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社会保障和就业支出</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9.51 </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9.51 </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6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5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20805</w:t>
            </w:r>
          </w:p>
        </w:tc>
        <w:tc>
          <w:tcPr>
            <w:tcW w:w="2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行政事业单位离退休</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9.51 </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9.51 </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6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5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2080505</w:t>
            </w:r>
          </w:p>
        </w:tc>
        <w:tc>
          <w:tcPr>
            <w:tcW w:w="2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机关事业单位基本养老保险缴费支出</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9.51 </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9.51 </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6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5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w:t>
            </w:r>
          </w:p>
        </w:tc>
        <w:tc>
          <w:tcPr>
            <w:tcW w:w="2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卫生健康支出</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319.57 </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319.57 </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6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5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21002</w:t>
            </w:r>
          </w:p>
        </w:tc>
        <w:tc>
          <w:tcPr>
            <w:tcW w:w="2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公立医院</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310.74 </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310.74 </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6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5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2100203</w:t>
            </w:r>
          </w:p>
        </w:tc>
        <w:tc>
          <w:tcPr>
            <w:tcW w:w="2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传染病医院</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310.74 </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310.74 </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6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5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21004</w:t>
            </w:r>
          </w:p>
        </w:tc>
        <w:tc>
          <w:tcPr>
            <w:tcW w:w="2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公共卫生</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5.00 </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5.00 </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6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5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2100401</w:t>
            </w:r>
          </w:p>
        </w:tc>
        <w:tc>
          <w:tcPr>
            <w:tcW w:w="2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疾病预防控制机构</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5.00 </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5.00 </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6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5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2100409</w:t>
            </w:r>
          </w:p>
        </w:tc>
        <w:tc>
          <w:tcPr>
            <w:tcW w:w="2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重大公共卫生专项</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3.83 </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3.83 </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6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5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21011</w:t>
            </w:r>
          </w:p>
        </w:tc>
        <w:tc>
          <w:tcPr>
            <w:tcW w:w="2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行政事业单位医疗</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3.83 </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3.83 </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6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5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2101102</w:t>
            </w:r>
          </w:p>
        </w:tc>
        <w:tc>
          <w:tcPr>
            <w:tcW w:w="2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事业单位医疗</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5.54 </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5.54 </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6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5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r>
        <w:tblPrEx>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w:t>
            </w:r>
          </w:p>
        </w:tc>
        <w:tc>
          <w:tcPr>
            <w:tcW w:w="2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住房保障支出</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5.54 </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5.54 </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6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5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r>
        <w:tblPrEx>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22102</w:t>
            </w:r>
          </w:p>
        </w:tc>
        <w:tc>
          <w:tcPr>
            <w:tcW w:w="2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住房改革支出</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5.54 </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5.54 </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6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5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r>
        <w:tblPrEx>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2210201</w:t>
            </w:r>
          </w:p>
        </w:tc>
        <w:tc>
          <w:tcPr>
            <w:tcW w:w="2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住房公积金</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334.62 </w:t>
            </w:r>
          </w:p>
        </w:tc>
        <w:tc>
          <w:tcPr>
            <w:tcW w:w="13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334.62 </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63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5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8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r>
    </w:tbl>
    <w:p>
      <w:pPr>
        <w:pStyle w:val="2"/>
        <w:spacing w:before="216"/>
        <w:ind w:left="0" w:right="138"/>
        <w:jc w:val="both"/>
      </w:pPr>
    </w:p>
    <w:p>
      <w:pPr>
        <w:pStyle w:val="2"/>
        <w:spacing w:before="216"/>
        <w:ind w:left="0" w:right="138"/>
        <w:jc w:val="center"/>
      </w:pPr>
    </w:p>
    <w:p>
      <w:pPr>
        <w:pStyle w:val="2"/>
        <w:spacing w:before="216"/>
        <w:ind w:left="0" w:right="138"/>
        <w:jc w:val="both"/>
      </w:pPr>
    </w:p>
    <w:p>
      <w:pPr>
        <w:pStyle w:val="2"/>
        <w:spacing w:before="216"/>
        <w:ind w:left="0" w:right="138"/>
        <w:jc w:val="both"/>
      </w:pPr>
    </w:p>
    <w:p>
      <w:pPr>
        <w:pStyle w:val="2"/>
        <w:spacing w:before="216"/>
        <w:ind w:left="0" w:right="138"/>
        <w:jc w:val="both"/>
      </w:pPr>
    </w:p>
    <w:p>
      <w:pPr>
        <w:pStyle w:val="2"/>
        <w:spacing w:before="216"/>
        <w:ind w:left="0" w:right="138"/>
        <w:jc w:val="both"/>
      </w:pPr>
    </w:p>
    <w:p>
      <w:pPr>
        <w:pStyle w:val="2"/>
        <w:spacing w:before="216"/>
        <w:ind w:left="0" w:right="138"/>
        <w:jc w:val="both"/>
      </w:pPr>
    </w:p>
    <w:p>
      <w:pPr>
        <w:pStyle w:val="2"/>
        <w:spacing w:before="216"/>
        <w:ind w:left="0" w:right="138"/>
        <w:jc w:val="both"/>
      </w:pPr>
    </w:p>
    <w:p>
      <w:pPr>
        <w:pStyle w:val="2"/>
        <w:spacing w:before="216"/>
        <w:ind w:left="0" w:right="138"/>
        <w:jc w:val="both"/>
      </w:pPr>
    </w:p>
    <w:p>
      <w:pPr>
        <w:pStyle w:val="2"/>
        <w:spacing w:before="216"/>
        <w:ind w:left="0" w:right="138"/>
        <w:jc w:val="both"/>
      </w:pPr>
    </w:p>
    <w:p>
      <w:pPr>
        <w:pStyle w:val="2"/>
        <w:spacing w:before="216"/>
        <w:ind w:left="0" w:right="138"/>
        <w:jc w:val="both"/>
      </w:pPr>
    </w:p>
    <w:p>
      <w:pPr>
        <w:pStyle w:val="2"/>
        <w:spacing w:before="216"/>
        <w:ind w:left="0" w:right="138"/>
        <w:jc w:val="both"/>
      </w:pPr>
    </w:p>
    <w:p>
      <w:pPr>
        <w:pStyle w:val="2"/>
        <w:spacing w:before="216"/>
        <w:ind w:left="0" w:right="138"/>
        <w:jc w:val="both"/>
      </w:pPr>
    </w:p>
    <w:tbl>
      <w:tblPr>
        <w:tblStyle w:val="6"/>
        <w:tblW w:w="10172" w:type="dxa"/>
        <w:tblInd w:w="93" w:type="dxa"/>
        <w:shd w:val="clear" w:color="auto" w:fill="auto"/>
        <w:tblLayout w:type="autofit"/>
        <w:tblCellMar>
          <w:top w:w="0" w:type="dxa"/>
          <w:left w:w="108" w:type="dxa"/>
          <w:bottom w:w="0" w:type="dxa"/>
          <w:right w:w="108" w:type="dxa"/>
        </w:tblCellMar>
      </w:tblPr>
      <w:tblGrid>
        <w:gridCol w:w="2296"/>
        <w:gridCol w:w="656"/>
        <w:gridCol w:w="1316"/>
        <w:gridCol w:w="2616"/>
        <w:gridCol w:w="656"/>
        <w:gridCol w:w="1316"/>
        <w:gridCol w:w="1316"/>
      </w:tblGrid>
      <w:tr>
        <w:tblPrEx>
          <w:shd w:val="clear" w:color="auto" w:fill="auto"/>
          <w:tblCellMar>
            <w:top w:w="0" w:type="dxa"/>
            <w:left w:w="108" w:type="dxa"/>
            <w:bottom w:w="0" w:type="dxa"/>
            <w:right w:w="108" w:type="dxa"/>
          </w:tblCellMar>
        </w:tblPrEx>
        <w:trPr>
          <w:trHeight w:val="255" w:hRule="atLeast"/>
        </w:trPr>
        <w:tc>
          <w:tcPr>
            <w:tcW w:w="10172" w:type="dxa"/>
            <w:gridSpan w:val="7"/>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6"/>
                <w:szCs w:val="16"/>
                <w:u w:val="none"/>
                <w:lang w:val="en-US" w:eastAsia="zh-CN" w:bidi="ar"/>
              </w:rPr>
            </w:pPr>
          </w:p>
          <w:p>
            <w:pPr>
              <w:keepNext w:val="0"/>
              <w:keepLines w:val="0"/>
              <w:widowControl/>
              <w:suppressLineNumbers w:val="0"/>
              <w:jc w:val="center"/>
              <w:textAlignment w:val="bottom"/>
              <w:rPr>
                <w:rFonts w:hint="eastAsia" w:ascii="宋体" w:hAnsi="宋体" w:eastAsia="宋体" w:cs="宋体"/>
                <w:i w:val="0"/>
                <w:iCs w:val="0"/>
                <w:color w:val="000000"/>
                <w:kern w:val="0"/>
                <w:sz w:val="16"/>
                <w:szCs w:val="16"/>
                <w:u w:val="none"/>
                <w:lang w:val="en-US" w:eastAsia="zh-CN" w:bidi="ar"/>
              </w:rPr>
            </w:pPr>
          </w:p>
          <w:p>
            <w:pPr>
              <w:keepNext w:val="0"/>
              <w:keepLines w:val="0"/>
              <w:widowControl/>
              <w:suppressLineNumbers w:val="0"/>
              <w:jc w:val="center"/>
              <w:textAlignment w:val="bottom"/>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24"/>
                <w:szCs w:val="24"/>
                <w:u w:val="none"/>
                <w:lang w:val="en-US" w:eastAsia="zh-CN" w:bidi="ar"/>
              </w:rPr>
              <w:t>财政拨款收入支出决算总表</w:t>
            </w:r>
          </w:p>
        </w:tc>
      </w:tr>
      <w:tr>
        <w:tblPrEx>
          <w:shd w:val="clear" w:color="auto" w:fill="auto"/>
          <w:tblCellMar>
            <w:top w:w="0" w:type="dxa"/>
            <w:left w:w="108" w:type="dxa"/>
            <w:bottom w:w="0" w:type="dxa"/>
            <w:right w:w="108" w:type="dxa"/>
          </w:tblCellMar>
        </w:tblPrEx>
        <w:trPr>
          <w:trHeight w:val="255" w:hRule="atLeast"/>
        </w:trPr>
        <w:tc>
          <w:tcPr>
            <w:tcW w:w="0" w:type="auto"/>
            <w:gridSpan w:val="7"/>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金额单位：万元</w:t>
            </w:r>
          </w:p>
        </w:tc>
      </w:tr>
      <w:tr>
        <w:tblPrEx>
          <w:shd w:val="clear" w:color="auto" w:fill="auto"/>
          <w:tblCellMar>
            <w:top w:w="0" w:type="dxa"/>
            <w:left w:w="108" w:type="dxa"/>
            <w:bottom w:w="0" w:type="dxa"/>
            <w:right w:w="108" w:type="dxa"/>
          </w:tblCellMar>
        </w:tblPrEx>
        <w:trPr>
          <w:trHeight w:val="255" w:hRule="atLeast"/>
        </w:trPr>
        <w:tc>
          <w:tcPr>
            <w:tcW w:w="0" w:type="auto"/>
            <w:gridSpan w:val="7"/>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编制单位：兴国县皮肤病防治所      2020年度                 公开04表</w:t>
            </w:r>
          </w:p>
        </w:tc>
      </w:tr>
      <w:tr>
        <w:tblPrEx>
          <w:shd w:val="clear" w:color="auto" w:fill="auto"/>
          <w:tblCellMar>
            <w:top w:w="0" w:type="dxa"/>
            <w:left w:w="108" w:type="dxa"/>
            <w:bottom w:w="0" w:type="dxa"/>
            <w:right w:w="108" w:type="dxa"/>
          </w:tblCellMar>
        </w:tblPrEx>
        <w:trPr>
          <w:trHeight w:val="308"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收     入</w:t>
            </w:r>
          </w:p>
        </w:tc>
        <w:tc>
          <w:tcPr>
            <w:tcW w:w="0" w:type="auto"/>
            <w:gridSpan w:val="4"/>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支     出</w:t>
            </w:r>
          </w:p>
        </w:tc>
      </w:tr>
      <w:tr>
        <w:tblPrEx>
          <w:shd w:val="clear" w:color="auto" w:fill="auto"/>
          <w:tblCellMar>
            <w:top w:w="0" w:type="dxa"/>
            <w:left w:w="108" w:type="dxa"/>
            <w:bottom w:w="0" w:type="dxa"/>
            <w:right w:w="108" w:type="dxa"/>
          </w:tblCellMar>
        </w:tblPrEx>
        <w:trPr>
          <w:trHeight w:val="308" w:hRule="atLeast"/>
        </w:trPr>
        <w:tc>
          <w:tcPr>
            <w:tcW w:w="0" w:type="auto"/>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    目</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项目（按功能分类）</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0" w:type="auto"/>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shd w:val="clear" w:color="auto" w:fill="auto"/>
          <w:tblCellMar>
            <w:top w:w="0" w:type="dxa"/>
            <w:left w:w="108" w:type="dxa"/>
            <w:bottom w:w="0" w:type="dxa"/>
            <w:right w:w="108" w:type="dxa"/>
          </w:tblCellMar>
        </w:tblPrEx>
        <w:trPr>
          <w:trHeight w:val="585" w:hRule="atLeast"/>
        </w:trPr>
        <w:tc>
          <w:tcPr>
            <w:tcW w:w="0" w:type="auto"/>
            <w:vMerge w:val="continue"/>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6"/>
                <w:szCs w:val="16"/>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16"/>
                <w:szCs w:val="16"/>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3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3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栏    次</w:t>
            </w:r>
          </w:p>
        </w:tc>
        <w:tc>
          <w:tcPr>
            <w:tcW w:w="0" w:type="auto"/>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栏    次</w:t>
            </w:r>
          </w:p>
        </w:tc>
        <w:tc>
          <w:tcPr>
            <w:tcW w:w="0" w:type="auto"/>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一、一般公共预算财政拨款</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auto"/>
                <w:kern w:val="0"/>
                <w:sz w:val="24"/>
                <w:szCs w:val="24"/>
                <w:u w:val="none"/>
                <w:lang w:val="en-US" w:eastAsia="zh-CN" w:bidi="ar"/>
              </w:rPr>
              <w:t xml:space="preserve">74.69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一、一般公共服务支出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二、政府性基金预算财政拨款</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二、外交支出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三、国防支出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四、公共安全支出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五、教育支出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28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六、科学技术支出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七、文化旅游体育与传媒支出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八、社会保障和就业支出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9.51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9.51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九、卫生健康支出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59.64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59.64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十、节能环保支出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十一、城乡社区支出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十二、农林水支出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十三、交通运输支出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十四、资源勘探信息等支出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十五、商业服务业等支出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十六、金融支出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十七、援助其他地区支出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十八、自然资源海洋气象等支出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十九、住房保障支出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5.54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5.54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二十、粮油物资储备支出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二十一、灾害防治及应急管理支出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二十二、其他支出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二十三、债务还本支出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二十四、债务付息支出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本年收入合计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74.69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本年支出合计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74.69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74.69 </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年初财政拨款结转和结余</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年末财政拨款结转和结余</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auto"/>
                <w:kern w:val="0"/>
                <w:sz w:val="24"/>
                <w:szCs w:val="24"/>
                <w:u w:val="none"/>
                <w:lang w:val="en-US" w:eastAsia="zh-CN" w:bidi="ar"/>
              </w:rPr>
              <w:t xml:space="preserve">0.00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auto"/>
                <w:kern w:val="0"/>
                <w:sz w:val="24"/>
                <w:szCs w:val="24"/>
                <w:u w:val="none"/>
                <w:lang w:val="en-US" w:eastAsia="zh-CN" w:bidi="ar"/>
              </w:rPr>
              <w:t xml:space="preserve">0.00 </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一、一般公共预算财政拨款</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二、政府性基金预算财政拨款</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0" w:type="auto"/>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16"/>
                <w:szCs w:val="16"/>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总计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auto"/>
                <w:kern w:val="0"/>
                <w:sz w:val="24"/>
                <w:szCs w:val="24"/>
                <w:u w:val="none"/>
                <w:lang w:val="en-US" w:eastAsia="zh-CN" w:bidi="ar"/>
              </w:rPr>
              <w:t xml:space="preserve">74.69 </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总计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auto"/>
                <w:kern w:val="0"/>
                <w:sz w:val="24"/>
                <w:szCs w:val="24"/>
                <w:u w:val="none"/>
                <w:lang w:val="en-US" w:eastAsia="zh-CN" w:bidi="ar"/>
              </w:rPr>
              <w:t xml:space="preserve">74.69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auto"/>
                <w:kern w:val="0"/>
                <w:sz w:val="24"/>
                <w:szCs w:val="24"/>
                <w:u w:val="none"/>
                <w:lang w:val="en-US" w:eastAsia="zh-CN" w:bidi="ar"/>
              </w:rPr>
              <w:t xml:space="preserve">74.69 </w:t>
            </w:r>
          </w:p>
        </w:tc>
      </w:tr>
    </w:tbl>
    <w:p>
      <w:pPr>
        <w:pStyle w:val="2"/>
        <w:spacing w:before="216"/>
        <w:ind w:left="0" w:right="138"/>
        <w:jc w:val="both"/>
      </w:pPr>
    </w:p>
    <w:p>
      <w:pPr>
        <w:pStyle w:val="2"/>
        <w:spacing w:before="216"/>
        <w:ind w:left="0" w:right="138"/>
        <w:jc w:val="center"/>
        <w:rPr>
          <w:rFonts w:hint="eastAsia"/>
          <w:lang w:val="en-US" w:eastAsia="zh-CN"/>
        </w:rPr>
      </w:pPr>
      <w:r>
        <w:rPr>
          <w:rFonts w:hint="eastAsia"/>
          <w:lang w:val="en-US" w:eastAsia="zh-CN"/>
        </w:rPr>
        <w:t xml:space="preserve">      </w:t>
      </w:r>
    </w:p>
    <w:p>
      <w:pPr>
        <w:pStyle w:val="2"/>
        <w:spacing w:before="216"/>
        <w:ind w:left="0" w:right="138"/>
        <w:jc w:val="center"/>
        <w:rPr>
          <w:rFonts w:hint="eastAsia"/>
          <w:lang w:val="en-US" w:eastAsia="zh-CN"/>
        </w:rPr>
      </w:pPr>
    </w:p>
    <w:p>
      <w:pPr>
        <w:pStyle w:val="2"/>
        <w:spacing w:before="216"/>
        <w:ind w:left="0" w:right="138"/>
        <w:jc w:val="center"/>
        <w:rPr>
          <w:rFonts w:hint="eastAsia"/>
          <w:lang w:val="en-US" w:eastAsia="zh-CN"/>
        </w:rPr>
      </w:pPr>
    </w:p>
    <w:p>
      <w:pPr>
        <w:pStyle w:val="2"/>
        <w:spacing w:before="216"/>
        <w:ind w:left="0" w:right="138"/>
        <w:jc w:val="center"/>
        <w:rPr>
          <w:rFonts w:hint="eastAsia"/>
          <w:lang w:val="en-US" w:eastAsia="zh-CN"/>
        </w:rPr>
      </w:pPr>
    </w:p>
    <w:tbl>
      <w:tblPr>
        <w:tblStyle w:val="6"/>
        <w:tblW w:w="9212" w:type="dxa"/>
        <w:tblInd w:w="93" w:type="dxa"/>
        <w:shd w:val="clear" w:color="auto" w:fill="auto"/>
        <w:tblLayout w:type="fixed"/>
        <w:tblCellMar>
          <w:top w:w="0" w:type="dxa"/>
          <w:left w:w="108" w:type="dxa"/>
          <w:bottom w:w="0" w:type="dxa"/>
          <w:right w:w="108" w:type="dxa"/>
        </w:tblCellMar>
      </w:tblPr>
      <w:tblGrid>
        <w:gridCol w:w="436"/>
        <w:gridCol w:w="436"/>
        <w:gridCol w:w="436"/>
        <w:gridCol w:w="4000"/>
        <w:gridCol w:w="1492"/>
        <w:gridCol w:w="1316"/>
        <w:gridCol w:w="1096"/>
      </w:tblGrid>
      <w:tr>
        <w:tblPrEx>
          <w:shd w:val="clear" w:color="auto" w:fill="auto"/>
          <w:tblCellMar>
            <w:top w:w="0" w:type="dxa"/>
            <w:left w:w="108" w:type="dxa"/>
            <w:bottom w:w="0" w:type="dxa"/>
            <w:right w:w="108" w:type="dxa"/>
          </w:tblCellMar>
        </w:tblPrEx>
        <w:trPr>
          <w:trHeight w:val="285" w:hRule="atLeast"/>
        </w:trPr>
        <w:tc>
          <w:tcPr>
            <w:tcW w:w="9212" w:type="dxa"/>
            <w:gridSpan w:val="7"/>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jc w:val="center"/>
              <w:textAlignment w:val="bottom"/>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一般公共预算财政拨款支出决算表</w:t>
            </w:r>
          </w:p>
        </w:tc>
      </w:tr>
      <w:tr>
        <w:tblPrEx>
          <w:shd w:val="clear" w:color="auto" w:fill="auto"/>
          <w:tblCellMar>
            <w:top w:w="0" w:type="dxa"/>
            <w:left w:w="108" w:type="dxa"/>
            <w:bottom w:w="0" w:type="dxa"/>
            <w:right w:w="108" w:type="dxa"/>
          </w:tblCellMar>
        </w:tblPrEx>
        <w:trPr>
          <w:trHeight w:val="255" w:hRule="atLeast"/>
        </w:trPr>
        <w:tc>
          <w:tcPr>
            <w:tcW w:w="9212" w:type="dxa"/>
            <w:gridSpan w:val="7"/>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shd w:val="clear" w:color="auto" w:fill="auto"/>
          <w:tblCellMar>
            <w:top w:w="0" w:type="dxa"/>
            <w:left w:w="108" w:type="dxa"/>
            <w:bottom w:w="0" w:type="dxa"/>
            <w:right w:w="108" w:type="dxa"/>
          </w:tblCellMar>
        </w:tblPrEx>
        <w:trPr>
          <w:trHeight w:val="255" w:hRule="atLeast"/>
        </w:trPr>
        <w:tc>
          <w:tcPr>
            <w:tcW w:w="9212" w:type="dxa"/>
            <w:gridSpan w:val="7"/>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kern w:val="0"/>
                <w:sz w:val="20"/>
                <w:szCs w:val="20"/>
                <w:u w:val="none"/>
                <w:lang w:val="en-US" w:eastAsia="zh-CN" w:bidi="ar"/>
              </w:rPr>
              <w:t>编制单位：兴国县皮肤病防治所        2020年度              公开05表</w:t>
            </w:r>
          </w:p>
        </w:tc>
      </w:tr>
      <w:tr>
        <w:tblPrEx>
          <w:shd w:val="clear" w:color="auto" w:fill="auto"/>
          <w:tblCellMar>
            <w:top w:w="0" w:type="dxa"/>
            <w:left w:w="108" w:type="dxa"/>
            <w:bottom w:w="0" w:type="dxa"/>
            <w:right w:w="108" w:type="dxa"/>
          </w:tblCellMar>
        </w:tblPrEx>
        <w:trPr>
          <w:trHeight w:val="308" w:hRule="atLeast"/>
        </w:trPr>
        <w:tc>
          <w:tcPr>
            <w:tcW w:w="5308"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    目</w:t>
            </w:r>
          </w:p>
        </w:tc>
        <w:tc>
          <w:tcPr>
            <w:tcW w:w="1492" w:type="dxa"/>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1316" w:type="dxa"/>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096" w:type="dxa"/>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shd w:val="clear" w:color="auto" w:fill="auto"/>
          <w:tblCellMar>
            <w:top w:w="0" w:type="dxa"/>
            <w:left w:w="108" w:type="dxa"/>
            <w:bottom w:w="0" w:type="dxa"/>
            <w:right w:w="108" w:type="dxa"/>
          </w:tblCellMar>
        </w:tblPrEx>
        <w:trPr>
          <w:trHeight w:val="308" w:hRule="atLeast"/>
        </w:trPr>
        <w:tc>
          <w:tcPr>
            <w:tcW w:w="1308"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支出功能分类科目编码</w:t>
            </w:r>
          </w:p>
        </w:tc>
        <w:tc>
          <w:tcPr>
            <w:tcW w:w="4000"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492"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316"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096"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1308"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000"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492"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316"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096"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38" w:hRule="atLeast"/>
        </w:trPr>
        <w:tc>
          <w:tcPr>
            <w:tcW w:w="1308"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000"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492"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316"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096"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436" w:type="dxa"/>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436"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436"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40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4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9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shd w:val="clear" w:color="auto" w:fill="auto"/>
          <w:tblCellMar>
            <w:top w:w="0" w:type="dxa"/>
            <w:left w:w="108" w:type="dxa"/>
            <w:bottom w:w="0" w:type="dxa"/>
            <w:right w:w="108" w:type="dxa"/>
          </w:tblCellMar>
        </w:tblPrEx>
        <w:trPr>
          <w:trHeight w:val="308" w:hRule="atLeast"/>
        </w:trPr>
        <w:tc>
          <w:tcPr>
            <w:tcW w:w="436" w:type="dxa"/>
            <w:vMerge w:val="continue"/>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36"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36"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0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4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10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40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4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74.69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74.69 </w:t>
            </w:r>
          </w:p>
        </w:tc>
        <w:tc>
          <w:tcPr>
            <w:tcW w:w="10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40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行政事业单位离退休</w:t>
            </w:r>
          </w:p>
        </w:tc>
        <w:tc>
          <w:tcPr>
            <w:tcW w:w="14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9.51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9.51 </w:t>
            </w:r>
          </w:p>
        </w:tc>
        <w:tc>
          <w:tcPr>
            <w:tcW w:w="10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40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4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9.51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9.51 </w:t>
            </w:r>
          </w:p>
        </w:tc>
        <w:tc>
          <w:tcPr>
            <w:tcW w:w="10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40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4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9.51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9.51 </w:t>
            </w:r>
          </w:p>
        </w:tc>
        <w:tc>
          <w:tcPr>
            <w:tcW w:w="10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w:t>
            </w:r>
          </w:p>
        </w:tc>
        <w:tc>
          <w:tcPr>
            <w:tcW w:w="40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公立医院</w:t>
            </w:r>
          </w:p>
        </w:tc>
        <w:tc>
          <w:tcPr>
            <w:tcW w:w="14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59.64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59.64 </w:t>
            </w:r>
          </w:p>
        </w:tc>
        <w:tc>
          <w:tcPr>
            <w:tcW w:w="10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2100203</w:t>
            </w:r>
          </w:p>
        </w:tc>
        <w:tc>
          <w:tcPr>
            <w:tcW w:w="40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传染病医院</w:t>
            </w:r>
          </w:p>
        </w:tc>
        <w:tc>
          <w:tcPr>
            <w:tcW w:w="14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50.81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50.81 </w:t>
            </w:r>
          </w:p>
        </w:tc>
        <w:tc>
          <w:tcPr>
            <w:tcW w:w="10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w:t>
            </w:r>
          </w:p>
        </w:tc>
        <w:tc>
          <w:tcPr>
            <w:tcW w:w="40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公共卫生</w:t>
            </w:r>
          </w:p>
        </w:tc>
        <w:tc>
          <w:tcPr>
            <w:tcW w:w="14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50.81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50.81 </w:t>
            </w:r>
          </w:p>
        </w:tc>
        <w:tc>
          <w:tcPr>
            <w:tcW w:w="10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40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重大公共卫生专项</w:t>
            </w:r>
          </w:p>
        </w:tc>
        <w:tc>
          <w:tcPr>
            <w:tcW w:w="14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5.00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5.00 </w:t>
            </w:r>
          </w:p>
        </w:tc>
        <w:tc>
          <w:tcPr>
            <w:tcW w:w="10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40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14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5.00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5.00 </w:t>
            </w:r>
          </w:p>
        </w:tc>
        <w:tc>
          <w:tcPr>
            <w:tcW w:w="10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2101102</w:t>
            </w:r>
          </w:p>
        </w:tc>
        <w:tc>
          <w:tcPr>
            <w:tcW w:w="40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事业单位医疗</w:t>
            </w:r>
          </w:p>
        </w:tc>
        <w:tc>
          <w:tcPr>
            <w:tcW w:w="14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3.83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3.83 </w:t>
            </w:r>
          </w:p>
        </w:tc>
        <w:tc>
          <w:tcPr>
            <w:tcW w:w="10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40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14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3.83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3.83 </w:t>
            </w:r>
          </w:p>
        </w:tc>
        <w:tc>
          <w:tcPr>
            <w:tcW w:w="10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shd w:val="clear" w:color="auto" w:fill="auto"/>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40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14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5.54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5.54 </w:t>
            </w:r>
          </w:p>
        </w:tc>
        <w:tc>
          <w:tcPr>
            <w:tcW w:w="10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40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4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5.54 </w:t>
            </w:r>
          </w:p>
        </w:tc>
        <w:tc>
          <w:tcPr>
            <w:tcW w:w="1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5.54 </w:t>
            </w:r>
          </w:p>
        </w:tc>
        <w:tc>
          <w:tcPr>
            <w:tcW w:w="10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4"/>
                <w:szCs w:val="24"/>
                <w:u w:val="none"/>
                <w:lang w:val="en-US" w:eastAsia="zh-CN" w:bidi="ar"/>
              </w:rPr>
              <w:t xml:space="preserve">0.00 </w:t>
            </w:r>
          </w:p>
        </w:tc>
      </w:tr>
    </w:tbl>
    <w:p>
      <w:pPr>
        <w:pStyle w:val="2"/>
        <w:spacing w:before="216"/>
        <w:ind w:left="0" w:right="138"/>
        <w:jc w:val="both"/>
        <w:rPr>
          <w:rFonts w:hint="eastAsia"/>
          <w:lang w:val="en-US" w:eastAsia="zh-CN"/>
        </w:rPr>
      </w:pPr>
      <w:r>
        <w:rPr>
          <w:rFonts w:hint="eastAsia"/>
          <w:lang w:val="en-US" w:eastAsia="zh-CN"/>
        </w:rPr>
        <w:t xml:space="preserve">                      </w:t>
      </w:r>
    </w:p>
    <w:p>
      <w:pPr>
        <w:pStyle w:val="2"/>
        <w:spacing w:before="216"/>
        <w:ind w:left="0" w:right="138"/>
        <w:jc w:val="both"/>
        <w:rPr>
          <w:rFonts w:hint="eastAsia"/>
          <w:lang w:val="en-US" w:eastAsia="zh-CN"/>
        </w:rPr>
      </w:pPr>
    </w:p>
    <w:p>
      <w:pPr>
        <w:pStyle w:val="2"/>
        <w:spacing w:before="216"/>
        <w:ind w:left="0" w:right="138"/>
        <w:jc w:val="both"/>
        <w:rPr>
          <w:rFonts w:hint="eastAsia"/>
          <w:lang w:val="en-US" w:eastAsia="zh-CN"/>
        </w:rPr>
      </w:pPr>
    </w:p>
    <w:p>
      <w:pPr>
        <w:pStyle w:val="2"/>
        <w:spacing w:before="216"/>
        <w:ind w:left="0" w:right="138"/>
        <w:jc w:val="both"/>
        <w:rPr>
          <w:rFonts w:hint="eastAsia"/>
          <w:lang w:val="en-US" w:eastAsia="zh-CN"/>
        </w:rPr>
      </w:pPr>
    </w:p>
    <w:p>
      <w:pPr>
        <w:pStyle w:val="2"/>
        <w:spacing w:before="216"/>
        <w:ind w:left="0" w:right="138"/>
        <w:jc w:val="both"/>
        <w:rPr>
          <w:rFonts w:hint="eastAsia"/>
          <w:lang w:val="en-US" w:eastAsia="zh-CN"/>
        </w:rPr>
      </w:pPr>
    </w:p>
    <w:p>
      <w:pPr>
        <w:pStyle w:val="2"/>
        <w:spacing w:before="216"/>
        <w:ind w:left="0" w:right="138"/>
        <w:jc w:val="both"/>
        <w:rPr>
          <w:rFonts w:hint="eastAsia"/>
          <w:lang w:val="en-US" w:eastAsia="zh-CN"/>
        </w:rPr>
      </w:pPr>
    </w:p>
    <w:p>
      <w:pPr>
        <w:pStyle w:val="2"/>
        <w:spacing w:before="216"/>
        <w:ind w:left="0" w:right="138"/>
        <w:jc w:val="both"/>
        <w:rPr>
          <w:rFonts w:hint="eastAsia"/>
          <w:lang w:val="en-US" w:eastAsia="zh-CN"/>
        </w:rPr>
      </w:pPr>
    </w:p>
    <w:p>
      <w:pPr>
        <w:pStyle w:val="2"/>
        <w:spacing w:before="216"/>
        <w:ind w:left="0" w:right="138"/>
        <w:jc w:val="both"/>
        <w:rPr>
          <w:rFonts w:hint="eastAsia"/>
          <w:lang w:val="en-US" w:eastAsia="zh-CN"/>
        </w:rPr>
      </w:pPr>
    </w:p>
    <w:p>
      <w:pPr>
        <w:pStyle w:val="2"/>
        <w:spacing w:before="216"/>
        <w:ind w:left="0" w:right="138"/>
        <w:jc w:val="both"/>
        <w:rPr>
          <w:rFonts w:hint="eastAsia"/>
          <w:lang w:val="en-US" w:eastAsia="zh-CN"/>
        </w:rPr>
      </w:pPr>
    </w:p>
    <w:p>
      <w:pPr>
        <w:pStyle w:val="2"/>
        <w:spacing w:before="216"/>
        <w:ind w:left="0" w:right="138"/>
        <w:jc w:val="both"/>
        <w:rPr>
          <w:rFonts w:hint="eastAsia"/>
          <w:lang w:val="en-US" w:eastAsia="zh-CN"/>
        </w:rPr>
      </w:pPr>
    </w:p>
    <w:p>
      <w:pPr>
        <w:pStyle w:val="2"/>
        <w:spacing w:before="216"/>
        <w:ind w:left="0" w:right="138"/>
        <w:jc w:val="both"/>
        <w:rPr>
          <w:rFonts w:hint="eastAsia"/>
          <w:lang w:val="en-US" w:eastAsia="zh-CN"/>
        </w:rPr>
      </w:pPr>
    </w:p>
    <w:p>
      <w:pPr>
        <w:pStyle w:val="2"/>
        <w:spacing w:before="216"/>
        <w:ind w:left="0" w:right="138"/>
        <w:jc w:val="both"/>
        <w:rPr>
          <w:rFonts w:hint="eastAsia"/>
          <w:lang w:val="en-US" w:eastAsia="zh-CN"/>
        </w:rPr>
      </w:pPr>
    </w:p>
    <w:tbl>
      <w:tblPr>
        <w:tblStyle w:val="6"/>
        <w:tblW w:w="9187" w:type="dxa"/>
        <w:tblInd w:w="93" w:type="dxa"/>
        <w:shd w:val="clear" w:color="auto" w:fill="auto"/>
        <w:tblLayout w:type="fixed"/>
        <w:tblCellMar>
          <w:top w:w="0" w:type="dxa"/>
          <w:left w:w="108" w:type="dxa"/>
          <w:bottom w:w="0" w:type="dxa"/>
          <w:right w:w="108" w:type="dxa"/>
        </w:tblCellMar>
      </w:tblPr>
      <w:tblGrid>
        <w:gridCol w:w="716"/>
        <w:gridCol w:w="1277"/>
        <w:gridCol w:w="1260"/>
        <w:gridCol w:w="735"/>
        <w:gridCol w:w="1065"/>
        <w:gridCol w:w="960"/>
        <w:gridCol w:w="810"/>
        <w:gridCol w:w="1140"/>
        <w:gridCol w:w="1224"/>
      </w:tblGrid>
      <w:tr>
        <w:tblPrEx>
          <w:shd w:val="clear" w:color="auto" w:fill="auto"/>
          <w:tblCellMar>
            <w:top w:w="0" w:type="dxa"/>
            <w:left w:w="108" w:type="dxa"/>
            <w:bottom w:w="0" w:type="dxa"/>
            <w:right w:w="108" w:type="dxa"/>
          </w:tblCellMar>
        </w:tblPrEx>
        <w:trPr>
          <w:trHeight w:val="285" w:hRule="atLeast"/>
        </w:trPr>
        <w:tc>
          <w:tcPr>
            <w:tcW w:w="9187" w:type="dxa"/>
            <w:gridSpan w:val="9"/>
            <w:tcBorders>
              <w:top w:val="nil"/>
              <w:left w:val="nil"/>
              <w:bottom w:val="nil"/>
              <w:right w:val="nil"/>
            </w:tcBorders>
            <w:shd w:val="clear" w:color="auto" w:fill="auto"/>
            <w:noWrap/>
            <w:vAlign w:val="bottom"/>
          </w:tcPr>
          <w:p>
            <w:pPr>
              <w:keepNext w:val="0"/>
              <w:keepLines w:val="0"/>
              <w:widowControl/>
              <w:suppressLineNumbers w:val="0"/>
              <w:ind w:firstLine="1680" w:firstLineChars="700"/>
              <w:jc w:val="both"/>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一般公共预算财政拨款基本支出决算表</w:t>
            </w:r>
          </w:p>
        </w:tc>
      </w:tr>
      <w:tr>
        <w:tblPrEx>
          <w:shd w:val="clear" w:color="auto" w:fill="auto"/>
          <w:tblCellMar>
            <w:top w:w="0" w:type="dxa"/>
            <w:left w:w="108" w:type="dxa"/>
            <w:bottom w:w="0" w:type="dxa"/>
            <w:right w:w="108" w:type="dxa"/>
          </w:tblCellMar>
        </w:tblPrEx>
        <w:trPr>
          <w:trHeight w:val="255" w:hRule="atLeast"/>
        </w:trPr>
        <w:tc>
          <w:tcPr>
            <w:tcW w:w="9187" w:type="dxa"/>
            <w:gridSpan w:val="9"/>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shd w:val="clear" w:color="auto" w:fill="auto"/>
          <w:tblCellMar>
            <w:top w:w="0" w:type="dxa"/>
            <w:left w:w="108" w:type="dxa"/>
            <w:bottom w:w="0" w:type="dxa"/>
            <w:right w:w="108" w:type="dxa"/>
          </w:tblCellMar>
        </w:tblPrEx>
        <w:trPr>
          <w:trHeight w:val="255" w:hRule="atLeast"/>
        </w:trPr>
        <w:tc>
          <w:tcPr>
            <w:tcW w:w="9187" w:type="dxa"/>
            <w:gridSpan w:val="9"/>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kern w:val="0"/>
                <w:sz w:val="20"/>
                <w:szCs w:val="20"/>
                <w:u w:val="none"/>
                <w:lang w:val="en-US" w:eastAsia="zh-CN" w:bidi="ar"/>
              </w:rPr>
              <w:t>编制单位：兴国县皮肤病防治所          2020年度              公开06表</w:t>
            </w:r>
          </w:p>
        </w:tc>
      </w:tr>
      <w:tr>
        <w:tblPrEx>
          <w:shd w:val="clear" w:color="auto" w:fill="auto"/>
          <w:tblCellMar>
            <w:top w:w="0" w:type="dxa"/>
            <w:left w:w="108" w:type="dxa"/>
            <w:bottom w:w="0" w:type="dxa"/>
            <w:right w:w="108" w:type="dxa"/>
          </w:tblCellMar>
        </w:tblPrEx>
        <w:trPr>
          <w:trHeight w:val="448" w:hRule="atLeast"/>
        </w:trPr>
        <w:tc>
          <w:tcPr>
            <w:tcW w:w="3253"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c>
          <w:tcPr>
            <w:tcW w:w="5934" w:type="dxa"/>
            <w:gridSpan w:val="6"/>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经济分类科目编码</w:t>
            </w:r>
          </w:p>
        </w:tc>
        <w:tc>
          <w:tcPr>
            <w:tcW w:w="127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科目名称</w:t>
            </w:r>
          </w:p>
        </w:tc>
        <w:tc>
          <w:tcPr>
            <w:tcW w:w="12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w:t>
            </w:r>
          </w:p>
        </w:tc>
        <w:tc>
          <w:tcPr>
            <w:tcW w:w="73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经济分类科目编码</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科目名称</w:t>
            </w:r>
          </w:p>
        </w:tc>
        <w:tc>
          <w:tcPr>
            <w:tcW w:w="9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w:t>
            </w:r>
          </w:p>
        </w:tc>
        <w:tc>
          <w:tcPr>
            <w:tcW w:w="8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经济分类科目编码</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科目名称</w:t>
            </w:r>
          </w:p>
        </w:tc>
        <w:tc>
          <w:tcPr>
            <w:tcW w:w="12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301</w:t>
            </w:r>
          </w:p>
        </w:tc>
        <w:tc>
          <w:tcPr>
            <w:tcW w:w="127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工资福利支出</w:t>
            </w: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0"/>
                <w:sz w:val="24"/>
                <w:szCs w:val="24"/>
                <w:u w:val="none"/>
                <w:lang w:val="en-US" w:eastAsia="zh-CN" w:bidi="ar"/>
              </w:rPr>
              <w:t xml:space="preserve">69.69 </w:t>
            </w:r>
          </w:p>
        </w:tc>
        <w:tc>
          <w:tcPr>
            <w:tcW w:w="7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302</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商品和服务支出</w:t>
            </w:r>
          </w:p>
        </w:tc>
        <w:tc>
          <w:tcPr>
            <w:tcW w:w="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auto"/>
                <w:kern w:val="0"/>
                <w:sz w:val="24"/>
                <w:szCs w:val="24"/>
                <w:u w:val="none"/>
                <w:lang w:val="en-US" w:eastAsia="zh-CN" w:bidi="ar"/>
              </w:rPr>
              <w:t xml:space="preserve">5.00 </w:t>
            </w: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307</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债务利息及费用支出</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30101</w:t>
            </w:r>
          </w:p>
        </w:tc>
        <w:tc>
          <w:tcPr>
            <w:tcW w:w="127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基本工资</w:t>
            </w: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0"/>
                <w:sz w:val="24"/>
                <w:szCs w:val="24"/>
                <w:u w:val="none"/>
                <w:lang w:val="en-US" w:eastAsia="zh-CN" w:bidi="ar"/>
              </w:rPr>
              <w:t xml:space="preserve">36.10 </w:t>
            </w:r>
          </w:p>
        </w:tc>
        <w:tc>
          <w:tcPr>
            <w:tcW w:w="7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30201</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办公费</w:t>
            </w:r>
          </w:p>
        </w:tc>
        <w:tc>
          <w:tcPr>
            <w:tcW w:w="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30701</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国内债务付息</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30102</w:t>
            </w:r>
          </w:p>
        </w:tc>
        <w:tc>
          <w:tcPr>
            <w:tcW w:w="127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津贴补贴</w:t>
            </w: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0"/>
                <w:sz w:val="24"/>
                <w:szCs w:val="24"/>
                <w:u w:val="none"/>
                <w:lang w:val="en-US" w:eastAsia="zh-CN" w:bidi="ar"/>
              </w:rPr>
              <w:t xml:space="preserve">14.71 </w:t>
            </w:r>
          </w:p>
        </w:tc>
        <w:tc>
          <w:tcPr>
            <w:tcW w:w="7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30202</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印刷费</w:t>
            </w:r>
          </w:p>
        </w:tc>
        <w:tc>
          <w:tcPr>
            <w:tcW w:w="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30702</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国外债务付息</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30103</w:t>
            </w:r>
          </w:p>
        </w:tc>
        <w:tc>
          <w:tcPr>
            <w:tcW w:w="127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奖金</w:t>
            </w: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auto"/>
                <w:kern w:val="0"/>
                <w:sz w:val="24"/>
                <w:szCs w:val="24"/>
                <w:u w:val="none"/>
                <w:lang w:val="en-US" w:eastAsia="zh-CN" w:bidi="ar"/>
              </w:rPr>
              <w:t xml:space="preserve">0.00 </w:t>
            </w:r>
          </w:p>
        </w:tc>
        <w:tc>
          <w:tcPr>
            <w:tcW w:w="7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30203</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咨询费</w:t>
            </w:r>
          </w:p>
        </w:tc>
        <w:tc>
          <w:tcPr>
            <w:tcW w:w="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30703</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国内债务发行费用</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30106</w:t>
            </w:r>
          </w:p>
        </w:tc>
        <w:tc>
          <w:tcPr>
            <w:tcW w:w="127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伙食补助费</w:t>
            </w: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7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30204</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手续费</w:t>
            </w:r>
          </w:p>
        </w:tc>
        <w:tc>
          <w:tcPr>
            <w:tcW w:w="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30704</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国外债务发行费用</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30107</w:t>
            </w:r>
          </w:p>
        </w:tc>
        <w:tc>
          <w:tcPr>
            <w:tcW w:w="127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绩效工资</w:t>
            </w: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7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30205</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水费</w:t>
            </w:r>
          </w:p>
        </w:tc>
        <w:tc>
          <w:tcPr>
            <w:tcW w:w="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310</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资本性支出</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30108</w:t>
            </w:r>
          </w:p>
        </w:tc>
        <w:tc>
          <w:tcPr>
            <w:tcW w:w="127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机关事业单位基本养老保险缴费</w:t>
            </w: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9.51 </w:t>
            </w:r>
          </w:p>
        </w:tc>
        <w:tc>
          <w:tcPr>
            <w:tcW w:w="7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30206</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电费</w:t>
            </w:r>
          </w:p>
        </w:tc>
        <w:tc>
          <w:tcPr>
            <w:tcW w:w="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31001</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房屋建筑物购建</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30109</w:t>
            </w:r>
          </w:p>
        </w:tc>
        <w:tc>
          <w:tcPr>
            <w:tcW w:w="127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职业年金缴费</w:t>
            </w: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7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30207</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邮电费</w:t>
            </w:r>
          </w:p>
        </w:tc>
        <w:tc>
          <w:tcPr>
            <w:tcW w:w="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31002</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办公设备购置</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30110</w:t>
            </w:r>
          </w:p>
        </w:tc>
        <w:tc>
          <w:tcPr>
            <w:tcW w:w="127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职工基本医疗保险缴费</w:t>
            </w: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3.83 </w:t>
            </w:r>
          </w:p>
        </w:tc>
        <w:tc>
          <w:tcPr>
            <w:tcW w:w="7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30208</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取暖费</w:t>
            </w:r>
          </w:p>
        </w:tc>
        <w:tc>
          <w:tcPr>
            <w:tcW w:w="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31003</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专用设备购置</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30111</w:t>
            </w:r>
          </w:p>
        </w:tc>
        <w:tc>
          <w:tcPr>
            <w:tcW w:w="127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公务员医疗补助缴款</w:t>
            </w: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7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30209</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物业管理费</w:t>
            </w:r>
          </w:p>
        </w:tc>
        <w:tc>
          <w:tcPr>
            <w:tcW w:w="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31005</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基础设施建设</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30112</w:t>
            </w:r>
          </w:p>
        </w:tc>
        <w:tc>
          <w:tcPr>
            <w:tcW w:w="127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其他社会保障缴费</w:t>
            </w: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7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30211</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差旅费</w:t>
            </w:r>
          </w:p>
        </w:tc>
        <w:tc>
          <w:tcPr>
            <w:tcW w:w="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31006</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大型修缮</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30113</w:t>
            </w:r>
          </w:p>
        </w:tc>
        <w:tc>
          <w:tcPr>
            <w:tcW w:w="127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住房公积金</w:t>
            </w: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5.54 </w:t>
            </w:r>
          </w:p>
        </w:tc>
        <w:tc>
          <w:tcPr>
            <w:tcW w:w="7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30212</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因公出国（境）费用</w:t>
            </w:r>
          </w:p>
        </w:tc>
        <w:tc>
          <w:tcPr>
            <w:tcW w:w="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31007</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信息网络及软件购置更新</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30114</w:t>
            </w:r>
          </w:p>
        </w:tc>
        <w:tc>
          <w:tcPr>
            <w:tcW w:w="127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医疗费</w:t>
            </w: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7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30213</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维修（护）费</w:t>
            </w:r>
          </w:p>
        </w:tc>
        <w:tc>
          <w:tcPr>
            <w:tcW w:w="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31008</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物资储备</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30199</w:t>
            </w:r>
          </w:p>
        </w:tc>
        <w:tc>
          <w:tcPr>
            <w:tcW w:w="127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其他工资福利支出</w:t>
            </w: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7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30214</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租赁费</w:t>
            </w:r>
          </w:p>
        </w:tc>
        <w:tc>
          <w:tcPr>
            <w:tcW w:w="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31009</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土地补偿</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303</w:t>
            </w:r>
          </w:p>
        </w:tc>
        <w:tc>
          <w:tcPr>
            <w:tcW w:w="127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对个人和家庭的补助</w:t>
            </w: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7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30215</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会议费</w:t>
            </w:r>
          </w:p>
        </w:tc>
        <w:tc>
          <w:tcPr>
            <w:tcW w:w="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31010</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安置补助</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30301</w:t>
            </w:r>
          </w:p>
        </w:tc>
        <w:tc>
          <w:tcPr>
            <w:tcW w:w="127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离休费</w:t>
            </w: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7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30216</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培训费</w:t>
            </w:r>
          </w:p>
        </w:tc>
        <w:tc>
          <w:tcPr>
            <w:tcW w:w="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310111</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地上附着物和青苗补偿</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30302</w:t>
            </w:r>
          </w:p>
        </w:tc>
        <w:tc>
          <w:tcPr>
            <w:tcW w:w="127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退休费</w:t>
            </w: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7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30217</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公务接待费</w:t>
            </w:r>
          </w:p>
        </w:tc>
        <w:tc>
          <w:tcPr>
            <w:tcW w:w="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31012</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拆迁补偿</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30303</w:t>
            </w:r>
          </w:p>
        </w:tc>
        <w:tc>
          <w:tcPr>
            <w:tcW w:w="127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退职（役）费</w:t>
            </w: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7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30218</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专用材料费</w:t>
            </w:r>
          </w:p>
        </w:tc>
        <w:tc>
          <w:tcPr>
            <w:tcW w:w="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31013</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公务用车购置</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30304</w:t>
            </w:r>
          </w:p>
        </w:tc>
        <w:tc>
          <w:tcPr>
            <w:tcW w:w="127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抚恤金</w:t>
            </w: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7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30224</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被装购置费</w:t>
            </w:r>
          </w:p>
        </w:tc>
        <w:tc>
          <w:tcPr>
            <w:tcW w:w="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31019</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其他交通工具购置</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30305</w:t>
            </w:r>
          </w:p>
        </w:tc>
        <w:tc>
          <w:tcPr>
            <w:tcW w:w="127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生活补贴</w:t>
            </w: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7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30225</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专用燃料费</w:t>
            </w:r>
          </w:p>
        </w:tc>
        <w:tc>
          <w:tcPr>
            <w:tcW w:w="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31021</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文物和陈列品购置</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30306</w:t>
            </w:r>
          </w:p>
        </w:tc>
        <w:tc>
          <w:tcPr>
            <w:tcW w:w="127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救济费</w:t>
            </w: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7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30226</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劳务费</w:t>
            </w:r>
          </w:p>
        </w:tc>
        <w:tc>
          <w:tcPr>
            <w:tcW w:w="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31022</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无形资产购置</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30307</w:t>
            </w:r>
          </w:p>
        </w:tc>
        <w:tc>
          <w:tcPr>
            <w:tcW w:w="127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医疗费补助</w:t>
            </w: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7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30227</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委托业务费</w:t>
            </w:r>
          </w:p>
        </w:tc>
        <w:tc>
          <w:tcPr>
            <w:tcW w:w="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31099</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其他资本性支出</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30308</w:t>
            </w:r>
          </w:p>
        </w:tc>
        <w:tc>
          <w:tcPr>
            <w:tcW w:w="127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助学金</w:t>
            </w: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7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30228</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工会经费</w:t>
            </w:r>
          </w:p>
        </w:tc>
        <w:tc>
          <w:tcPr>
            <w:tcW w:w="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312</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对企业补助</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30309</w:t>
            </w:r>
          </w:p>
        </w:tc>
        <w:tc>
          <w:tcPr>
            <w:tcW w:w="127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奖励金</w:t>
            </w: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7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30229</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福利费</w:t>
            </w:r>
          </w:p>
        </w:tc>
        <w:tc>
          <w:tcPr>
            <w:tcW w:w="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31201</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资本金注入</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30310</w:t>
            </w:r>
          </w:p>
        </w:tc>
        <w:tc>
          <w:tcPr>
            <w:tcW w:w="127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个人农业生产补贴</w:t>
            </w: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7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30231</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公务用车运行维护费</w:t>
            </w:r>
          </w:p>
        </w:tc>
        <w:tc>
          <w:tcPr>
            <w:tcW w:w="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31203</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政府投资基金股权投资</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30399</w:t>
            </w:r>
          </w:p>
        </w:tc>
        <w:tc>
          <w:tcPr>
            <w:tcW w:w="127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其他对个人和家庭的补助支出</w:t>
            </w: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7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30239</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其他交通费用</w:t>
            </w:r>
          </w:p>
        </w:tc>
        <w:tc>
          <w:tcPr>
            <w:tcW w:w="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31204</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费用补贴</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1277" w:type="dxa"/>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0"/>
                <w:szCs w:val="20"/>
                <w:u w:val="none"/>
              </w:rPr>
            </w:pP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p>
        </w:tc>
        <w:tc>
          <w:tcPr>
            <w:tcW w:w="7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30240</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税金及附加费用</w:t>
            </w:r>
          </w:p>
        </w:tc>
        <w:tc>
          <w:tcPr>
            <w:tcW w:w="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31205</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利息补贴</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1277" w:type="dxa"/>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0"/>
                <w:szCs w:val="20"/>
                <w:u w:val="none"/>
              </w:rPr>
            </w:pP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p>
        </w:tc>
        <w:tc>
          <w:tcPr>
            <w:tcW w:w="73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30299</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其他商品和服务支出</w:t>
            </w:r>
          </w:p>
        </w:tc>
        <w:tc>
          <w:tcPr>
            <w:tcW w:w="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0.00 </w:t>
            </w: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31299</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其他对企业补助</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1277" w:type="dxa"/>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0"/>
                <w:szCs w:val="20"/>
                <w:u w:val="none"/>
              </w:rPr>
            </w:pP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p>
        </w:tc>
        <w:tc>
          <w:tcPr>
            <w:tcW w:w="735"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1065" w:type="dxa"/>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0"/>
                <w:szCs w:val="20"/>
                <w:u w:val="none"/>
              </w:rPr>
            </w:pPr>
          </w:p>
        </w:tc>
        <w:tc>
          <w:tcPr>
            <w:tcW w:w="96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399</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其他支出</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1277" w:type="dxa"/>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0"/>
                <w:szCs w:val="20"/>
                <w:u w:val="none"/>
              </w:rPr>
            </w:pP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p>
        </w:tc>
        <w:tc>
          <w:tcPr>
            <w:tcW w:w="735"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1065" w:type="dxa"/>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0"/>
                <w:szCs w:val="20"/>
                <w:u w:val="none"/>
              </w:rPr>
            </w:pPr>
          </w:p>
        </w:tc>
        <w:tc>
          <w:tcPr>
            <w:tcW w:w="96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39906</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赠与</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1277" w:type="dxa"/>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0"/>
                <w:szCs w:val="20"/>
                <w:u w:val="none"/>
              </w:rPr>
            </w:pP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p>
        </w:tc>
        <w:tc>
          <w:tcPr>
            <w:tcW w:w="735"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1065" w:type="dxa"/>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0"/>
                <w:szCs w:val="20"/>
                <w:u w:val="none"/>
              </w:rPr>
            </w:pPr>
          </w:p>
        </w:tc>
        <w:tc>
          <w:tcPr>
            <w:tcW w:w="96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39907</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国家赔偿费用支出</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1277" w:type="dxa"/>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0"/>
                <w:szCs w:val="20"/>
                <w:u w:val="none"/>
              </w:rPr>
            </w:pP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p>
        </w:tc>
        <w:tc>
          <w:tcPr>
            <w:tcW w:w="735"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1065" w:type="dxa"/>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0"/>
                <w:szCs w:val="20"/>
                <w:u w:val="none"/>
              </w:rPr>
            </w:pPr>
          </w:p>
        </w:tc>
        <w:tc>
          <w:tcPr>
            <w:tcW w:w="96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39908</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对民间非营利组织和群众性自治组织补贴</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716"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1277" w:type="dxa"/>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0"/>
                <w:szCs w:val="20"/>
                <w:u w:val="none"/>
              </w:rPr>
            </w:pP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p>
        </w:tc>
        <w:tc>
          <w:tcPr>
            <w:tcW w:w="735"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1065" w:type="dxa"/>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0"/>
                <w:szCs w:val="20"/>
                <w:u w:val="none"/>
              </w:rPr>
            </w:pPr>
          </w:p>
        </w:tc>
        <w:tc>
          <w:tcPr>
            <w:tcW w:w="96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8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39999</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其他支出</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1993" w:type="dxa"/>
            <w:gridSpan w:val="2"/>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人员经费合计</w:t>
            </w:r>
          </w:p>
        </w:tc>
        <w:tc>
          <w:tcPr>
            <w:tcW w:w="12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auto"/>
                <w:kern w:val="0"/>
                <w:sz w:val="24"/>
                <w:szCs w:val="24"/>
                <w:u w:val="none"/>
                <w:lang w:val="en-US" w:eastAsia="zh-CN" w:bidi="ar"/>
              </w:rPr>
              <w:t xml:space="preserve">69.69 </w:t>
            </w:r>
          </w:p>
        </w:tc>
        <w:tc>
          <w:tcPr>
            <w:tcW w:w="4710" w:type="dxa"/>
            <w:gridSpan w:val="5"/>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公用支出合计</w:t>
            </w:r>
          </w:p>
        </w:tc>
        <w:tc>
          <w:tcPr>
            <w:tcW w:w="12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right"/>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5.00</w:t>
            </w:r>
          </w:p>
        </w:tc>
      </w:tr>
    </w:tbl>
    <w:p>
      <w:pPr>
        <w:pStyle w:val="2"/>
        <w:spacing w:before="216"/>
        <w:ind w:left="0" w:right="138"/>
        <w:jc w:val="both"/>
        <w:rPr>
          <w:rFonts w:hint="eastAsia"/>
          <w:lang w:val="en-US" w:eastAsia="zh-CN"/>
        </w:rPr>
      </w:pPr>
      <w:r>
        <w:rPr>
          <w:rFonts w:hint="eastAsia"/>
          <w:lang w:val="en-US" w:eastAsia="zh-CN"/>
        </w:rPr>
        <w:t xml:space="preserve">              </w:t>
      </w:r>
    </w:p>
    <w:p>
      <w:pPr>
        <w:pStyle w:val="2"/>
        <w:spacing w:before="216"/>
        <w:ind w:left="0" w:right="138"/>
        <w:jc w:val="both"/>
        <w:rPr>
          <w:rFonts w:hint="eastAsia"/>
          <w:lang w:val="en-US" w:eastAsia="zh-CN"/>
        </w:rPr>
      </w:pPr>
    </w:p>
    <w:p>
      <w:pPr>
        <w:pStyle w:val="2"/>
        <w:spacing w:before="216"/>
        <w:ind w:left="0" w:right="138"/>
        <w:jc w:val="both"/>
        <w:rPr>
          <w:rFonts w:hint="eastAsia"/>
          <w:lang w:val="en-US" w:eastAsia="zh-CN"/>
        </w:rPr>
      </w:pPr>
    </w:p>
    <w:p>
      <w:pPr>
        <w:pStyle w:val="2"/>
        <w:spacing w:before="216"/>
        <w:ind w:left="0" w:right="138"/>
        <w:jc w:val="both"/>
        <w:rPr>
          <w:rFonts w:hint="eastAsia"/>
          <w:lang w:val="en-US" w:eastAsia="zh-CN"/>
        </w:rPr>
      </w:pPr>
    </w:p>
    <w:p>
      <w:pPr>
        <w:pStyle w:val="2"/>
        <w:spacing w:before="216"/>
        <w:ind w:left="0" w:right="138"/>
        <w:jc w:val="both"/>
        <w:rPr>
          <w:rFonts w:hint="eastAsia"/>
          <w:lang w:val="en-US" w:eastAsia="zh-CN"/>
        </w:rPr>
      </w:pPr>
    </w:p>
    <w:tbl>
      <w:tblPr>
        <w:tblStyle w:val="6"/>
        <w:tblW w:w="8173" w:type="dxa"/>
        <w:tblInd w:w="93" w:type="dxa"/>
        <w:shd w:val="clear" w:color="auto" w:fill="auto"/>
        <w:tblLayout w:type="fixed"/>
        <w:tblCellMar>
          <w:top w:w="0" w:type="dxa"/>
          <w:left w:w="108" w:type="dxa"/>
          <w:bottom w:w="0" w:type="dxa"/>
          <w:right w:w="108" w:type="dxa"/>
        </w:tblCellMar>
      </w:tblPr>
      <w:tblGrid>
        <w:gridCol w:w="4152"/>
        <w:gridCol w:w="1006"/>
        <w:gridCol w:w="1395"/>
        <w:gridCol w:w="1620"/>
      </w:tblGrid>
      <w:tr>
        <w:tblPrEx>
          <w:shd w:val="clear" w:color="auto" w:fill="auto"/>
          <w:tblCellMar>
            <w:top w:w="0" w:type="dxa"/>
            <w:left w:w="108" w:type="dxa"/>
            <w:bottom w:w="0" w:type="dxa"/>
            <w:right w:w="108" w:type="dxa"/>
          </w:tblCellMar>
        </w:tblPrEx>
        <w:trPr>
          <w:trHeight w:val="375" w:hRule="atLeast"/>
        </w:trPr>
        <w:tc>
          <w:tcPr>
            <w:tcW w:w="8173" w:type="dxa"/>
            <w:gridSpan w:val="4"/>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一般公共预算财政拨款“三公”经费支出决算表</w:t>
            </w:r>
          </w:p>
        </w:tc>
      </w:tr>
      <w:tr>
        <w:tblPrEx>
          <w:shd w:val="clear" w:color="auto" w:fill="auto"/>
          <w:tblCellMar>
            <w:top w:w="0" w:type="dxa"/>
            <w:left w:w="108" w:type="dxa"/>
            <w:bottom w:w="0" w:type="dxa"/>
            <w:right w:w="108" w:type="dxa"/>
          </w:tblCellMar>
        </w:tblPrEx>
        <w:trPr>
          <w:trHeight w:val="255" w:hRule="atLeast"/>
        </w:trPr>
        <w:tc>
          <w:tcPr>
            <w:tcW w:w="8173" w:type="dxa"/>
            <w:gridSpan w:val="4"/>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shd w:val="clear" w:color="auto" w:fill="auto"/>
          <w:tblCellMar>
            <w:top w:w="0" w:type="dxa"/>
            <w:left w:w="108" w:type="dxa"/>
            <w:bottom w:w="0" w:type="dxa"/>
            <w:right w:w="108" w:type="dxa"/>
          </w:tblCellMar>
        </w:tblPrEx>
        <w:trPr>
          <w:trHeight w:val="255" w:hRule="atLeast"/>
        </w:trPr>
        <w:tc>
          <w:tcPr>
            <w:tcW w:w="8173" w:type="dxa"/>
            <w:gridSpan w:val="4"/>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kern w:val="0"/>
                <w:sz w:val="20"/>
                <w:szCs w:val="20"/>
                <w:u w:val="none"/>
                <w:lang w:val="en-US" w:eastAsia="zh-CN" w:bidi="ar"/>
              </w:rPr>
              <w:t>编制单位：兴国县皮肤病防治所        2020年度             公开07表</w:t>
            </w:r>
          </w:p>
        </w:tc>
      </w:tr>
      <w:tr>
        <w:tblPrEx>
          <w:shd w:val="clear" w:color="auto" w:fill="auto"/>
          <w:tblCellMar>
            <w:top w:w="0" w:type="dxa"/>
            <w:left w:w="108" w:type="dxa"/>
            <w:bottom w:w="0" w:type="dxa"/>
            <w:right w:w="108" w:type="dxa"/>
          </w:tblCellMar>
        </w:tblPrEx>
        <w:trPr>
          <w:trHeight w:val="308" w:hRule="atLeast"/>
        </w:trPr>
        <w:tc>
          <w:tcPr>
            <w:tcW w:w="415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006"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395"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年初预算数</w:t>
            </w:r>
          </w:p>
        </w:tc>
        <w:tc>
          <w:tcPr>
            <w:tcW w:w="1620"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shd w:val="clear" w:color="auto" w:fill="auto"/>
          <w:tblCellMar>
            <w:top w:w="0" w:type="dxa"/>
            <w:left w:w="108" w:type="dxa"/>
            <w:bottom w:w="0" w:type="dxa"/>
            <w:right w:w="108" w:type="dxa"/>
          </w:tblCellMar>
        </w:tblPrEx>
        <w:trPr>
          <w:trHeight w:val="308" w:hRule="atLeast"/>
        </w:trPr>
        <w:tc>
          <w:tcPr>
            <w:tcW w:w="415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006" w:type="dxa"/>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39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2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shd w:val="clear" w:color="auto" w:fill="auto"/>
          <w:tblCellMar>
            <w:top w:w="0" w:type="dxa"/>
            <w:left w:w="108" w:type="dxa"/>
            <w:bottom w:w="0" w:type="dxa"/>
            <w:right w:w="108" w:type="dxa"/>
          </w:tblCellMar>
        </w:tblPrEx>
        <w:trPr>
          <w:trHeight w:val="308" w:hRule="atLeast"/>
        </w:trPr>
        <w:tc>
          <w:tcPr>
            <w:tcW w:w="415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一、“三公”经费支出</w:t>
            </w:r>
          </w:p>
        </w:tc>
        <w:tc>
          <w:tcPr>
            <w:tcW w:w="100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9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415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1.因公出国（境）费</w:t>
            </w:r>
          </w:p>
        </w:tc>
        <w:tc>
          <w:tcPr>
            <w:tcW w:w="100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9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415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2.公务用车购置及运行维护费</w:t>
            </w:r>
          </w:p>
        </w:tc>
        <w:tc>
          <w:tcPr>
            <w:tcW w:w="100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39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415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（1）公务用车购置费</w:t>
            </w:r>
          </w:p>
        </w:tc>
        <w:tc>
          <w:tcPr>
            <w:tcW w:w="100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9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415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（2）公务用车运行维护费</w:t>
            </w:r>
          </w:p>
        </w:tc>
        <w:tc>
          <w:tcPr>
            <w:tcW w:w="100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9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415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3.公务接待费</w:t>
            </w:r>
          </w:p>
        </w:tc>
        <w:tc>
          <w:tcPr>
            <w:tcW w:w="100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39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415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（1）国内接待费</w:t>
            </w:r>
          </w:p>
        </w:tc>
        <w:tc>
          <w:tcPr>
            <w:tcW w:w="100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39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415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其中：外事接待费</w:t>
            </w:r>
          </w:p>
        </w:tc>
        <w:tc>
          <w:tcPr>
            <w:tcW w:w="100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39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415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（2）国（境）外接待费</w:t>
            </w:r>
          </w:p>
        </w:tc>
        <w:tc>
          <w:tcPr>
            <w:tcW w:w="100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39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415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二、相关统计数</w:t>
            </w:r>
          </w:p>
        </w:tc>
        <w:tc>
          <w:tcPr>
            <w:tcW w:w="100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3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6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r>
      <w:tr>
        <w:tblPrEx>
          <w:shd w:val="clear" w:color="auto" w:fill="auto"/>
          <w:tblCellMar>
            <w:top w:w="0" w:type="dxa"/>
            <w:left w:w="108" w:type="dxa"/>
            <w:bottom w:w="0" w:type="dxa"/>
            <w:right w:w="108" w:type="dxa"/>
          </w:tblCellMar>
        </w:tblPrEx>
        <w:trPr>
          <w:trHeight w:val="308" w:hRule="atLeast"/>
        </w:trPr>
        <w:tc>
          <w:tcPr>
            <w:tcW w:w="415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1.因公出国（境）团组数（个）</w:t>
            </w:r>
          </w:p>
        </w:tc>
        <w:tc>
          <w:tcPr>
            <w:tcW w:w="100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3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415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2.因公出国（境）人次数（人）</w:t>
            </w:r>
          </w:p>
        </w:tc>
        <w:tc>
          <w:tcPr>
            <w:tcW w:w="100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3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415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3.公务用车购置数（辆）</w:t>
            </w:r>
          </w:p>
        </w:tc>
        <w:tc>
          <w:tcPr>
            <w:tcW w:w="100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3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415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4.公务用车保有量（辆）</w:t>
            </w:r>
          </w:p>
        </w:tc>
        <w:tc>
          <w:tcPr>
            <w:tcW w:w="100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3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415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5.国内公务接待批次（个）</w:t>
            </w:r>
          </w:p>
        </w:tc>
        <w:tc>
          <w:tcPr>
            <w:tcW w:w="100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3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415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其中：外事接待批次（个）</w:t>
            </w:r>
          </w:p>
        </w:tc>
        <w:tc>
          <w:tcPr>
            <w:tcW w:w="100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3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415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6.国内公务接待人次（人）</w:t>
            </w:r>
          </w:p>
        </w:tc>
        <w:tc>
          <w:tcPr>
            <w:tcW w:w="100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3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415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其中：外事接待人次（人）</w:t>
            </w:r>
          </w:p>
        </w:tc>
        <w:tc>
          <w:tcPr>
            <w:tcW w:w="100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3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415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7.国（境）外公务接待批次（个）</w:t>
            </w:r>
          </w:p>
        </w:tc>
        <w:tc>
          <w:tcPr>
            <w:tcW w:w="100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3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415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8.国（境）外公务接待人次（人）</w:t>
            </w:r>
          </w:p>
        </w:tc>
        <w:tc>
          <w:tcPr>
            <w:tcW w:w="100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3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8173" w:type="dxa"/>
            <w:gridSpan w:val="4"/>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注：预算数为“三公”经费年初预算数，决算数是包括当年一般公共预算财政拨款和以前年度结转资金安排的实际支出。</w:t>
            </w:r>
          </w:p>
        </w:tc>
      </w:tr>
      <w:tr>
        <w:tblPrEx>
          <w:tblCellMar>
            <w:top w:w="0" w:type="dxa"/>
            <w:left w:w="108" w:type="dxa"/>
            <w:bottom w:w="0" w:type="dxa"/>
            <w:right w:w="108" w:type="dxa"/>
          </w:tblCellMar>
        </w:tblPrEx>
        <w:trPr>
          <w:trHeight w:val="308" w:hRule="atLeast"/>
        </w:trPr>
        <w:tc>
          <w:tcPr>
            <w:tcW w:w="8173" w:type="dxa"/>
            <w:gridSpan w:val="4"/>
            <w:vMerge w:val="continue"/>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bl>
    <w:p>
      <w:pPr>
        <w:pStyle w:val="2"/>
        <w:spacing w:before="216"/>
        <w:ind w:left="0" w:right="138"/>
        <w:jc w:val="both"/>
        <w:rPr>
          <w:rFonts w:hint="default"/>
          <w:lang w:val="en-US" w:eastAsia="zh-CN"/>
        </w:rPr>
      </w:pPr>
    </w:p>
    <w:p>
      <w:pPr>
        <w:pStyle w:val="2"/>
        <w:spacing w:before="216"/>
        <w:ind w:left="0" w:right="138"/>
        <w:jc w:val="both"/>
        <w:rPr>
          <w:rFonts w:hint="default"/>
          <w:lang w:val="en-US" w:eastAsia="zh-CN"/>
        </w:rPr>
      </w:pPr>
    </w:p>
    <w:p>
      <w:pPr>
        <w:pStyle w:val="2"/>
        <w:spacing w:before="216"/>
        <w:ind w:left="0" w:right="138"/>
        <w:jc w:val="both"/>
        <w:rPr>
          <w:rFonts w:hint="default"/>
          <w:lang w:val="en-US" w:eastAsia="zh-CN"/>
        </w:rPr>
      </w:pPr>
    </w:p>
    <w:p>
      <w:pPr>
        <w:pStyle w:val="2"/>
        <w:spacing w:before="216"/>
        <w:ind w:left="0" w:right="138"/>
        <w:jc w:val="both"/>
        <w:rPr>
          <w:rFonts w:hint="default"/>
          <w:lang w:val="en-US" w:eastAsia="zh-CN"/>
        </w:rPr>
      </w:pPr>
    </w:p>
    <w:p>
      <w:pPr>
        <w:pStyle w:val="2"/>
        <w:spacing w:before="216"/>
        <w:ind w:left="0" w:right="138"/>
        <w:jc w:val="both"/>
        <w:rPr>
          <w:rFonts w:hint="default"/>
          <w:lang w:val="en-US" w:eastAsia="zh-CN"/>
        </w:rPr>
      </w:pPr>
    </w:p>
    <w:p>
      <w:pPr>
        <w:pStyle w:val="2"/>
        <w:spacing w:before="216"/>
        <w:ind w:left="0" w:right="138"/>
        <w:jc w:val="both"/>
        <w:rPr>
          <w:rFonts w:hint="default"/>
          <w:lang w:val="en-US" w:eastAsia="zh-CN"/>
        </w:rPr>
      </w:pPr>
    </w:p>
    <w:p>
      <w:pPr>
        <w:pStyle w:val="2"/>
        <w:spacing w:before="216"/>
        <w:ind w:left="0" w:right="138"/>
        <w:jc w:val="both"/>
        <w:rPr>
          <w:rFonts w:hint="default"/>
          <w:lang w:val="en-US" w:eastAsia="zh-CN"/>
        </w:rPr>
      </w:pPr>
    </w:p>
    <w:p>
      <w:pPr>
        <w:pStyle w:val="2"/>
        <w:spacing w:before="216"/>
        <w:ind w:left="0" w:right="138"/>
        <w:jc w:val="both"/>
        <w:rPr>
          <w:rFonts w:hint="default"/>
          <w:lang w:val="en-US" w:eastAsia="zh-CN"/>
        </w:rPr>
      </w:pPr>
    </w:p>
    <w:p>
      <w:pPr>
        <w:pStyle w:val="2"/>
        <w:spacing w:before="216"/>
        <w:ind w:left="0" w:right="138"/>
        <w:jc w:val="both"/>
        <w:rPr>
          <w:rFonts w:hint="default"/>
          <w:lang w:val="en-US" w:eastAsia="zh-CN"/>
        </w:rPr>
      </w:pPr>
    </w:p>
    <w:p>
      <w:pPr>
        <w:pStyle w:val="2"/>
        <w:spacing w:before="216"/>
        <w:ind w:left="0" w:right="138"/>
        <w:jc w:val="both"/>
        <w:rPr>
          <w:rFonts w:hint="default"/>
          <w:lang w:val="en-US" w:eastAsia="zh-CN"/>
        </w:rPr>
      </w:pPr>
    </w:p>
    <w:p>
      <w:pPr>
        <w:pStyle w:val="2"/>
        <w:spacing w:before="216"/>
        <w:ind w:left="0" w:right="138"/>
        <w:jc w:val="both"/>
        <w:rPr>
          <w:rFonts w:hint="default"/>
          <w:lang w:val="en-US" w:eastAsia="zh-CN"/>
        </w:rPr>
      </w:pPr>
    </w:p>
    <w:tbl>
      <w:tblPr>
        <w:tblStyle w:val="6"/>
        <w:tblpPr w:leftFromText="180" w:rightFromText="180" w:vertAnchor="text" w:horzAnchor="page" w:tblpX="1321" w:tblpY="-417"/>
        <w:tblOverlap w:val="never"/>
        <w:tblW w:w="9396" w:type="dxa"/>
        <w:tblInd w:w="0" w:type="dxa"/>
        <w:tblLayout w:type="fixed"/>
        <w:tblCellMar>
          <w:top w:w="0" w:type="dxa"/>
          <w:left w:w="0" w:type="dxa"/>
          <w:bottom w:w="0" w:type="dxa"/>
          <w:right w:w="0" w:type="dxa"/>
        </w:tblCellMar>
      </w:tblPr>
      <w:tblGrid>
        <w:gridCol w:w="517"/>
        <w:gridCol w:w="517"/>
        <w:gridCol w:w="517"/>
        <w:gridCol w:w="1879"/>
        <w:gridCol w:w="895"/>
        <w:gridCol w:w="991"/>
        <w:gridCol w:w="630"/>
        <w:gridCol w:w="960"/>
        <w:gridCol w:w="825"/>
        <w:gridCol w:w="1665"/>
      </w:tblGrid>
      <w:tr>
        <w:tblPrEx>
          <w:tblCellMar>
            <w:top w:w="0" w:type="dxa"/>
            <w:left w:w="0" w:type="dxa"/>
            <w:bottom w:w="0" w:type="dxa"/>
            <w:right w:w="0" w:type="dxa"/>
          </w:tblCellMar>
        </w:tblPrEx>
        <w:trPr>
          <w:trHeight w:val="540" w:hRule="atLeast"/>
        </w:trPr>
        <w:tc>
          <w:tcPr>
            <w:tcW w:w="9396" w:type="dxa"/>
            <w:gridSpan w:val="10"/>
            <w:tcBorders>
              <w:top w:val="nil"/>
              <w:left w:val="nil"/>
              <w:bottom w:val="nil"/>
              <w:right w:val="nil"/>
            </w:tcBorders>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44"/>
                <w:szCs w:val="44"/>
                <w:u w:val="none"/>
              </w:rPr>
            </w:pPr>
            <w:r>
              <w:rPr>
                <w:rFonts w:hint="eastAsia" w:ascii="宋体" w:hAnsi="宋体" w:eastAsia="宋体" w:cs="宋体"/>
                <w:i w:val="0"/>
                <w:color w:val="000000"/>
                <w:kern w:val="0"/>
                <w:sz w:val="44"/>
                <w:szCs w:val="44"/>
                <w:u w:val="none"/>
                <w:lang w:val="en-US" w:eastAsia="zh-CN" w:bidi="ar"/>
              </w:rPr>
              <w:t>政府性基金预算财政拨款收入支出决算表</w:t>
            </w:r>
          </w:p>
        </w:tc>
      </w:tr>
      <w:tr>
        <w:tblPrEx>
          <w:tblCellMar>
            <w:top w:w="0" w:type="dxa"/>
            <w:left w:w="0" w:type="dxa"/>
            <w:bottom w:w="0" w:type="dxa"/>
            <w:right w:w="0" w:type="dxa"/>
          </w:tblCellMar>
        </w:tblPrEx>
        <w:trPr>
          <w:trHeight w:val="255" w:hRule="atLeast"/>
        </w:trPr>
        <w:tc>
          <w:tcPr>
            <w:tcW w:w="517" w:type="dxa"/>
            <w:tcBorders>
              <w:top w:val="nil"/>
              <w:left w:val="nil"/>
              <w:bottom w:val="nil"/>
              <w:right w:val="nil"/>
            </w:tcBorders>
            <w:noWrap/>
            <w:tcMar>
              <w:top w:w="15" w:type="dxa"/>
              <w:left w:w="15" w:type="dxa"/>
              <w:right w:w="15" w:type="dxa"/>
            </w:tcMar>
            <w:vAlign w:val="bottom"/>
          </w:tcPr>
          <w:p>
            <w:pPr>
              <w:rPr>
                <w:rFonts w:hint="eastAsia" w:ascii="Arial" w:hAnsi="Arial" w:cs="Arial"/>
                <w:i w:val="0"/>
                <w:color w:val="000000"/>
                <w:sz w:val="20"/>
                <w:szCs w:val="20"/>
                <w:u w:val="none"/>
              </w:rPr>
            </w:pPr>
          </w:p>
        </w:tc>
        <w:tc>
          <w:tcPr>
            <w:tcW w:w="517" w:type="dxa"/>
            <w:tcBorders>
              <w:top w:val="nil"/>
              <w:left w:val="nil"/>
              <w:bottom w:val="nil"/>
              <w:right w:val="nil"/>
            </w:tcBorders>
            <w:noWrap/>
            <w:tcMar>
              <w:top w:w="15" w:type="dxa"/>
              <w:left w:w="15" w:type="dxa"/>
              <w:right w:w="15" w:type="dxa"/>
            </w:tcMar>
            <w:vAlign w:val="bottom"/>
          </w:tcPr>
          <w:p>
            <w:pPr>
              <w:rPr>
                <w:rFonts w:hint="default" w:ascii="Arial" w:hAnsi="Arial" w:cs="Arial"/>
                <w:i w:val="0"/>
                <w:color w:val="000000"/>
                <w:sz w:val="20"/>
                <w:szCs w:val="20"/>
                <w:u w:val="none"/>
              </w:rPr>
            </w:pPr>
          </w:p>
        </w:tc>
        <w:tc>
          <w:tcPr>
            <w:tcW w:w="517" w:type="dxa"/>
            <w:tcBorders>
              <w:top w:val="nil"/>
              <w:left w:val="nil"/>
              <w:bottom w:val="nil"/>
              <w:right w:val="nil"/>
            </w:tcBorders>
            <w:noWrap/>
            <w:tcMar>
              <w:top w:w="15" w:type="dxa"/>
              <w:left w:w="15" w:type="dxa"/>
              <w:right w:w="15" w:type="dxa"/>
            </w:tcMar>
            <w:vAlign w:val="bottom"/>
          </w:tcPr>
          <w:p>
            <w:pPr>
              <w:rPr>
                <w:rFonts w:hint="default" w:ascii="Arial" w:hAnsi="Arial" w:cs="Arial"/>
                <w:i w:val="0"/>
                <w:color w:val="000000"/>
                <w:sz w:val="20"/>
                <w:szCs w:val="20"/>
                <w:u w:val="none"/>
              </w:rPr>
            </w:pPr>
          </w:p>
        </w:tc>
        <w:tc>
          <w:tcPr>
            <w:tcW w:w="1879" w:type="dxa"/>
            <w:tcBorders>
              <w:top w:val="nil"/>
              <w:left w:val="nil"/>
              <w:bottom w:val="nil"/>
              <w:right w:val="nil"/>
            </w:tcBorders>
            <w:noWrap/>
            <w:tcMar>
              <w:top w:w="15" w:type="dxa"/>
              <w:left w:w="15" w:type="dxa"/>
              <w:right w:w="15" w:type="dxa"/>
            </w:tcMar>
            <w:vAlign w:val="bottom"/>
          </w:tcPr>
          <w:p>
            <w:pPr>
              <w:rPr>
                <w:rFonts w:hint="default" w:ascii="Arial" w:hAnsi="Arial" w:cs="Arial"/>
                <w:i w:val="0"/>
                <w:color w:val="000000"/>
                <w:sz w:val="20"/>
                <w:szCs w:val="20"/>
                <w:u w:val="none"/>
              </w:rPr>
            </w:pPr>
          </w:p>
        </w:tc>
        <w:tc>
          <w:tcPr>
            <w:tcW w:w="895" w:type="dxa"/>
            <w:tcBorders>
              <w:top w:val="nil"/>
              <w:left w:val="nil"/>
              <w:bottom w:val="nil"/>
              <w:right w:val="nil"/>
            </w:tcBorders>
            <w:noWrap/>
            <w:tcMar>
              <w:top w:w="15" w:type="dxa"/>
              <w:left w:w="15" w:type="dxa"/>
              <w:right w:w="15" w:type="dxa"/>
            </w:tcMar>
            <w:vAlign w:val="bottom"/>
          </w:tcPr>
          <w:p>
            <w:pPr>
              <w:rPr>
                <w:rFonts w:hint="default" w:ascii="Arial" w:hAnsi="Arial" w:cs="Arial"/>
                <w:i w:val="0"/>
                <w:color w:val="000000"/>
                <w:sz w:val="20"/>
                <w:szCs w:val="20"/>
                <w:u w:val="none"/>
              </w:rPr>
            </w:pPr>
          </w:p>
        </w:tc>
        <w:tc>
          <w:tcPr>
            <w:tcW w:w="991" w:type="dxa"/>
            <w:tcBorders>
              <w:top w:val="nil"/>
              <w:left w:val="nil"/>
              <w:bottom w:val="nil"/>
              <w:right w:val="nil"/>
            </w:tcBorders>
            <w:noWrap/>
            <w:tcMar>
              <w:top w:w="15" w:type="dxa"/>
              <w:left w:w="15" w:type="dxa"/>
              <w:right w:w="15" w:type="dxa"/>
            </w:tcMar>
            <w:vAlign w:val="bottom"/>
          </w:tcPr>
          <w:p>
            <w:pPr>
              <w:rPr>
                <w:rFonts w:hint="default" w:ascii="Arial" w:hAnsi="Arial" w:cs="Arial"/>
                <w:i w:val="0"/>
                <w:color w:val="000000"/>
                <w:sz w:val="20"/>
                <w:szCs w:val="20"/>
                <w:u w:val="none"/>
              </w:rPr>
            </w:pPr>
          </w:p>
        </w:tc>
        <w:tc>
          <w:tcPr>
            <w:tcW w:w="630" w:type="dxa"/>
            <w:tcBorders>
              <w:top w:val="nil"/>
              <w:left w:val="nil"/>
              <w:bottom w:val="nil"/>
              <w:right w:val="nil"/>
            </w:tcBorders>
            <w:noWrap/>
            <w:tcMar>
              <w:top w:w="15" w:type="dxa"/>
              <w:left w:w="15" w:type="dxa"/>
              <w:right w:w="15" w:type="dxa"/>
            </w:tcMar>
            <w:vAlign w:val="bottom"/>
          </w:tcPr>
          <w:p>
            <w:pPr>
              <w:rPr>
                <w:rFonts w:hint="default" w:ascii="Arial" w:hAnsi="Arial" w:cs="Arial"/>
                <w:i w:val="0"/>
                <w:color w:val="000000"/>
                <w:sz w:val="20"/>
                <w:szCs w:val="20"/>
                <w:u w:val="none"/>
              </w:rPr>
            </w:pPr>
          </w:p>
        </w:tc>
        <w:tc>
          <w:tcPr>
            <w:tcW w:w="960" w:type="dxa"/>
            <w:tcBorders>
              <w:top w:val="nil"/>
              <w:left w:val="nil"/>
              <w:bottom w:val="nil"/>
              <w:right w:val="nil"/>
            </w:tcBorders>
            <w:noWrap/>
            <w:tcMar>
              <w:top w:w="15" w:type="dxa"/>
              <w:left w:w="15" w:type="dxa"/>
              <w:right w:w="15" w:type="dxa"/>
            </w:tcMar>
            <w:vAlign w:val="bottom"/>
          </w:tcPr>
          <w:p>
            <w:pPr>
              <w:rPr>
                <w:rFonts w:hint="default" w:ascii="Arial" w:hAnsi="Arial" w:cs="Arial"/>
                <w:i w:val="0"/>
                <w:color w:val="000000"/>
                <w:sz w:val="20"/>
                <w:szCs w:val="20"/>
                <w:u w:val="none"/>
              </w:rPr>
            </w:pPr>
          </w:p>
        </w:tc>
        <w:tc>
          <w:tcPr>
            <w:tcW w:w="825" w:type="dxa"/>
            <w:tcBorders>
              <w:top w:val="nil"/>
              <w:left w:val="nil"/>
              <w:bottom w:val="nil"/>
              <w:right w:val="nil"/>
            </w:tcBorders>
            <w:noWrap/>
            <w:tcMar>
              <w:top w:w="15" w:type="dxa"/>
              <w:left w:w="15" w:type="dxa"/>
              <w:right w:w="15" w:type="dxa"/>
            </w:tcMar>
            <w:vAlign w:val="bottom"/>
          </w:tcPr>
          <w:p>
            <w:pPr>
              <w:rPr>
                <w:rFonts w:hint="default" w:ascii="Arial" w:hAnsi="Arial" w:cs="Arial"/>
                <w:i w:val="0"/>
                <w:color w:val="000000"/>
                <w:sz w:val="20"/>
                <w:szCs w:val="20"/>
                <w:u w:val="none"/>
              </w:rPr>
            </w:pPr>
          </w:p>
        </w:tc>
        <w:tc>
          <w:tcPr>
            <w:tcW w:w="1665" w:type="dxa"/>
            <w:tcBorders>
              <w:top w:val="nil"/>
              <w:left w:val="nil"/>
              <w:bottom w:val="nil"/>
              <w:right w:val="nil"/>
            </w:tcBorders>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tblPrEx>
          <w:tblCellMar>
            <w:top w:w="0" w:type="dxa"/>
            <w:left w:w="0" w:type="dxa"/>
            <w:bottom w:w="0" w:type="dxa"/>
            <w:right w:w="0" w:type="dxa"/>
          </w:tblCellMar>
        </w:tblPrEx>
        <w:trPr>
          <w:trHeight w:val="255" w:hRule="atLeast"/>
        </w:trPr>
        <w:tc>
          <w:tcPr>
            <w:tcW w:w="3430" w:type="dxa"/>
            <w:gridSpan w:val="4"/>
            <w:tcBorders>
              <w:top w:val="nil"/>
              <w:left w:val="nil"/>
              <w:bottom w:val="nil"/>
              <w:right w:val="nil"/>
            </w:tcBorders>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w:t>
            </w:r>
            <w:r>
              <w:rPr>
                <w:rFonts w:hint="eastAsia" w:ascii="宋体" w:hAnsi="宋体" w:eastAsia="宋体" w:cs="宋体"/>
                <w:i w:val="0"/>
                <w:iCs w:val="0"/>
                <w:color w:val="000000"/>
                <w:kern w:val="0"/>
                <w:sz w:val="20"/>
                <w:szCs w:val="20"/>
                <w:u w:val="none"/>
                <w:lang w:val="en-US" w:eastAsia="zh-CN" w:bidi="ar"/>
              </w:rPr>
              <w:t>兴国县皮肤病防治所</w:t>
            </w:r>
          </w:p>
        </w:tc>
        <w:tc>
          <w:tcPr>
            <w:tcW w:w="895" w:type="dxa"/>
            <w:tcBorders>
              <w:top w:val="nil"/>
              <w:left w:val="nil"/>
              <w:bottom w:val="nil"/>
              <w:right w:val="nil"/>
            </w:tcBorders>
            <w:noWrap/>
            <w:tcMar>
              <w:top w:w="15" w:type="dxa"/>
              <w:left w:w="15" w:type="dxa"/>
              <w:right w:w="15" w:type="dxa"/>
            </w:tcMar>
            <w:vAlign w:val="bottom"/>
          </w:tcPr>
          <w:p>
            <w:pPr>
              <w:rPr>
                <w:rFonts w:hint="default" w:ascii="Arial" w:hAnsi="Arial" w:cs="Arial"/>
                <w:i w:val="0"/>
                <w:color w:val="000000"/>
                <w:sz w:val="20"/>
                <w:szCs w:val="20"/>
                <w:u w:val="none"/>
              </w:rPr>
            </w:pPr>
          </w:p>
        </w:tc>
        <w:tc>
          <w:tcPr>
            <w:tcW w:w="991" w:type="dxa"/>
            <w:tcBorders>
              <w:top w:val="nil"/>
              <w:left w:val="nil"/>
              <w:bottom w:val="nil"/>
              <w:right w:val="nil"/>
            </w:tcBorders>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2020年度</w:t>
            </w:r>
          </w:p>
        </w:tc>
        <w:tc>
          <w:tcPr>
            <w:tcW w:w="630" w:type="dxa"/>
            <w:tcBorders>
              <w:top w:val="nil"/>
              <w:left w:val="nil"/>
              <w:bottom w:val="nil"/>
              <w:right w:val="nil"/>
            </w:tcBorders>
            <w:noWrap/>
            <w:tcMar>
              <w:top w:w="15" w:type="dxa"/>
              <w:left w:w="15" w:type="dxa"/>
              <w:right w:w="15" w:type="dxa"/>
            </w:tcMar>
            <w:vAlign w:val="bottom"/>
          </w:tcPr>
          <w:p>
            <w:pPr>
              <w:rPr>
                <w:rFonts w:hint="default" w:ascii="Arial" w:hAnsi="Arial" w:cs="Arial"/>
                <w:i w:val="0"/>
                <w:color w:val="000000"/>
                <w:sz w:val="20"/>
                <w:szCs w:val="20"/>
                <w:u w:val="none"/>
              </w:rPr>
            </w:pPr>
          </w:p>
        </w:tc>
        <w:tc>
          <w:tcPr>
            <w:tcW w:w="960" w:type="dxa"/>
            <w:tcBorders>
              <w:top w:val="nil"/>
              <w:left w:val="nil"/>
              <w:bottom w:val="nil"/>
              <w:right w:val="nil"/>
            </w:tcBorders>
            <w:noWrap/>
            <w:tcMar>
              <w:top w:w="15" w:type="dxa"/>
              <w:left w:w="15" w:type="dxa"/>
              <w:right w:w="15" w:type="dxa"/>
            </w:tcMar>
            <w:vAlign w:val="bottom"/>
          </w:tcPr>
          <w:p>
            <w:pPr>
              <w:rPr>
                <w:rFonts w:hint="default" w:ascii="Arial" w:hAnsi="Arial" w:cs="Arial"/>
                <w:i w:val="0"/>
                <w:color w:val="000000"/>
                <w:sz w:val="20"/>
                <w:szCs w:val="20"/>
                <w:u w:val="none"/>
              </w:rPr>
            </w:pPr>
          </w:p>
        </w:tc>
        <w:tc>
          <w:tcPr>
            <w:tcW w:w="825" w:type="dxa"/>
            <w:tcBorders>
              <w:top w:val="nil"/>
              <w:left w:val="nil"/>
              <w:bottom w:val="nil"/>
              <w:right w:val="nil"/>
            </w:tcBorders>
            <w:noWrap/>
            <w:tcMar>
              <w:top w:w="15" w:type="dxa"/>
              <w:left w:w="15" w:type="dxa"/>
              <w:right w:w="15" w:type="dxa"/>
            </w:tcMar>
            <w:vAlign w:val="bottom"/>
          </w:tcPr>
          <w:p>
            <w:pPr>
              <w:rPr>
                <w:rFonts w:hint="default" w:ascii="Arial" w:hAnsi="Arial" w:cs="Arial"/>
                <w:i w:val="0"/>
                <w:color w:val="000000"/>
                <w:sz w:val="20"/>
                <w:szCs w:val="20"/>
                <w:u w:val="none"/>
              </w:rPr>
            </w:pPr>
          </w:p>
        </w:tc>
        <w:tc>
          <w:tcPr>
            <w:tcW w:w="1665" w:type="dxa"/>
            <w:tcBorders>
              <w:top w:val="nil"/>
              <w:left w:val="nil"/>
              <w:bottom w:val="nil"/>
              <w:right w:val="nil"/>
            </w:tcBorders>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CellMar>
            <w:top w:w="0" w:type="dxa"/>
            <w:left w:w="0" w:type="dxa"/>
            <w:bottom w:w="0" w:type="dxa"/>
            <w:right w:w="0" w:type="dxa"/>
          </w:tblCellMar>
        </w:tblPrEx>
        <w:trPr>
          <w:trHeight w:val="277" w:hRule="atLeast"/>
        </w:trPr>
        <w:tc>
          <w:tcPr>
            <w:tcW w:w="3430" w:type="dxa"/>
            <w:gridSpan w:val="4"/>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    目</w:t>
            </w:r>
          </w:p>
        </w:tc>
        <w:tc>
          <w:tcPr>
            <w:tcW w:w="895" w:type="dxa"/>
            <w:vMerge w:val="restart"/>
            <w:tcBorders>
              <w:top w:val="single" w:color="000000" w:sz="4" w:space="0"/>
              <w:left w:val="nil"/>
              <w:bottom w:val="single" w:color="000000" w:sz="4" w:space="0"/>
              <w:right w:val="single" w:color="000000" w:sz="4" w:space="0"/>
            </w:tcBorders>
            <w:shd w:val="clear" w:color="FFFFFF" w:fill="C0C0C0"/>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年初结转和结余</w:t>
            </w:r>
          </w:p>
        </w:tc>
        <w:tc>
          <w:tcPr>
            <w:tcW w:w="991" w:type="dxa"/>
            <w:vMerge w:val="restart"/>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本年收入</w:t>
            </w:r>
          </w:p>
        </w:tc>
        <w:tc>
          <w:tcPr>
            <w:tcW w:w="2415" w:type="dxa"/>
            <w:gridSpan w:val="3"/>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w:t>
            </w:r>
          </w:p>
        </w:tc>
        <w:tc>
          <w:tcPr>
            <w:tcW w:w="1665" w:type="dxa"/>
            <w:vMerge w:val="restart"/>
            <w:tcBorders>
              <w:top w:val="single" w:color="000000" w:sz="4" w:space="0"/>
              <w:left w:val="nil"/>
              <w:bottom w:val="single" w:color="000000" w:sz="4" w:space="0"/>
              <w:right w:val="single" w:color="000000" w:sz="4" w:space="0"/>
            </w:tcBorders>
            <w:shd w:val="clear" w:color="FFFFFF" w:fill="C0C0C0"/>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年末结转和结余</w:t>
            </w:r>
          </w:p>
        </w:tc>
      </w:tr>
      <w:tr>
        <w:tblPrEx>
          <w:tblCellMar>
            <w:top w:w="0" w:type="dxa"/>
            <w:left w:w="0" w:type="dxa"/>
            <w:bottom w:w="0" w:type="dxa"/>
            <w:right w:w="0" w:type="dxa"/>
          </w:tblCellMar>
        </w:tblPrEx>
        <w:trPr>
          <w:trHeight w:val="308" w:hRule="atLeast"/>
        </w:trPr>
        <w:tc>
          <w:tcPr>
            <w:tcW w:w="1551" w:type="dxa"/>
            <w:gridSpan w:val="3"/>
            <w:vMerge w:val="restart"/>
            <w:tcBorders>
              <w:top w:val="nil"/>
              <w:left w:val="single" w:color="000000" w:sz="4" w:space="0"/>
              <w:bottom w:val="single" w:color="000000" w:sz="4" w:space="0"/>
              <w:right w:val="single" w:color="000000" w:sz="4" w:space="0"/>
            </w:tcBorders>
            <w:shd w:val="clear" w:color="FFFFFF" w:fill="C0C0C0"/>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支出功能分类科目编码</w:t>
            </w:r>
          </w:p>
        </w:tc>
        <w:tc>
          <w:tcPr>
            <w:tcW w:w="1879" w:type="dxa"/>
            <w:vMerge w:val="restar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895" w:type="dxa"/>
            <w:vMerge w:val="continue"/>
            <w:tcBorders>
              <w:top w:val="single" w:color="000000" w:sz="4" w:space="0"/>
              <w:left w:val="nil"/>
              <w:bottom w:val="single" w:color="000000" w:sz="4" w:space="0"/>
              <w:right w:val="single" w:color="000000" w:sz="4" w:space="0"/>
            </w:tcBorders>
            <w:shd w:val="clear" w:color="FFFFFF" w:fill="C0C0C0"/>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91" w:type="dxa"/>
            <w:vMerge w:val="continue"/>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30" w:type="dxa"/>
            <w:vMerge w:val="restar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960" w:type="dxa"/>
            <w:vMerge w:val="restar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825" w:type="dxa"/>
            <w:vMerge w:val="restar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c>
          <w:tcPr>
            <w:tcW w:w="1665" w:type="dxa"/>
            <w:vMerge w:val="continue"/>
            <w:tcBorders>
              <w:top w:val="single" w:color="000000" w:sz="4" w:space="0"/>
              <w:left w:val="nil"/>
              <w:bottom w:val="single" w:color="000000" w:sz="4" w:space="0"/>
              <w:right w:val="single" w:color="000000" w:sz="4" w:space="0"/>
            </w:tcBorders>
            <w:shd w:val="clear" w:color="FFFFFF" w:fill="C0C0C0"/>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08" w:hRule="atLeast"/>
        </w:trPr>
        <w:tc>
          <w:tcPr>
            <w:tcW w:w="1551" w:type="dxa"/>
            <w:gridSpan w:val="3"/>
            <w:vMerge w:val="continue"/>
            <w:tcBorders>
              <w:top w:val="nil"/>
              <w:left w:val="single" w:color="000000" w:sz="4" w:space="0"/>
              <w:bottom w:val="single" w:color="000000" w:sz="4" w:space="0"/>
              <w:right w:val="single" w:color="000000" w:sz="4" w:space="0"/>
            </w:tcBorders>
            <w:shd w:val="clear" w:color="FFFFFF" w:fill="C0C0C0"/>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79" w:type="dxa"/>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95" w:type="dxa"/>
            <w:vMerge w:val="continue"/>
            <w:tcBorders>
              <w:top w:val="single" w:color="000000" w:sz="4" w:space="0"/>
              <w:left w:val="nil"/>
              <w:bottom w:val="single" w:color="000000" w:sz="4" w:space="0"/>
              <w:right w:val="single" w:color="000000" w:sz="4" w:space="0"/>
            </w:tcBorders>
            <w:shd w:val="clear" w:color="FFFFFF" w:fill="C0C0C0"/>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91" w:type="dxa"/>
            <w:vMerge w:val="continue"/>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30" w:type="dxa"/>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60" w:type="dxa"/>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65" w:type="dxa"/>
            <w:vMerge w:val="continue"/>
            <w:tcBorders>
              <w:top w:val="single" w:color="000000" w:sz="4" w:space="0"/>
              <w:left w:val="nil"/>
              <w:bottom w:val="single" w:color="000000" w:sz="4" w:space="0"/>
              <w:right w:val="single" w:color="000000" w:sz="4" w:space="0"/>
            </w:tcBorders>
            <w:shd w:val="clear" w:color="FFFFFF" w:fill="C0C0C0"/>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08" w:hRule="atLeast"/>
        </w:trPr>
        <w:tc>
          <w:tcPr>
            <w:tcW w:w="1551" w:type="dxa"/>
            <w:gridSpan w:val="3"/>
            <w:vMerge w:val="continue"/>
            <w:tcBorders>
              <w:top w:val="nil"/>
              <w:left w:val="single" w:color="000000" w:sz="4" w:space="0"/>
              <w:bottom w:val="single" w:color="000000" w:sz="4" w:space="0"/>
              <w:right w:val="single" w:color="000000" w:sz="4" w:space="0"/>
            </w:tcBorders>
            <w:shd w:val="clear" w:color="FFFFFF" w:fill="C0C0C0"/>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79" w:type="dxa"/>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95" w:type="dxa"/>
            <w:vMerge w:val="continue"/>
            <w:tcBorders>
              <w:top w:val="single" w:color="000000" w:sz="4" w:space="0"/>
              <w:left w:val="nil"/>
              <w:bottom w:val="single" w:color="000000" w:sz="4" w:space="0"/>
              <w:right w:val="single" w:color="000000" w:sz="4" w:space="0"/>
            </w:tcBorders>
            <w:shd w:val="clear" w:color="FFFFFF" w:fill="C0C0C0"/>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91" w:type="dxa"/>
            <w:vMerge w:val="continue"/>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30" w:type="dxa"/>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60" w:type="dxa"/>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25" w:type="dxa"/>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65" w:type="dxa"/>
            <w:vMerge w:val="continue"/>
            <w:tcBorders>
              <w:top w:val="single" w:color="000000" w:sz="4" w:space="0"/>
              <w:left w:val="nil"/>
              <w:bottom w:val="single" w:color="000000" w:sz="4" w:space="0"/>
              <w:right w:val="single" w:color="000000" w:sz="4" w:space="0"/>
            </w:tcBorders>
            <w:shd w:val="clear" w:color="FFFFFF" w:fill="C0C0C0"/>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38" w:hRule="atLeast"/>
        </w:trPr>
        <w:tc>
          <w:tcPr>
            <w:tcW w:w="517"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类</w:t>
            </w:r>
          </w:p>
        </w:tc>
        <w:tc>
          <w:tcPr>
            <w:tcW w:w="517" w:type="dxa"/>
            <w:vMerge w:val="restar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款</w:t>
            </w:r>
          </w:p>
        </w:tc>
        <w:tc>
          <w:tcPr>
            <w:tcW w:w="517" w:type="dxa"/>
            <w:vMerge w:val="restar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187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8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99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630"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960"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82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66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r>
      <w:tr>
        <w:tblPrEx>
          <w:tblCellMar>
            <w:top w:w="0" w:type="dxa"/>
            <w:left w:w="0" w:type="dxa"/>
            <w:bottom w:w="0" w:type="dxa"/>
            <w:right w:w="0" w:type="dxa"/>
          </w:tblCellMar>
        </w:tblPrEx>
        <w:trPr>
          <w:trHeight w:val="308" w:hRule="atLeast"/>
        </w:trPr>
        <w:tc>
          <w:tcPr>
            <w:tcW w:w="517"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17" w:type="dxa"/>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17" w:type="dxa"/>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7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895"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91"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630"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60"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825"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665"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08" w:hRule="atLeast"/>
        </w:trPr>
        <w:tc>
          <w:tcPr>
            <w:tcW w:w="1551" w:type="dxa"/>
            <w:gridSpan w:val="3"/>
            <w:tcBorders>
              <w:top w:val="nil"/>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879" w:type="dxa"/>
            <w:tcBorders>
              <w:top w:val="nil"/>
              <w:left w:val="nil"/>
              <w:bottom w:val="single" w:color="000000" w:sz="4" w:space="0"/>
              <w:right w:val="single" w:color="000000" w:sz="4" w:space="0"/>
            </w:tcBorders>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895"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91"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630"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60"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825"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665"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08" w:hRule="atLeast"/>
        </w:trPr>
        <w:tc>
          <w:tcPr>
            <w:tcW w:w="1551" w:type="dxa"/>
            <w:gridSpan w:val="3"/>
            <w:tcBorders>
              <w:top w:val="nil"/>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879" w:type="dxa"/>
            <w:tcBorders>
              <w:top w:val="nil"/>
              <w:left w:val="nil"/>
              <w:bottom w:val="single" w:color="000000" w:sz="4" w:space="0"/>
              <w:right w:val="single" w:color="000000" w:sz="4" w:space="0"/>
            </w:tcBorders>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895"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91"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630"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60"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825"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665"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08" w:hRule="atLeast"/>
        </w:trPr>
        <w:tc>
          <w:tcPr>
            <w:tcW w:w="1551" w:type="dxa"/>
            <w:gridSpan w:val="3"/>
            <w:tcBorders>
              <w:top w:val="nil"/>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879" w:type="dxa"/>
            <w:tcBorders>
              <w:top w:val="nil"/>
              <w:left w:val="nil"/>
              <w:bottom w:val="single" w:color="000000" w:sz="4" w:space="0"/>
              <w:right w:val="single" w:color="000000" w:sz="4" w:space="0"/>
            </w:tcBorders>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895"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91"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630"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60"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825"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665"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08" w:hRule="atLeast"/>
        </w:trPr>
        <w:tc>
          <w:tcPr>
            <w:tcW w:w="1551" w:type="dxa"/>
            <w:gridSpan w:val="3"/>
            <w:tcBorders>
              <w:top w:val="nil"/>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879" w:type="dxa"/>
            <w:tcBorders>
              <w:top w:val="nil"/>
              <w:left w:val="nil"/>
              <w:bottom w:val="single" w:color="000000" w:sz="4" w:space="0"/>
              <w:right w:val="single" w:color="000000" w:sz="4" w:space="0"/>
            </w:tcBorders>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895"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91"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630"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60"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825"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665"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08" w:hRule="atLeast"/>
        </w:trPr>
        <w:tc>
          <w:tcPr>
            <w:tcW w:w="1551" w:type="dxa"/>
            <w:gridSpan w:val="3"/>
            <w:tcBorders>
              <w:top w:val="nil"/>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879" w:type="dxa"/>
            <w:tcBorders>
              <w:top w:val="nil"/>
              <w:left w:val="nil"/>
              <w:bottom w:val="single" w:color="000000" w:sz="4" w:space="0"/>
              <w:right w:val="single" w:color="000000" w:sz="4" w:space="0"/>
            </w:tcBorders>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895"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91"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630"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60"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825"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665"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08" w:hRule="atLeast"/>
        </w:trPr>
        <w:tc>
          <w:tcPr>
            <w:tcW w:w="1551" w:type="dxa"/>
            <w:gridSpan w:val="3"/>
            <w:tcBorders>
              <w:top w:val="nil"/>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879" w:type="dxa"/>
            <w:tcBorders>
              <w:top w:val="nil"/>
              <w:left w:val="nil"/>
              <w:bottom w:val="single" w:color="000000" w:sz="4" w:space="0"/>
              <w:right w:val="single" w:color="000000" w:sz="4" w:space="0"/>
            </w:tcBorders>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895"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91"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630"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60"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825"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665"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15" w:hRule="atLeast"/>
        </w:trPr>
        <w:tc>
          <w:tcPr>
            <w:tcW w:w="9396" w:type="dxa"/>
            <w:gridSpan w:val="10"/>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注：本表反映部门本年度政府性基金预算财政拨款收入、支出及结转和结余情况。</w:t>
            </w:r>
          </w:p>
        </w:tc>
      </w:tr>
      <w:tr>
        <w:tblPrEx>
          <w:tblCellMar>
            <w:top w:w="0" w:type="dxa"/>
            <w:left w:w="0" w:type="dxa"/>
            <w:bottom w:w="0" w:type="dxa"/>
            <w:right w:w="0" w:type="dxa"/>
          </w:tblCellMar>
        </w:tblPrEx>
        <w:trPr>
          <w:trHeight w:val="308" w:hRule="atLeast"/>
        </w:trPr>
        <w:tc>
          <w:tcPr>
            <w:tcW w:w="9396" w:type="dxa"/>
            <w:gridSpan w:val="10"/>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说明：当此表数据为空时，即本部门无政府性基金预算财政拨款收入、支出。</w:t>
            </w:r>
          </w:p>
        </w:tc>
      </w:tr>
    </w:tbl>
    <w:p>
      <w:pPr>
        <w:pStyle w:val="5"/>
        <w:rPr>
          <w:rFonts w:hint="eastAsia"/>
          <w:szCs w:val="30"/>
        </w:rPr>
      </w:pPr>
    </w:p>
    <w:p>
      <w:pPr>
        <w:pStyle w:val="5"/>
        <w:rPr>
          <w:rFonts w:hint="eastAsia"/>
          <w:szCs w:val="30"/>
        </w:rPr>
      </w:pPr>
    </w:p>
    <w:p>
      <w:pPr>
        <w:autoSpaceDE w:val="0"/>
        <w:autoSpaceDN w:val="0"/>
        <w:adjustRightInd w:val="0"/>
        <w:spacing w:line="360" w:lineRule="auto"/>
        <w:jc w:val="left"/>
        <w:rPr>
          <w:rFonts w:hint="eastAsia"/>
          <w:szCs w:val="30"/>
        </w:rPr>
      </w:pPr>
    </w:p>
    <w:p>
      <w:pPr>
        <w:autoSpaceDE w:val="0"/>
        <w:autoSpaceDN w:val="0"/>
        <w:adjustRightInd w:val="0"/>
        <w:spacing w:line="360" w:lineRule="auto"/>
        <w:jc w:val="left"/>
        <w:rPr>
          <w:rFonts w:hint="eastAsia"/>
          <w:szCs w:val="30"/>
        </w:rPr>
      </w:pPr>
    </w:p>
    <w:p>
      <w:pPr>
        <w:pStyle w:val="5"/>
        <w:rPr>
          <w:rFonts w:hint="eastAsia"/>
          <w:szCs w:val="30"/>
        </w:rPr>
      </w:pPr>
    </w:p>
    <w:p>
      <w:pPr>
        <w:pStyle w:val="5"/>
        <w:rPr>
          <w:rFonts w:hint="eastAsia"/>
          <w:szCs w:val="30"/>
        </w:rPr>
      </w:pPr>
    </w:p>
    <w:p>
      <w:pPr>
        <w:pStyle w:val="5"/>
        <w:rPr>
          <w:rFonts w:hint="eastAsia"/>
          <w:szCs w:val="30"/>
        </w:rPr>
      </w:pPr>
    </w:p>
    <w:p>
      <w:pPr>
        <w:pStyle w:val="5"/>
        <w:rPr>
          <w:rFonts w:hint="eastAsia"/>
          <w:szCs w:val="30"/>
        </w:rPr>
      </w:pPr>
    </w:p>
    <w:p>
      <w:pPr>
        <w:pStyle w:val="5"/>
        <w:rPr>
          <w:rFonts w:hint="eastAsia"/>
          <w:szCs w:val="30"/>
        </w:rPr>
      </w:pPr>
    </w:p>
    <w:p>
      <w:pPr>
        <w:pStyle w:val="5"/>
        <w:rPr>
          <w:rFonts w:hint="eastAsia"/>
          <w:szCs w:val="30"/>
        </w:rPr>
      </w:pPr>
    </w:p>
    <w:p>
      <w:pPr>
        <w:pStyle w:val="5"/>
        <w:rPr>
          <w:rFonts w:hint="eastAsia"/>
          <w:szCs w:val="30"/>
        </w:rPr>
      </w:pPr>
    </w:p>
    <w:p>
      <w:pPr>
        <w:pStyle w:val="5"/>
        <w:rPr>
          <w:rFonts w:hint="eastAsia"/>
          <w:szCs w:val="30"/>
        </w:rPr>
      </w:pPr>
    </w:p>
    <w:p>
      <w:pPr>
        <w:pStyle w:val="5"/>
        <w:rPr>
          <w:rFonts w:hint="eastAsia"/>
          <w:szCs w:val="30"/>
        </w:rPr>
      </w:pPr>
    </w:p>
    <w:p>
      <w:pPr>
        <w:pStyle w:val="5"/>
        <w:rPr>
          <w:rFonts w:hint="eastAsia"/>
          <w:szCs w:val="30"/>
        </w:rPr>
      </w:pPr>
    </w:p>
    <w:p>
      <w:pPr>
        <w:pStyle w:val="5"/>
        <w:rPr>
          <w:rFonts w:hint="eastAsia"/>
          <w:szCs w:val="30"/>
        </w:rPr>
      </w:pPr>
    </w:p>
    <w:tbl>
      <w:tblPr>
        <w:tblStyle w:val="6"/>
        <w:tblpPr w:leftFromText="180" w:rightFromText="180" w:vertAnchor="text" w:horzAnchor="page" w:tblpX="1126" w:tblpY="2021"/>
        <w:tblOverlap w:val="never"/>
        <w:tblW w:w="9410" w:type="dxa"/>
        <w:tblInd w:w="0" w:type="dxa"/>
        <w:tblLayout w:type="fixed"/>
        <w:tblCellMar>
          <w:top w:w="0" w:type="dxa"/>
          <w:left w:w="0" w:type="dxa"/>
          <w:bottom w:w="0" w:type="dxa"/>
          <w:right w:w="0" w:type="dxa"/>
        </w:tblCellMar>
      </w:tblPr>
      <w:tblGrid>
        <w:gridCol w:w="269"/>
        <w:gridCol w:w="269"/>
        <w:gridCol w:w="1792"/>
        <w:gridCol w:w="2970"/>
        <w:gridCol w:w="1440"/>
        <w:gridCol w:w="1200"/>
        <w:gridCol w:w="1470"/>
      </w:tblGrid>
      <w:tr>
        <w:tblPrEx>
          <w:tblCellMar>
            <w:top w:w="0" w:type="dxa"/>
            <w:left w:w="0" w:type="dxa"/>
            <w:bottom w:w="0" w:type="dxa"/>
            <w:right w:w="0" w:type="dxa"/>
          </w:tblCellMar>
        </w:tblPrEx>
        <w:trPr>
          <w:trHeight w:val="540" w:hRule="atLeast"/>
        </w:trPr>
        <w:tc>
          <w:tcPr>
            <w:tcW w:w="9410" w:type="dxa"/>
            <w:gridSpan w:val="7"/>
            <w:tcBorders>
              <w:top w:val="nil"/>
              <w:left w:val="nil"/>
              <w:bottom w:val="nil"/>
              <w:right w:val="nil"/>
            </w:tcBorders>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44"/>
                <w:szCs w:val="44"/>
                <w:u w:val="none"/>
              </w:rPr>
            </w:pPr>
            <w:r>
              <w:rPr>
                <w:rFonts w:hint="eastAsia" w:ascii="宋体" w:hAnsi="宋体" w:eastAsia="宋体" w:cs="宋体"/>
                <w:i w:val="0"/>
                <w:color w:val="000000"/>
                <w:kern w:val="0"/>
                <w:sz w:val="44"/>
                <w:szCs w:val="44"/>
                <w:u w:val="none"/>
                <w:lang w:val="en-US" w:eastAsia="zh-CN" w:bidi="ar"/>
              </w:rPr>
              <w:t>国有资本经营预算财政拨款支出决算表</w:t>
            </w:r>
          </w:p>
        </w:tc>
      </w:tr>
      <w:tr>
        <w:tblPrEx>
          <w:tblCellMar>
            <w:top w:w="0" w:type="dxa"/>
            <w:left w:w="0" w:type="dxa"/>
            <w:bottom w:w="0" w:type="dxa"/>
            <w:right w:w="0" w:type="dxa"/>
          </w:tblCellMar>
        </w:tblPrEx>
        <w:trPr>
          <w:trHeight w:val="255" w:hRule="atLeast"/>
        </w:trPr>
        <w:tc>
          <w:tcPr>
            <w:tcW w:w="269" w:type="dxa"/>
            <w:tcBorders>
              <w:top w:val="nil"/>
              <w:left w:val="nil"/>
              <w:bottom w:val="nil"/>
              <w:right w:val="nil"/>
            </w:tcBorders>
            <w:noWrap/>
            <w:tcMar>
              <w:top w:w="15" w:type="dxa"/>
              <w:left w:w="15" w:type="dxa"/>
              <w:right w:w="15" w:type="dxa"/>
            </w:tcMar>
            <w:vAlign w:val="bottom"/>
          </w:tcPr>
          <w:p>
            <w:pPr>
              <w:rPr>
                <w:rFonts w:hint="eastAsia" w:ascii="Arial" w:hAnsi="Arial" w:cs="Arial"/>
                <w:i w:val="0"/>
                <w:color w:val="000000"/>
                <w:sz w:val="20"/>
                <w:szCs w:val="20"/>
                <w:u w:val="none"/>
              </w:rPr>
            </w:pPr>
          </w:p>
        </w:tc>
        <w:tc>
          <w:tcPr>
            <w:tcW w:w="269" w:type="dxa"/>
            <w:tcBorders>
              <w:top w:val="nil"/>
              <w:left w:val="nil"/>
              <w:bottom w:val="nil"/>
              <w:right w:val="nil"/>
            </w:tcBorders>
            <w:noWrap/>
            <w:tcMar>
              <w:top w:w="15" w:type="dxa"/>
              <w:left w:w="15" w:type="dxa"/>
              <w:right w:w="15" w:type="dxa"/>
            </w:tcMar>
            <w:vAlign w:val="bottom"/>
          </w:tcPr>
          <w:p>
            <w:pPr>
              <w:rPr>
                <w:rFonts w:hint="default" w:ascii="Arial" w:hAnsi="Arial" w:cs="Arial"/>
                <w:i w:val="0"/>
                <w:color w:val="000000"/>
                <w:sz w:val="20"/>
                <w:szCs w:val="20"/>
                <w:u w:val="none"/>
              </w:rPr>
            </w:pPr>
          </w:p>
        </w:tc>
        <w:tc>
          <w:tcPr>
            <w:tcW w:w="1792" w:type="dxa"/>
            <w:tcBorders>
              <w:top w:val="nil"/>
              <w:left w:val="nil"/>
              <w:bottom w:val="nil"/>
              <w:right w:val="nil"/>
            </w:tcBorders>
            <w:noWrap/>
            <w:tcMar>
              <w:top w:w="15" w:type="dxa"/>
              <w:left w:w="15" w:type="dxa"/>
              <w:right w:w="15" w:type="dxa"/>
            </w:tcMar>
            <w:vAlign w:val="bottom"/>
          </w:tcPr>
          <w:p>
            <w:pPr>
              <w:rPr>
                <w:rFonts w:hint="default" w:ascii="Arial" w:hAnsi="Arial" w:cs="Arial"/>
                <w:i w:val="0"/>
                <w:color w:val="000000"/>
                <w:sz w:val="20"/>
                <w:szCs w:val="20"/>
                <w:u w:val="none"/>
              </w:rPr>
            </w:pPr>
          </w:p>
        </w:tc>
        <w:tc>
          <w:tcPr>
            <w:tcW w:w="2970" w:type="dxa"/>
            <w:tcBorders>
              <w:top w:val="nil"/>
              <w:left w:val="nil"/>
              <w:bottom w:val="nil"/>
              <w:right w:val="nil"/>
            </w:tcBorders>
            <w:noWrap/>
            <w:tcMar>
              <w:top w:w="15" w:type="dxa"/>
              <w:left w:w="15" w:type="dxa"/>
              <w:right w:w="15" w:type="dxa"/>
            </w:tcMar>
            <w:vAlign w:val="bottom"/>
          </w:tcPr>
          <w:p>
            <w:pPr>
              <w:rPr>
                <w:rFonts w:hint="default" w:ascii="Arial" w:hAnsi="Arial" w:cs="Arial"/>
                <w:i w:val="0"/>
                <w:color w:val="000000"/>
                <w:sz w:val="20"/>
                <w:szCs w:val="20"/>
                <w:u w:val="none"/>
              </w:rPr>
            </w:pPr>
          </w:p>
        </w:tc>
        <w:tc>
          <w:tcPr>
            <w:tcW w:w="1440" w:type="dxa"/>
            <w:tcBorders>
              <w:top w:val="nil"/>
              <w:left w:val="nil"/>
              <w:bottom w:val="nil"/>
              <w:right w:val="nil"/>
            </w:tcBorders>
            <w:noWrap/>
            <w:tcMar>
              <w:top w:w="15" w:type="dxa"/>
              <w:left w:w="15" w:type="dxa"/>
              <w:right w:w="15" w:type="dxa"/>
            </w:tcMar>
            <w:vAlign w:val="bottom"/>
          </w:tcPr>
          <w:p>
            <w:pPr>
              <w:rPr>
                <w:rFonts w:hint="default" w:ascii="Arial" w:hAnsi="Arial" w:cs="Arial"/>
                <w:i w:val="0"/>
                <w:color w:val="000000"/>
                <w:sz w:val="20"/>
                <w:szCs w:val="20"/>
                <w:u w:val="none"/>
              </w:rPr>
            </w:pPr>
          </w:p>
        </w:tc>
        <w:tc>
          <w:tcPr>
            <w:tcW w:w="1200" w:type="dxa"/>
            <w:tcBorders>
              <w:top w:val="nil"/>
              <w:left w:val="nil"/>
              <w:bottom w:val="nil"/>
              <w:right w:val="nil"/>
            </w:tcBorders>
            <w:noWrap/>
            <w:tcMar>
              <w:top w:w="15" w:type="dxa"/>
              <w:left w:w="15" w:type="dxa"/>
              <w:right w:w="15" w:type="dxa"/>
            </w:tcMar>
            <w:vAlign w:val="bottom"/>
          </w:tcPr>
          <w:p>
            <w:pPr>
              <w:rPr>
                <w:rFonts w:hint="default" w:ascii="Arial" w:hAnsi="Arial" w:cs="Arial"/>
                <w:i w:val="0"/>
                <w:color w:val="000000"/>
                <w:sz w:val="20"/>
                <w:szCs w:val="20"/>
                <w:u w:val="none"/>
              </w:rPr>
            </w:pPr>
          </w:p>
        </w:tc>
        <w:tc>
          <w:tcPr>
            <w:tcW w:w="1470" w:type="dxa"/>
            <w:tcBorders>
              <w:top w:val="nil"/>
              <w:left w:val="nil"/>
              <w:bottom w:val="nil"/>
              <w:right w:val="nil"/>
            </w:tcBorders>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tblPrEx>
          <w:tblCellMar>
            <w:top w:w="0" w:type="dxa"/>
            <w:left w:w="0" w:type="dxa"/>
            <w:bottom w:w="0" w:type="dxa"/>
            <w:right w:w="0" w:type="dxa"/>
          </w:tblCellMar>
        </w:tblPrEx>
        <w:trPr>
          <w:trHeight w:val="255" w:hRule="atLeast"/>
        </w:trPr>
        <w:tc>
          <w:tcPr>
            <w:tcW w:w="5300" w:type="dxa"/>
            <w:gridSpan w:val="4"/>
            <w:tcBorders>
              <w:top w:val="nil"/>
              <w:left w:val="nil"/>
              <w:bottom w:val="nil"/>
              <w:right w:val="nil"/>
            </w:tcBorders>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w:t>
            </w:r>
            <w:r>
              <w:rPr>
                <w:rFonts w:hint="eastAsia" w:ascii="宋体" w:hAnsi="宋体" w:eastAsia="宋体" w:cs="宋体"/>
                <w:i w:val="0"/>
                <w:iCs w:val="0"/>
                <w:color w:val="000000"/>
                <w:kern w:val="0"/>
                <w:sz w:val="20"/>
                <w:szCs w:val="20"/>
                <w:u w:val="none"/>
                <w:lang w:val="en-US" w:eastAsia="zh-CN" w:bidi="ar"/>
              </w:rPr>
              <w:t>兴国县皮肤病防治所</w:t>
            </w:r>
          </w:p>
        </w:tc>
        <w:tc>
          <w:tcPr>
            <w:tcW w:w="1440" w:type="dxa"/>
            <w:tcBorders>
              <w:top w:val="nil"/>
              <w:left w:val="nil"/>
              <w:bottom w:val="nil"/>
              <w:right w:val="nil"/>
            </w:tcBorders>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2020年度</w:t>
            </w:r>
          </w:p>
        </w:tc>
        <w:tc>
          <w:tcPr>
            <w:tcW w:w="1200" w:type="dxa"/>
            <w:tcBorders>
              <w:top w:val="nil"/>
              <w:left w:val="nil"/>
              <w:bottom w:val="nil"/>
              <w:right w:val="nil"/>
            </w:tcBorders>
            <w:noWrap/>
            <w:tcMar>
              <w:top w:w="15" w:type="dxa"/>
              <w:left w:w="15" w:type="dxa"/>
              <w:right w:w="15" w:type="dxa"/>
            </w:tcMar>
            <w:vAlign w:val="bottom"/>
          </w:tcPr>
          <w:p>
            <w:pPr>
              <w:rPr>
                <w:rFonts w:hint="default" w:ascii="Arial" w:hAnsi="Arial" w:cs="Arial"/>
                <w:i w:val="0"/>
                <w:color w:val="000000"/>
                <w:sz w:val="20"/>
                <w:szCs w:val="20"/>
                <w:u w:val="none"/>
              </w:rPr>
            </w:pPr>
          </w:p>
        </w:tc>
        <w:tc>
          <w:tcPr>
            <w:tcW w:w="1470" w:type="dxa"/>
            <w:tcBorders>
              <w:top w:val="nil"/>
              <w:left w:val="nil"/>
              <w:bottom w:val="nil"/>
              <w:right w:val="nil"/>
            </w:tcBorders>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CellMar>
            <w:top w:w="0" w:type="dxa"/>
            <w:left w:w="0" w:type="dxa"/>
            <w:bottom w:w="0" w:type="dxa"/>
            <w:right w:w="0" w:type="dxa"/>
          </w:tblCellMar>
        </w:tblPrEx>
        <w:trPr>
          <w:trHeight w:val="277" w:hRule="atLeast"/>
        </w:trPr>
        <w:tc>
          <w:tcPr>
            <w:tcW w:w="2330" w:type="dxa"/>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    目</w:t>
            </w:r>
          </w:p>
        </w:tc>
        <w:tc>
          <w:tcPr>
            <w:tcW w:w="2970" w:type="dxa"/>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440" w:type="dxa"/>
            <w:vMerge w:val="restart"/>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00" w:type="dxa"/>
            <w:vMerge w:val="restart"/>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1470" w:type="dxa"/>
            <w:vMerge w:val="restart"/>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r>
      <w:tr>
        <w:tblPrEx>
          <w:tblCellMar>
            <w:top w:w="0" w:type="dxa"/>
            <w:left w:w="0" w:type="dxa"/>
            <w:bottom w:w="0" w:type="dxa"/>
            <w:right w:w="0" w:type="dxa"/>
          </w:tblCellMar>
        </w:tblPrEx>
        <w:trPr>
          <w:trHeight w:val="308" w:hRule="atLeast"/>
        </w:trPr>
        <w:tc>
          <w:tcPr>
            <w:tcW w:w="2330" w:type="dxa"/>
            <w:gridSpan w:val="3"/>
            <w:vMerge w:val="restart"/>
            <w:tcBorders>
              <w:top w:val="nil"/>
              <w:left w:val="single" w:color="000000" w:sz="4" w:space="0"/>
              <w:bottom w:val="single" w:color="000000" w:sz="4" w:space="0"/>
              <w:right w:val="single" w:color="000000" w:sz="4" w:space="0"/>
            </w:tcBorders>
            <w:shd w:val="clear" w:color="FFFFFF" w:fill="C0C0C0"/>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支出功能分类科目编码</w:t>
            </w:r>
          </w:p>
        </w:tc>
        <w:tc>
          <w:tcPr>
            <w:tcW w:w="2970" w:type="dxa"/>
            <w:vMerge w:val="restar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440" w:type="dxa"/>
            <w:vMerge w:val="continue"/>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00" w:type="dxa"/>
            <w:vMerge w:val="continue"/>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70" w:type="dxa"/>
            <w:vMerge w:val="continue"/>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08" w:hRule="atLeast"/>
        </w:trPr>
        <w:tc>
          <w:tcPr>
            <w:tcW w:w="2330" w:type="dxa"/>
            <w:gridSpan w:val="3"/>
            <w:vMerge w:val="continue"/>
            <w:tcBorders>
              <w:top w:val="nil"/>
              <w:left w:val="single" w:color="000000" w:sz="4" w:space="0"/>
              <w:bottom w:val="single" w:color="000000" w:sz="4" w:space="0"/>
              <w:right w:val="single" w:color="000000" w:sz="4" w:space="0"/>
            </w:tcBorders>
            <w:shd w:val="clear" w:color="FFFFFF" w:fill="C0C0C0"/>
            <w:noWrap w:val="0"/>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2970" w:type="dxa"/>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40" w:type="dxa"/>
            <w:vMerge w:val="continue"/>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00" w:type="dxa"/>
            <w:vMerge w:val="continue"/>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70" w:type="dxa"/>
            <w:vMerge w:val="continue"/>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08" w:hRule="atLeast"/>
        </w:trPr>
        <w:tc>
          <w:tcPr>
            <w:tcW w:w="2330" w:type="dxa"/>
            <w:gridSpan w:val="3"/>
            <w:vMerge w:val="continue"/>
            <w:tcBorders>
              <w:top w:val="nil"/>
              <w:left w:val="single" w:color="000000" w:sz="4" w:space="0"/>
              <w:bottom w:val="single" w:color="000000" w:sz="4" w:space="0"/>
              <w:right w:val="single" w:color="000000" w:sz="4" w:space="0"/>
            </w:tcBorders>
            <w:shd w:val="clear" w:color="FFFFFF" w:fill="C0C0C0"/>
            <w:noWrap w:val="0"/>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2970" w:type="dxa"/>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40" w:type="dxa"/>
            <w:vMerge w:val="continue"/>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00" w:type="dxa"/>
            <w:vMerge w:val="continue"/>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70" w:type="dxa"/>
            <w:vMerge w:val="continue"/>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08" w:hRule="atLeast"/>
        </w:trPr>
        <w:tc>
          <w:tcPr>
            <w:tcW w:w="269"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类</w:t>
            </w:r>
          </w:p>
        </w:tc>
        <w:tc>
          <w:tcPr>
            <w:tcW w:w="269" w:type="dxa"/>
            <w:vMerge w:val="restar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款</w:t>
            </w:r>
          </w:p>
        </w:tc>
        <w:tc>
          <w:tcPr>
            <w:tcW w:w="1792" w:type="dxa"/>
            <w:vMerge w:val="restar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2970"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440"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00"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470"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r>
      <w:tr>
        <w:tblPrEx>
          <w:tblCellMar>
            <w:top w:w="0" w:type="dxa"/>
            <w:left w:w="0" w:type="dxa"/>
            <w:bottom w:w="0" w:type="dxa"/>
            <w:right w:w="0" w:type="dxa"/>
          </w:tblCellMar>
        </w:tblPrEx>
        <w:trPr>
          <w:trHeight w:val="308" w:hRule="atLeast"/>
        </w:trPr>
        <w:tc>
          <w:tcPr>
            <w:tcW w:w="269"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69" w:type="dxa"/>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92" w:type="dxa"/>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970"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440"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200"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470"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08" w:hRule="atLeast"/>
        </w:trPr>
        <w:tc>
          <w:tcPr>
            <w:tcW w:w="2330" w:type="dxa"/>
            <w:gridSpan w:val="3"/>
            <w:tcBorders>
              <w:top w:val="nil"/>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2970" w:type="dxa"/>
            <w:tcBorders>
              <w:top w:val="nil"/>
              <w:left w:val="nil"/>
              <w:bottom w:val="single" w:color="000000" w:sz="4" w:space="0"/>
              <w:right w:val="single" w:color="000000" w:sz="4" w:space="0"/>
            </w:tcBorders>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440"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200"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470" w:type="dxa"/>
            <w:tcBorders>
              <w:top w:val="nil"/>
              <w:left w:val="nil"/>
              <w:bottom w:val="single" w:color="000000" w:sz="4" w:space="0"/>
              <w:right w:val="single" w:color="000000" w:sz="4" w:space="0"/>
            </w:tcBorders>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69" w:hRule="atLeast"/>
        </w:trPr>
        <w:tc>
          <w:tcPr>
            <w:tcW w:w="9410" w:type="dxa"/>
            <w:gridSpan w:val="7"/>
            <w:tcBorders>
              <w:top w:val="nil"/>
              <w:left w:val="nil"/>
              <w:bottom w:val="nil"/>
              <w:right w:val="nil"/>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注：本表反映部门本年度国有资本经营预算财政拨款支出情况。</w:t>
            </w:r>
          </w:p>
        </w:tc>
      </w:tr>
      <w:tr>
        <w:tblPrEx>
          <w:tblCellMar>
            <w:top w:w="0" w:type="dxa"/>
            <w:left w:w="0" w:type="dxa"/>
            <w:bottom w:w="0" w:type="dxa"/>
            <w:right w:w="0" w:type="dxa"/>
          </w:tblCellMar>
        </w:tblPrEx>
        <w:trPr>
          <w:trHeight w:val="308" w:hRule="atLeast"/>
        </w:trPr>
        <w:tc>
          <w:tcPr>
            <w:tcW w:w="9410" w:type="dxa"/>
            <w:gridSpan w:val="7"/>
            <w:tcBorders>
              <w:top w:val="nil"/>
              <w:left w:val="nil"/>
              <w:bottom w:val="nil"/>
              <w:right w:val="nil"/>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说明：当此表数据为空时，即本部门无国有资本经营预算财政拨款支出。</w:t>
            </w:r>
          </w:p>
        </w:tc>
      </w:tr>
    </w:tbl>
    <w:p>
      <w:pPr>
        <w:autoSpaceDE w:val="0"/>
        <w:autoSpaceDN w:val="0"/>
        <w:adjustRightInd w:val="0"/>
        <w:spacing w:line="360" w:lineRule="auto"/>
        <w:jc w:val="center"/>
        <w:rPr>
          <w:rFonts w:hint="eastAsia"/>
          <w:b/>
          <w:sz w:val="24"/>
          <w:szCs w:val="24"/>
        </w:rPr>
      </w:pPr>
      <w:r>
        <w:rPr>
          <w:rFonts w:hint="eastAsia"/>
          <w:b/>
          <w:sz w:val="24"/>
          <w:szCs w:val="24"/>
        </w:rPr>
        <w:t>国有</w:t>
      </w:r>
    </w:p>
    <w:p>
      <w:pPr>
        <w:autoSpaceDE w:val="0"/>
        <w:autoSpaceDN w:val="0"/>
        <w:adjustRightInd w:val="0"/>
        <w:spacing w:line="360" w:lineRule="auto"/>
        <w:jc w:val="center"/>
        <w:rPr>
          <w:rFonts w:hint="eastAsia"/>
          <w:b/>
          <w:sz w:val="24"/>
          <w:szCs w:val="24"/>
        </w:rPr>
      </w:pPr>
    </w:p>
    <w:p>
      <w:pPr>
        <w:autoSpaceDE w:val="0"/>
        <w:autoSpaceDN w:val="0"/>
        <w:adjustRightInd w:val="0"/>
        <w:spacing w:line="360" w:lineRule="auto"/>
        <w:jc w:val="center"/>
        <w:rPr>
          <w:rFonts w:hint="eastAsia"/>
          <w:b/>
          <w:sz w:val="24"/>
          <w:szCs w:val="24"/>
        </w:rPr>
      </w:pPr>
    </w:p>
    <w:p>
      <w:pPr>
        <w:autoSpaceDE w:val="0"/>
        <w:autoSpaceDN w:val="0"/>
        <w:adjustRightInd w:val="0"/>
        <w:spacing w:line="360" w:lineRule="auto"/>
        <w:jc w:val="center"/>
        <w:rPr>
          <w:rFonts w:hint="eastAsia"/>
          <w:b/>
          <w:sz w:val="24"/>
          <w:szCs w:val="24"/>
        </w:rPr>
      </w:pPr>
    </w:p>
    <w:p>
      <w:pPr>
        <w:autoSpaceDE w:val="0"/>
        <w:autoSpaceDN w:val="0"/>
        <w:adjustRightInd w:val="0"/>
        <w:spacing w:line="360" w:lineRule="auto"/>
        <w:jc w:val="center"/>
        <w:rPr>
          <w:rFonts w:hint="eastAsia"/>
          <w:b/>
          <w:sz w:val="24"/>
          <w:szCs w:val="24"/>
        </w:rPr>
      </w:pPr>
    </w:p>
    <w:p>
      <w:pPr>
        <w:autoSpaceDE w:val="0"/>
        <w:autoSpaceDN w:val="0"/>
        <w:adjustRightInd w:val="0"/>
        <w:spacing w:line="360" w:lineRule="auto"/>
        <w:jc w:val="center"/>
        <w:rPr>
          <w:rFonts w:hint="eastAsia"/>
          <w:b/>
          <w:sz w:val="24"/>
          <w:szCs w:val="24"/>
        </w:rPr>
      </w:pPr>
    </w:p>
    <w:p>
      <w:pPr>
        <w:autoSpaceDE w:val="0"/>
        <w:autoSpaceDN w:val="0"/>
        <w:adjustRightInd w:val="0"/>
        <w:spacing w:line="360" w:lineRule="auto"/>
        <w:jc w:val="center"/>
        <w:rPr>
          <w:rFonts w:hint="eastAsia"/>
          <w:b/>
          <w:sz w:val="24"/>
          <w:szCs w:val="24"/>
        </w:rPr>
      </w:pPr>
    </w:p>
    <w:p>
      <w:pPr>
        <w:autoSpaceDE w:val="0"/>
        <w:autoSpaceDN w:val="0"/>
        <w:adjustRightInd w:val="0"/>
        <w:spacing w:line="360" w:lineRule="auto"/>
        <w:jc w:val="center"/>
        <w:rPr>
          <w:rFonts w:hint="eastAsia"/>
          <w:b/>
          <w:sz w:val="24"/>
          <w:szCs w:val="24"/>
        </w:rPr>
      </w:pPr>
    </w:p>
    <w:p>
      <w:pPr>
        <w:autoSpaceDE w:val="0"/>
        <w:autoSpaceDN w:val="0"/>
        <w:adjustRightInd w:val="0"/>
        <w:spacing w:line="360" w:lineRule="auto"/>
        <w:jc w:val="center"/>
        <w:rPr>
          <w:rFonts w:hint="eastAsia"/>
          <w:b/>
          <w:sz w:val="24"/>
          <w:szCs w:val="24"/>
        </w:rPr>
      </w:pPr>
    </w:p>
    <w:p>
      <w:pPr>
        <w:autoSpaceDE w:val="0"/>
        <w:autoSpaceDN w:val="0"/>
        <w:adjustRightInd w:val="0"/>
        <w:spacing w:line="360" w:lineRule="auto"/>
        <w:jc w:val="center"/>
        <w:rPr>
          <w:rFonts w:hint="eastAsia"/>
          <w:b/>
          <w:sz w:val="24"/>
          <w:szCs w:val="24"/>
        </w:rPr>
      </w:pPr>
    </w:p>
    <w:p>
      <w:pPr>
        <w:autoSpaceDE w:val="0"/>
        <w:autoSpaceDN w:val="0"/>
        <w:adjustRightInd w:val="0"/>
        <w:spacing w:line="360" w:lineRule="auto"/>
        <w:jc w:val="center"/>
        <w:rPr>
          <w:rFonts w:hint="eastAsia"/>
          <w:b/>
          <w:sz w:val="24"/>
          <w:szCs w:val="24"/>
        </w:rPr>
      </w:pPr>
    </w:p>
    <w:p>
      <w:pPr>
        <w:autoSpaceDE w:val="0"/>
        <w:autoSpaceDN w:val="0"/>
        <w:adjustRightInd w:val="0"/>
        <w:spacing w:line="360" w:lineRule="auto"/>
        <w:jc w:val="center"/>
        <w:rPr>
          <w:rFonts w:hint="eastAsia"/>
          <w:b/>
          <w:sz w:val="24"/>
          <w:szCs w:val="24"/>
        </w:rPr>
      </w:pPr>
    </w:p>
    <w:p>
      <w:pPr>
        <w:autoSpaceDE w:val="0"/>
        <w:autoSpaceDN w:val="0"/>
        <w:adjustRightInd w:val="0"/>
        <w:spacing w:line="360" w:lineRule="auto"/>
        <w:jc w:val="center"/>
        <w:rPr>
          <w:rFonts w:hint="eastAsia"/>
          <w:b/>
          <w:sz w:val="24"/>
          <w:szCs w:val="24"/>
        </w:rPr>
      </w:pPr>
    </w:p>
    <w:p>
      <w:pPr>
        <w:autoSpaceDE w:val="0"/>
        <w:autoSpaceDN w:val="0"/>
        <w:adjustRightInd w:val="0"/>
        <w:spacing w:line="360" w:lineRule="auto"/>
        <w:jc w:val="center"/>
        <w:rPr>
          <w:rFonts w:hint="eastAsia"/>
          <w:b/>
          <w:sz w:val="24"/>
          <w:szCs w:val="24"/>
        </w:rPr>
      </w:pPr>
    </w:p>
    <w:p>
      <w:pPr>
        <w:autoSpaceDE w:val="0"/>
        <w:autoSpaceDN w:val="0"/>
        <w:adjustRightInd w:val="0"/>
        <w:spacing w:line="360" w:lineRule="auto"/>
        <w:jc w:val="center"/>
        <w:rPr>
          <w:rFonts w:hint="eastAsia"/>
          <w:b/>
          <w:sz w:val="24"/>
          <w:szCs w:val="24"/>
        </w:rPr>
      </w:pPr>
    </w:p>
    <w:p>
      <w:pPr>
        <w:autoSpaceDE w:val="0"/>
        <w:autoSpaceDN w:val="0"/>
        <w:adjustRightInd w:val="0"/>
        <w:spacing w:line="360" w:lineRule="auto"/>
        <w:jc w:val="center"/>
        <w:rPr>
          <w:rFonts w:hint="eastAsia"/>
          <w:b/>
          <w:sz w:val="24"/>
          <w:szCs w:val="24"/>
        </w:rPr>
      </w:pPr>
    </w:p>
    <w:p>
      <w:pPr>
        <w:autoSpaceDE w:val="0"/>
        <w:autoSpaceDN w:val="0"/>
        <w:adjustRightInd w:val="0"/>
        <w:spacing w:line="360" w:lineRule="auto"/>
        <w:jc w:val="center"/>
        <w:rPr>
          <w:rFonts w:hint="eastAsia"/>
          <w:b/>
          <w:sz w:val="24"/>
          <w:szCs w:val="24"/>
        </w:rPr>
      </w:pPr>
    </w:p>
    <w:p>
      <w:pPr>
        <w:autoSpaceDE w:val="0"/>
        <w:autoSpaceDN w:val="0"/>
        <w:adjustRightInd w:val="0"/>
        <w:spacing w:line="360" w:lineRule="auto"/>
        <w:jc w:val="center"/>
        <w:rPr>
          <w:rFonts w:hint="eastAsia"/>
          <w:b/>
          <w:sz w:val="24"/>
          <w:szCs w:val="24"/>
        </w:rPr>
      </w:pPr>
    </w:p>
    <w:p>
      <w:pPr>
        <w:autoSpaceDE w:val="0"/>
        <w:autoSpaceDN w:val="0"/>
        <w:adjustRightInd w:val="0"/>
        <w:spacing w:line="360" w:lineRule="auto"/>
        <w:jc w:val="center"/>
        <w:rPr>
          <w:rFonts w:hint="eastAsia"/>
          <w:b/>
          <w:sz w:val="24"/>
          <w:szCs w:val="24"/>
        </w:rPr>
      </w:pPr>
    </w:p>
    <w:p>
      <w:pPr>
        <w:autoSpaceDE w:val="0"/>
        <w:autoSpaceDN w:val="0"/>
        <w:adjustRightInd w:val="0"/>
        <w:spacing w:line="360" w:lineRule="auto"/>
        <w:jc w:val="center"/>
        <w:rPr>
          <w:rFonts w:hint="eastAsia"/>
          <w:b/>
          <w:sz w:val="24"/>
          <w:szCs w:val="24"/>
        </w:rPr>
      </w:pPr>
    </w:p>
    <w:p>
      <w:pPr>
        <w:autoSpaceDE w:val="0"/>
        <w:autoSpaceDN w:val="0"/>
        <w:adjustRightInd w:val="0"/>
        <w:spacing w:line="360" w:lineRule="auto"/>
        <w:jc w:val="center"/>
        <w:rPr>
          <w:rFonts w:hint="eastAsia"/>
          <w:b/>
          <w:sz w:val="24"/>
          <w:szCs w:val="24"/>
        </w:rPr>
      </w:pPr>
    </w:p>
    <w:p>
      <w:pPr>
        <w:autoSpaceDE w:val="0"/>
        <w:autoSpaceDN w:val="0"/>
        <w:adjustRightInd w:val="0"/>
        <w:spacing w:line="360" w:lineRule="auto"/>
        <w:jc w:val="center"/>
        <w:rPr>
          <w:rFonts w:hint="eastAsia"/>
          <w:b/>
          <w:sz w:val="24"/>
          <w:szCs w:val="24"/>
        </w:rPr>
      </w:pPr>
    </w:p>
    <w:p>
      <w:pPr>
        <w:autoSpaceDE w:val="0"/>
        <w:autoSpaceDN w:val="0"/>
        <w:adjustRightInd w:val="0"/>
        <w:spacing w:line="360" w:lineRule="auto"/>
        <w:jc w:val="center"/>
        <w:rPr>
          <w:rFonts w:hint="eastAsia"/>
          <w:b/>
          <w:sz w:val="24"/>
          <w:szCs w:val="24"/>
        </w:rPr>
      </w:pPr>
      <w:r>
        <w:rPr>
          <w:rFonts w:hint="eastAsia"/>
          <w:b/>
          <w:sz w:val="24"/>
          <w:szCs w:val="24"/>
        </w:rPr>
        <w:t>资产占用情况表</w:t>
      </w:r>
    </w:p>
    <w:tbl>
      <w:tblPr>
        <w:tblStyle w:val="6"/>
        <w:tblpPr w:leftFromText="180" w:rightFromText="180" w:vertAnchor="text" w:horzAnchor="page" w:tblpX="2179" w:tblpY="254"/>
        <w:tblOverlap w:val="never"/>
        <w:tblW w:w="0" w:type="auto"/>
        <w:tblInd w:w="0" w:type="dxa"/>
        <w:tblLayout w:type="fixed"/>
        <w:tblCellMar>
          <w:top w:w="0" w:type="dxa"/>
          <w:left w:w="108" w:type="dxa"/>
          <w:bottom w:w="0" w:type="dxa"/>
          <w:right w:w="108" w:type="dxa"/>
        </w:tblCellMar>
      </w:tblPr>
      <w:tblGrid>
        <w:gridCol w:w="5320"/>
        <w:gridCol w:w="680"/>
        <w:gridCol w:w="2180"/>
      </w:tblGrid>
      <w:tr>
        <w:tblPrEx>
          <w:tblCellMar>
            <w:top w:w="0" w:type="dxa"/>
            <w:left w:w="108" w:type="dxa"/>
            <w:bottom w:w="0" w:type="dxa"/>
            <w:right w:w="108" w:type="dxa"/>
          </w:tblCellMar>
        </w:tblPrEx>
        <w:trPr>
          <w:trHeight w:val="154" w:hRule="atLeast"/>
        </w:trPr>
        <w:tc>
          <w:tcPr>
            <w:tcW w:w="5320" w:type="dxa"/>
            <w:tcBorders>
              <w:top w:val="nil"/>
              <w:left w:val="nil"/>
              <w:bottom w:val="nil"/>
              <w:right w:val="nil"/>
            </w:tcBorders>
            <w:noWrap/>
            <w:vAlign w:val="bottom"/>
          </w:tcPr>
          <w:p>
            <w:pPr>
              <w:widowControl/>
              <w:jc w:val="left"/>
              <w:rPr>
                <w:rFonts w:ascii="Arial" w:hAnsi="Arial" w:cs="Arial"/>
                <w:color w:val="000000"/>
                <w:kern w:val="0"/>
                <w:sz w:val="20"/>
              </w:rPr>
            </w:pPr>
          </w:p>
        </w:tc>
        <w:tc>
          <w:tcPr>
            <w:tcW w:w="680" w:type="dxa"/>
            <w:tcBorders>
              <w:top w:val="nil"/>
              <w:left w:val="nil"/>
              <w:bottom w:val="nil"/>
              <w:right w:val="nil"/>
            </w:tcBorders>
            <w:noWrap/>
            <w:vAlign w:val="bottom"/>
          </w:tcPr>
          <w:p>
            <w:pPr>
              <w:widowControl/>
              <w:jc w:val="left"/>
              <w:rPr>
                <w:rFonts w:ascii="Arial" w:hAnsi="Arial" w:cs="Arial"/>
                <w:color w:val="000000"/>
                <w:kern w:val="0"/>
                <w:sz w:val="20"/>
              </w:rPr>
            </w:pPr>
          </w:p>
        </w:tc>
        <w:tc>
          <w:tcPr>
            <w:tcW w:w="2180" w:type="dxa"/>
            <w:tcBorders>
              <w:top w:val="nil"/>
              <w:left w:val="nil"/>
              <w:bottom w:val="nil"/>
              <w:right w:val="nil"/>
            </w:tcBorders>
            <w:noWrap/>
            <w:vAlign w:val="bottom"/>
          </w:tcPr>
          <w:p>
            <w:pPr>
              <w:keepNext w:val="0"/>
              <w:keepLines w:val="0"/>
              <w:widowControl/>
              <w:suppressLineNumbers w:val="0"/>
              <w:jc w:val="right"/>
              <w:textAlignment w:val="bottom"/>
              <w:rPr>
                <w:rFonts w:ascii="宋体" w:hAnsi="宋体" w:cs="Arial"/>
                <w:color w:val="000000"/>
                <w:kern w:val="0"/>
                <w:sz w:val="20"/>
              </w:rPr>
            </w:pPr>
            <w:r>
              <w:rPr>
                <w:rFonts w:hint="eastAsia" w:ascii="宋体" w:hAnsi="宋体" w:eastAsia="宋体" w:cs="宋体"/>
                <w:i w:val="0"/>
                <w:color w:val="000000"/>
                <w:kern w:val="0"/>
                <w:sz w:val="20"/>
                <w:szCs w:val="20"/>
                <w:u w:val="none"/>
                <w:lang w:val="en-US" w:eastAsia="zh-CN" w:bidi="ar"/>
              </w:rPr>
              <w:t>单位：台、量、套</w:t>
            </w:r>
          </w:p>
        </w:tc>
      </w:tr>
      <w:tr>
        <w:tblPrEx>
          <w:tblCellMar>
            <w:top w:w="0" w:type="dxa"/>
            <w:left w:w="108" w:type="dxa"/>
            <w:bottom w:w="0" w:type="dxa"/>
            <w:right w:w="108" w:type="dxa"/>
          </w:tblCellMar>
        </w:tblPrEx>
        <w:trPr>
          <w:trHeight w:val="255" w:hRule="atLeast"/>
        </w:trPr>
        <w:tc>
          <w:tcPr>
            <w:tcW w:w="5320" w:type="dxa"/>
            <w:tcBorders>
              <w:top w:val="nil"/>
              <w:left w:val="nil"/>
              <w:bottom w:val="nil"/>
              <w:right w:val="nil"/>
            </w:tcBorders>
            <w:noWrap/>
            <w:vAlign w:val="bottom"/>
          </w:tcPr>
          <w:p>
            <w:pPr>
              <w:widowControl/>
              <w:jc w:val="left"/>
              <w:rPr>
                <w:rFonts w:hint="eastAsia" w:ascii="宋体" w:hAnsi="宋体" w:eastAsia="宋体" w:cs="Arial"/>
                <w:color w:val="000000"/>
                <w:kern w:val="0"/>
                <w:sz w:val="20"/>
                <w:lang w:eastAsia="zh-CN"/>
              </w:rPr>
            </w:pPr>
            <w:r>
              <w:rPr>
                <w:rFonts w:hint="eastAsia" w:ascii="宋体" w:hAnsi="宋体" w:cs="Arial"/>
                <w:color w:val="000000"/>
                <w:kern w:val="0"/>
                <w:sz w:val="20"/>
              </w:rPr>
              <w:t>编制单位：兴国县</w:t>
            </w:r>
            <w:r>
              <w:rPr>
                <w:rFonts w:hint="eastAsia" w:ascii="宋体" w:hAnsi="宋体" w:eastAsia="宋体" w:cs="宋体"/>
                <w:i w:val="0"/>
                <w:iCs w:val="0"/>
                <w:color w:val="000000"/>
                <w:kern w:val="0"/>
                <w:sz w:val="20"/>
                <w:szCs w:val="20"/>
                <w:u w:val="none"/>
                <w:lang w:val="en-US" w:eastAsia="zh-CN" w:bidi="ar"/>
              </w:rPr>
              <w:t>兴国县皮肤病防治所</w:t>
            </w:r>
          </w:p>
        </w:tc>
        <w:tc>
          <w:tcPr>
            <w:tcW w:w="680" w:type="dxa"/>
            <w:tcBorders>
              <w:top w:val="nil"/>
              <w:left w:val="nil"/>
              <w:bottom w:val="nil"/>
              <w:right w:val="nil"/>
            </w:tcBorders>
            <w:noWrap/>
            <w:vAlign w:val="bottom"/>
          </w:tcPr>
          <w:p>
            <w:pPr>
              <w:widowControl/>
              <w:jc w:val="center"/>
              <w:rPr>
                <w:rFonts w:ascii="宋体" w:hAnsi="宋体" w:cs="Arial"/>
                <w:color w:val="000000"/>
                <w:kern w:val="0"/>
                <w:sz w:val="20"/>
              </w:rPr>
            </w:pPr>
            <w:r>
              <w:rPr>
                <w:rFonts w:hint="eastAsia" w:ascii="宋体" w:hAnsi="宋体" w:cs="Arial"/>
                <w:color w:val="000000"/>
                <w:kern w:val="0"/>
                <w:sz w:val="20"/>
              </w:rPr>
              <w:t>20</w:t>
            </w:r>
            <w:r>
              <w:rPr>
                <w:rFonts w:hint="eastAsia" w:ascii="宋体" w:hAnsi="宋体" w:cs="Arial"/>
                <w:color w:val="000000"/>
                <w:kern w:val="0"/>
                <w:sz w:val="20"/>
                <w:lang w:val="en-US" w:eastAsia="zh-CN"/>
              </w:rPr>
              <w:t>20</w:t>
            </w:r>
            <w:r>
              <w:rPr>
                <w:rFonts w:hint="eastAsia" w:ascii="宋体" w:hAnsi="宋体" w:cs="Arial"/>
                <w:color w:val="000000"/>
                <w:kern w:val="0"/>
                <w:sz w:val="20"/>
              </w:rPr>
              <w:t>年度</w:t>
            </w:r>
          </w:p>
        </w:tc>
        <w:tc>
          <w:tcPr>
            <w:tcW w:w="2180" w:type="dxa"/>
            <w:tcBorders>
              <w:top w:val="nil"/>
              <w:left w:val="nil"/>
              <w:bottom w:val="nil"/>
              <w:right w:val="nil"/>
            </w:tcBorders>
            <w:noWrap/>
            <w:vAlign w:val="bottom"/>
          </w:tcPr>
          <w:p>
            <w:pPr>
              <w:keepNext w:val="0"/>
              <w:keepLines w:val="0"/>
              <w:widowControl/>
              <w:suppressLineNumbers w:val="0"/>
              <w:jc w:val="right"/>
              <w:textAlignment w:val="bottom"/>
              <w:rPr>
                <w:rFonts w:ascii="宋体" w:hAnsi="宋体" w:cs="Arial"/>
                <w:color w:val="000000"/>
                <w:kern w:val="0"/>
                <w:sz w:val="20"/>
              </w:rPr>
            </w:pPr>
            <w:r>
              <w:rPr>
                <w:rFonts w:hint="eastAsia" w:ascii="宋体" w:hAnsi="宋体" w:eastAsia="宋体" w:cs="宋体"/>
                <w:i w:val="0"/>
                <w:color w:val="000000"/>
                <w:kern w:val="0"/>
                <w:sz w:val="20"/>
                <w:szCs w:val="20"/>
                <w:u w:val="none"/>
                <w:lang w:val="en-US" w:eastAsia="zh-CN" w:bidi="ar"/>
              </w:rPr>
              <w:t>公开10表</w:t>
            </w:r>
          </w:p>
        </w:tc>
      </w:tr>
      <w:tr>
        <w:tblPrEx>
          <w:tblCellMar>
            <w:top w:w="0" w:type="dxa"/>
            <w:left w:w="108" w:type="dxa"/>
            <w:bottom w:w="0" w:type="dxa"/>
            <w:right w:w="108" w:type="dxa"/>
          </w:tblCellMar>
        </w:tblPrEx>
        <w:trPr>
          <w:trHeight w:val="308" w:hRule="atLeast"/>
        </w:trPr>
        <w:tc>
          <w:tcPr>
            <w:tcW w:w="5320"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color w:val="000000"/>
                <w:kern w:val="0"/>
                <w:sz w:val="22"/>
                <w:szCs w:val="22"/>
                <w:u w:val="none"/>
                <w:lang w:val="en-US" w:eastAsia="zh-CN" w:bidi="ar"/>
              </w:rPr>
              <w:t>项  目</w:t>
            </w:r>
          </w:p>
        </w:tc>
        <w:tc>
          <w:tcPr>
            <w:tcW w:w="680"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color w:val="000000"/>
                <w:kern w:val="0"/>
                <w:sz w:val="22"/>
                <w:szCs w:val="22"/>
                <w:u w:val="none"/>
                <w:lang w:val="en-US" w:eastAsia="zh-CN" w:bidi="ar"/>
              </w:rPr>
              <w:t>栏次</w:t>
            </w:r>
          </w:p>
        </w:tc>
        <w:tc>
          <w:tcPr>
            <w:tcW w:w="2180"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color w:val="000000"/>
                <w:kern w:val="0"/>
                <w:sz w:val="22"/>
                <w:szCs w:val="22"/>
                <w:u w:val="none"/>
                <w:lang w:val="en-US" w:eastAsia="zh-CN" w:bidi="ar"/>
              </w:rPr>
              <w:t>决算数</w:t>
            </w:r>
          </w:p>
        </w:tc>
      </w:tr>
      <w:tr>
        <w:tblPrEx>
          <w:tblCellMar>
            <w:top w:w="0" w:type="dxa"/>
            <w:left w:w="108" w:type="dxa"/>
            <w:bottom w:w="0" w:type="dxa"/>
            <w:right w:w="108" w:type="dxa"/>
          </w:tblCellMar>
        </w:tblPrEx>
        <w:trPr>
          <w:trHeight w:val="308" w:hRule="atLeast"/>
        </w:trPr>
        <w:tc>
          <w:tcPr>
            <w:tcW w:w="5320"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color w:val="000000"/>
                <w:kern w:val="0"/>
                <w:sz w:val="22"/>
                <w:szCs w:val="22"/>
                <w:u w:val="none"/>
                <w:lang w:val="en-US" w:eastAsia="zh-CN" w:bidi="ar"/>
              </w:rPr>
              <w:t>一、车辆数合计(台、辆)</w:t>
            </w:r>
          </w:p>
        </w:tc>
        <w:tc>
          <w:tcPr>
            <w:tcW w:w="680"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color w:val="000000"/>
                <w:kern w:val="0"/>
                <w:sz w:val="22"/>
                <w:szCs w:val="22"/>
                <w:u w:val="none"/>
                <w:lang w:val="en-US" w:eastAsia="zh-CN" w:bidi="ar"/>
              </w:rPr>
              <w:t>1</w:t>
            </w:r>
          </w:p>
        </w:tc>
        <w:tc>
          <w:tcPr>
            <w:tcW w:w="2180"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right"/>
              <w:textAlignment w:val="center"/>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5320"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color w:val="000000"/>
                <w:kern w:val="0"/>
                <w:sz w:val="22"/>
                <w:szCs w:val="22"/>
                <w:u w:val="none"/>
                <w:lang w:val="en-US" w:eastAsia="zh-CN" w:bidi="ar"/>
              </w:rPr>
              <w:t xml:space="preserve">  1.副部（省）级及以上领导用车</w:t>
            </w:r>
          </w:p>
        </w:tc>
        <w:tc>
          <w:tcPr>
            <w:tcW w:w="680"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color w:val="000000"/>
                <w:kern w:val="0"/>
                <w:sz w:val="22"/>
                <w:szCs w:val="22"/>
                <w:u w:val="none"/>
                <w:lang w:val="en-US" w:eastAsia="zh-CN" w:bidi="ar"/>
              </w:rPr>
              <w:t>2</w:t>
            </w:r>
          </w:p>
        </w:tc>
        <w:tc>
          <w:tcPr>
            <w:tcW w:w="2180"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right"/>
              <w:textAlignment w:val="center"/>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5320"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color w:val="000000"/>
                <w:kern w:val="0"/>
                <w:sz w:val="22"/>
                <w:szCs w:val="22"/>
                <w:u w:val="none"/>
                <w:lang w:val="en-US" w:eastAsia="zh-CN" w:bidi="ar"/>
              </w:rPr>
              <w:t xml:space="preserve">  2.主要领导干部用车</w:t>
            </w:r>
          </w:p>
        </w:tc>
        <w:tc>
          <w:tcPr>
            <w:tcW w:w="680"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color w:val="000000"/>
                <w:kern w:val="0"/>
                <w:sz w:val="22"/>
                <w:szCs w:val="22"/>
                <w:u w:val="none"/>
                <w:lang w:val="en-US" w:eastAsia="zh-CN" w:bidi="ar"/>
              </w:rPr>
              <w:t>3</w:t>
            </w:r>
          </w:p>
        </w:tc>
        <w:tc>
          <w:tcPr>
            <w:tcW w:w="2180"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right"/>
              <w:textAlignment w:val="center"/>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5320"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color w:val="000000"/>
                <w:kern w:val="0"/>
                <w:sz w:val="22"/>
                <w:szCs w:val="22"/>
                <w:u w:val="none"/>
                <w:lang w:val="en-US" w:eastAsia="zh-CN" w:bidi="ar"/>
              </w:rPr>
              <w:t xml:space="preserve">  3.机要通信用车</w:t>
            </w:r>
          </w:p>
        </w:tc>
        <w:tc>
          <w:tcPr>
            <w:tcW w:w="680"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color w:val="000000"/>
                <w:kern w:val="0"/>
                <w:sz w:val="22"/>
                <w:szCs w:val="22"/>
                <w:u w:val="none"/>
                <w:lang w:val="en-US" w:eastAsia="zh-CN" w:bidi="ar"/>
              </w:rPr>
              <w:t>4</w:t>
            </w:r>
          </w:p>
        </w:tc>
        <w:tc>
          <w:tcPr>
            <w:tcW w:w="2180"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right"/>
              <w:textAlignment w:val="center"/>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5320"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color w:val="000000"/>
                <w:kern w:val="0"/>
                <w:sz w:val="22"/>
                <w:szCs w:val="22"/>
                <w:u w:val="none"/>
                <w:lang w:val="en-US" w:eastAsia="zh-CN" w:bidi="ar"/>
              </w:rPr>
              <w:t xml:space="preserve">  4.应急保障用车</w:t>
            </w:r>
          </w:p>
        </w:tc>
        <w:tc>
          <w:tcPr>
            <w:tcW w:w="680"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color w:val="000000"/>
                <w:kern w:val="0"/>
                <w:sz w:val="22"/>
                <w:szCs w:val="22"/>
                <w:u w:val="none"/>
                <w:lang w:val="en-US" w:eastAsia="zh-CN" w:bidi="ar"/>
              </w:rPr>
              <w:t>5</w:t>
            </w:r>
          </w:p>
        </w:tc>
        <w:tc>
          <w:tcPr>
            <w:tcW w:w="2180"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right"/>
              <w:textAlignment w:val="center"/>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5320"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color w:val="000000"/>
                <w:kern w:val="0"/>
                <w:sz w:val="22"/>
                <w:szCs w:val="22"/>
                <w:u w:val="none"/>
                <w:lang w:val="en-US" w:eastAsia="zh-CN" w:bidi="ar"/>
              </w:rPr>
              <w:t xml:space="preserve">  5.执法执勤用车</w:t>
            </w:r>
          </w:p>
        </w:tc>
        <w:tc>
          <w:tcPr>
            <w:tcW w:w="680"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color w:val="000000"/>
                <w:kern w:val="0"/>
                <w:sz w:val="22"/>
                <w:szCs w:val="22"/>
                <w:u w:val="none"/>
                <w:lang w:val="en-US" w:eastAsia="zh-CN" w:bidi="ar"/>
              </w:rPr>
              <w:t>6</w:t>
            </w:r>
          </w:p>
        </w:tc>
        <w:tc>
          <w:tcPr>
            <w:tcW w:w="2180"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right"/>
              <w:textAlignment w:val="center"/>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5320"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color w:val="000000"/>
                <w:kern w:val="0"/>
                <w:sz w:val="22"/>
                <w:szCs w:val="22"/>
                <w:u w:val="none"/>
                <w:lang w:val="en-US" w:eastAsia="zh-CN" w:bidi="ar"/>
              </w:rPr>
              <w:t xml:space="preserve">  6.特种专业技术用车</w:t>
            </w:r>
          </w:p>
        </w:tc>
        <w:tc>
          <w:tcPr>
            <w:tcW w:w="680"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color w:val="000000"/>
                <w:kern w:val="0"/>
                <w:sz w:val="22"/>
                <w:szCs w:val="22"/>
                <w:u w:val="none"/>
                <w:lang w:val="en-US" w:eastAsia="zh-CN" w:bidi="ar"/>
              </w:rPr>
              <w:t>7</w:t>
            </w:r>
          </w:p>
        </w:tc>
        <w:tc>
          <w:tcPr>
            <w:tcW w:w="2180"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right"/>
              <w:textAlignment w:val="center"/>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5320"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color w:val="000000"/>
                <w:kern w:val="0"/>
                <w:sz w:val="22"/>
                <w:szCs w:val="22"/>
                <w:u w:val="none"/>
                <w:lang w:val="en-US" w:eastAsia="zh-CN" w:bidi="ar"/>
              </w:rPr>
              <w:t xml:space="preserve">  7.离退休干部用车</w:t>
            </w:r>
          </w:p>
        </w:tc>
        <w:tc>
          <w:tcPr>
            <w:tcW w:w="680"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color w:val="000000"/>
                <w:kern w:val="0"/>
                <w:sz w:val="22"/>
                <w:szCs w:val="22"/>
                <w:u w:val="none"/>
                <w:lang w:val="en-US" w:eastAsia="zh-CN" w:bidi="ar"/>
              </w:rPr>
              <w:t>8</w:t>
            </w:r>
          </w:p>
        </w:tc>
        <w:tc>
          <w:tcPr>
            <w:tcW w:w="2180"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right"/>
              <w:textAlignment w:val="center"/>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5320"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color w:val="000000"/>
                <w:kern w:val="0"/>
                <w:sz w:val="22"/>
                <w:szCs w:val="22"/>
                <w:u w:val="none"/>
                <w:lang w:val="en-US" w:eastAsia="zh-CN" w:bidi="ar"/>
              </w:rPr>
              <w:t xml:space="preserve">  8.其他用车</w:t>
            </w:r>
          </w:p>
        </w:tc>
        <w:tc>
          <w:tcPr>
            <w:tcW w:w="680"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color w:val="000000"/>
                <w:kern w:val="0"/>
                <w:sz w:val="22"/>
                <w:szCs w:val="22"/>
                <w:u w:val="none"/>
                <w:lang w:val="en-US" w:eastAsia="zh-CN" w:bidi="ar"/>
              </w:rPr>
              <w:t>9</w:t>
            </w:r>
          </w:p>
        </w:tc>
        <w:tc>
          <w:tcPr>
            <w:tcW w:w="2180"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right"/>
              <w:textAlignment w:val="center"/>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5320"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color w:val="000000"/>
                <w:kern w:val="0"/>
                <w:sz w:val="22"/>
                <w:szCs w:val="22"/>
                <w:u w:val="none"/>
                <w:lang w:val="en-US" w:eastAsia="zh-CN" w:bidi="ar"/>
              </w:rPr>
              <w:t>二、单价50万元（含）以上通用设备（台，套）</w:t>
            </w:r>
          </w:p>
        </w:tc>
        <w:tc>
          <w:tcPr>
            <w:tcW w:w="680"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color w:val="000000"/>
                <w:kern w:val="0"/>
                <w:sz w:val="22"/>
                <w:szCs w:val="22"/>
                <w:u w:val="none"/>
                <w:lang w:val="en-US" w:eastAsia="zh-CN" w:bidi="ar"/>
              </w:rPr>
              <w:t>10</w:t>
            </w:r>
          </w:p>
        </w:tc>
        <w:tc>
          <w:tcPr>
            <w:tcW w:w="2180"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right"/>
              <w:textAlignment w:val="center"/>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5320"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color w:val="000000"/>
                <w:kern w:val="0"/>
                <w:sz w:val="22"/>
                <w:szCs w:val="22"/>
                <w:u w:val="none"/>
                <w:lang w:val="en-US" w:eastAsia="zh-CN" w:bidi="ar"/>
              </w:rPr>
              <w:t>三、单价100万元（含）以上专用设备（台，套）</w:t>
            </w:r>
          </w:p>
        </w:tc>
        <w:tc>
          <w:tcPr>
            <w:tcW w:w="680"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color w:val="000000"/>
                <w:kern w:val="0"/>
                <w:sz w:val="22"/>
                <w:szCs w:val="22"/>
                <w:u w:val="none"/>
                <w:lang w:val="en-US" w:eastAsia="zh-CN" w:bidi="ar"/>
              </w:rPr>
              <w:t>11</w:t>
            </w:r>
          </w:p>
        </w:tc>
        <w:tc>
          <w:tcPr>
            <w:tcW w:w="2180" w:type="dxa"/>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right"/>
              <w:textAlignment w:val="center"/>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8180" w:type="dxa"/>
            <w:gridSpan w:val="3"/>
            <w:tcBorders>
              <w:top w:val="nil"/>
              <w:left w:val="nil"/>
              <w:bottom w:val="nil"/>
              <w:right w:val="nil"/>
            </w:tcBorders>
            <w:noWrap/>
            <w:vAlign w:val="center"/>
          </w:tcPr>
          <w:p>
            <w:pPr>
              <w:widowControl/>
              <w:jc w:val="left"/>
              <w:rPr>
                <w:rFonts w:ascii="宋体" w:hAnsi="宋体" w:cs="Arial"/>
                <w:color w:val="000000"/>
                <w:kern w:val="0"/>
                <w:sz w:val="20"/>
              </w:rPr>
            </w:pPr>
            <w:r>
              <w:rPr>
                <w:rFonts w:hint="eastAsia" w:ascii="宋体" w:hAnsi="宋体" w:cs="Arial"/>
                <w:color w:val="000000"/>
                <w:kern w:val="0"/>
                <w:sz w:val="20"/>
              </w:rPr>
              <w:t>注：本表反映截止20</w:t>
            </w:r>
            <w:r>
              <w:rPr>
                <w:rFonts w:hint="eastAsia" w:ascii="宋体" w:hAnsi="宋体" w:cs="Arial"/>
                <w:color w:val="000000"/>
                <w:kern w:val="0"/>
                <w:sz w:val="20"/>
                <w:lang w:val="en-US" w:eastAsia="zh-CN"/>
              </w:rPr>
              <w:t>20</w:t>
            </w:r>
            <w:r>
              <w:rPr>
                <w:rFonts w:hint="eastAsia" w:ascii="宋体" w:hAnsi="宋体" w:cs="Arial"/>
                <w:color w:val="000000"/>
                <w:kern w:val="0"/>
                <w:sz w:val="20"/>
              </w:rPr>
              <w:t>年12月31日，部门占用的国有资产情况。</w:t>
            </w:r>
          </w:p>
        </w:tc>
      </w:tr>
    </w:tbl>
    <w:p>
      <w:pPr>
        <w:pStyle w:val="2"/>
        <w:spacing w:before="216"/>
        <w:ind w:left="0" w:right="138"/>
        <w:jc w:val="both"/>
        <w:rPr>
          <w:rFonts w:hint="default"/>
          <w:lang w:val="en-US" w:eastAsia="zh-CN"/>
        </w:rPr>
      </w:pPr>
    </w:p>
    <w:p>
      <w:pPr>
        <w:pStyle w:val="2"/>
        <w:spacing w:before="216"/>
        <w:ind w:left="0" w:right="138"/>
        <w:jc w:val="both"/>
        <w:sectPr>
          <w:pgSz w:w="11910" w:h="16840"/>
          <w:pgMar w:top="992" w:right="567" w:bottom="595" w:left="850" w:header="0" w:footer="975" w:gutter="0"/>
          <w:cols w:space="720" w:num="1"/>
        </w:sectPr>
      </w:pPr>
    </w:p>
    <w:p>
      <w:pPr>
        <w:pStyle w:val="4"/>
        <w:tabs>
          <w:tab w:val="left" w:pos="2005"/>
        </w:tabs>
        <w:spacing w:before="215"/>
        <w:ind w:left="0" w:leftChars="0" w:firstLine="3012" w:firstLineChars="1000"/>
        <w:jc w:val="both"/>
        <w:rPr>
          <w:rFonts w:hint="eastAsia" w:ascii="宋体" w:eastAsia="宋体"/>
        </w:rPr>
      </w:pPr>
    </w:p>
    <w:p>
      <w:pPr>
        <w:pStyle w:val="4"/>
        <w:tabs>
          <w:tab w:val="left" w:pos="2005"/>
        </w:tabs>
        <w:spacing w:before="215"/>
        <w:ind w:left="0" w:leftChars="0" w:firstLine="3012" w:firstLineChars="1000"/>
        <w:jc w:val="both"/>
        <w:rPr>
          <w:rFonts w:hint="eastAsia" w:ascii="宋体" w:eastAsia="宋体"/>
        </w:rPr>
      </w:pPr>
    </w:p>
    <w:p>
      <w:pPr>
        <w:pStyle w:val="4"/>
        <w:tabs>
          <w:tab w:val="left" w:pos="2005"/>
        </w:tabs>
        <w:spacing w:before="215"/>
        <w:ind w:left="0" w:leftChars="0" w:firstLine="3012" w:firstLineChars="1000"/>
        <w:jc w:val="both"/>
        <w:rPr>
          <w:rFonts w:hint="eastAsia" w:ascii="宋体" w:eastAsia="宋体"/>
        </w:rPr>
      </w:pPr>
    </w:p>
    <w:p>
      <w:pPr>
        <w:pStyle w:val="4"/>
        <w:tabs>
          <w:tab w:val="left" w:pos="2005"/>
        </w:tabs>
        <w:spacing w:before="215"/>
        <w:ind w:left="0" w:leftChars="0" w:firstLine="3012" w:firstLineChars="1000"/>
        <w:jc w:val="both"/>
        <w:rPr>
          <w:rFonts w:hint="eastAsia" w:ascii="宋体" w:eastAsia="宋体"/>
        </w:rPr>
      </w:pPr>
    </w:p>
    <w:p>
      <w:pPr>
        <w:pStyle w:val="4"/>
        <w:tabs>
          <w:tab w:val="left" w:pos="2005"/>
        </w:tabs>
        <w:spacing w:before="215"/>
        <w:ind w:left="0" w:leftChars="0" w:firstLine="3012" w:firstLineChars="1000"/>
        <w:jc w:val="both"/>
        <w:rPr>
          <w:rFonts w:hint="eastAsia" w:ascii="宋体" w:eastAsia="宋体"/>
        </w:rPr>
      </w:pPr>
    </w:p>
    <w:p>
      <w:pPr>
        <w:pStyle w:val="4"/>
        <w:tabs>
          <w:tab w:val="left" w:pos="2005"/>
        </w:tabs>
        <w:spacing w:before="215"/>
        <w:ind w:left="0" w:leftChars="0" w:firstLine="3012" w:firstLineChars="1000"/>
        <w:jc w:val="both"/>
        <w:rPr>
          <w:rFonts w:hint="eastAsia" w:ascii="宋体" w:eastAsia="宋体"/>
        </w:rPr>
      </w:pPr>
    </w:p>
    <w:p>
      <w:pPr>
        <w:pStyle w:val="4"/>
        <w:tabs>
          <w:tab w:val="left" w:pos="2005"/>
        </w:tabs>
        <w:spacing w:before="215"/>
        <w:ind w:left="0" w:leftChars="0" w:firstLine="3012" w:firstLineChars="1000"/>
        <w:jc w:val="both"/>
        <w:rPr>
          <w:rFonts w:hint="eastAsia" w:ascii="宋体" w:eastAsia="宋体"/>
        </w:rPr>
      </w:pPr>
    </w:p>
    <w:p>
      <w:pPr>
        <w:pStyle w:val="4"/>
        <w:tabs>
          <w:tab w:val="left" w:pos="2005"/>
        </w:tabs>
        <w:spacing w:before="215"/>
        <w:ind w:left="0" w:leftChars="0" w:firstLine="3012" w:firstLineChars="1000"/>
        <w:jc w:val="both"/>
        <w:rPr>
          <w:rFonts w:hint="eastAsia" w:ascii="宋体" w:eastAsia="宋体"/>
        </w:rPr>
      </w:pPr>
    </w:p>
    <w:p>
      <w:pPr>
        <w:pStyle w:val="4"/>
        <w:tabs>
          <w:tab w:val="left" w:pos="2005"/>
        </w:tabs>
        <w:spacing w:before="215"/>
        <w:ind w:left="0" w:leftChars="0" w:firstLine="3012" w:firstLineChars="1000"/>
        <w:jc w:val="both"/>
        <w:rPr>
          <w:rFonts w:hint="eastAsia" w:ascii="宋体" w:eastAsia="宋体"/>
        </w:rPr>
      </w:pPr>
    </w:p>
    <w:p>
      <w:pPr>
        <w:pStyle w:val="4"/>
        <w:tabs>
          <w:tab w:val="left" w:pos="2005"/>
        </w:tabs>
        <w:spacing w:before="215"/>
        <w:ind w:left="0" w:leftChars="0" w:firstLine="3012" w:firstLineChars="1000"/>
        <w:jc w:val="both"/>
        <w:rPr>
          <w:rFonts w:hint="eastAsia" w:ascii="宋体" w:eastAsia="宋体"/>
        </w:rPr>
      </w:pPr>
    </w:p>
    <w:p>
      <w:pPr>
        <w:pStyle w:val="4"/>
        <w:tabs>
          <w:tab w:val="left" w:pos="2005"/>
        </w:tabs>
        <w:spacing w:before="215"/>
        <w:ind w:left="0" w:leftChars="0" w:firstLine="3012" w:firstLineChars="1000"/>
        <w:jc w:val="both"/>
        <w:rPr>
          <w:rFonts w:hint="eastAsia" w:ascii="宋体" w:eastAsia="宋体"/>
        </w:rPr>
      </w:pPr>
    </w:p>
    <w:p>
      <w:pPr>
        <w:pStyle w:val="4"/>
        <w:tabs>
          <w:tab w:val="left" w:pos="2005"/>
        </w:tabs>
        <w:spacing w:before="215"/>
        <w:ind w:left="0" w:leftChars="0" w:firstLine="3012" w:firstLineChars="1000"/>
        <w:jc w:val="both"/>
        <w:rPr>
          <w:rFonts w:hint="eastAsia" w:ascii="宋体" w:eastAsia="宋体"/>
        </w:rPr>
      </w:pPr>
      <w:r>
        <w:rPr>
          <w:rFonts w:hint="eastAsia" w:ascii="宋体" w:eastAsia="宋体"/>
        </w:rPr>
        <w:t>第三部分</w:t>
      </w:r>
      <w:r>
        <w:rPr>
          <w:rFonts w:hint="eastAsia" w:ascii="宋体" w:eastAsia="宋体"/>
        </w:rPr>
        <w:tab/>
      </w:r>
      <w:r>
        <w:rPr>
          <w:rFonts w:hint="eastAsia" w:ascii="宋体" w:eastAsia="宋体"/>
        </w:rPr>
        <w:t>20</w:t>
      </w:r>
      <w:r>
        <w:rPr>
          <w:rFonts w:hint="eastAsia" w:ascii="宋体" w:eastAsia="宋体"/>
          <w:lang w:val="en-US" w:eastAsia="zh-CN"/>
        </w:rPr>
        <w:t>20</w:t>
      </w:r>
      <w:r>
        <w:rPr>
          <w:rFonts w:hint="eastAsia" w:ascii="宋体" w:eastAsia="宋体"/>
          <w:spacing w:val="-77"/>
        </w:rPr>
        <w:t xml:space="preserve"> </w:t>
      </w:r>
      <w:r>
        <w:rPr>
          <w:rFonts w:hint="eastAsia" w:ascii="宋体" w:eastAsia="宋体"/>
        </w:rPr>
        <w:t>年度部门决算情况说明</w:t>
      </w:r>
    </w:p>
    <w:p>
      <w:pPr>
        <w:pStyle w:val="2"/>
        <w:spacing w:before="216"/>
        <w:ind w:left="748"/>
        <w:rPr>
          <w:rFonts w:hint="eastAsia" w:ascii="黑体" w:eastAsia="黑体"/>
        </w:rPr>
      </w:pPr>
      <w:r>
        <w:rPr>
          <w:rFonts w:hint="eastAsia" w:ascii="黑体" w:eastAsia="黑体"/>
        </w:rPr>
        <w:t>一、收入决算情况说明</w:t>
      </w:r>
    </w:p>
    <w:p>
      <w:pPr>
        <w:pStyle w:val="2"/>
        <w:tabs>
          <w:tab w:val="left" w:pos="1619"/>
          <w:tab w:val="left" w:pos="4427"/>
          <w:tab w:val="left" w:pos="4799"/>
          <w:tab w:val="left" w:pos="7389"/>
        </w:tabs>
        <w:spacing w:before="215" w:line="374" w:lineRule="auto"/>
        <w:ind w:right="108" w:firstLine="628"/>
      </w:pPr>
      <w:r>
        <w:t>本部门</w:t>
      </w:r>
      <w:r>
        <w:rPr>
          <w:spacing w:val="-74"/>
        </w:rPr>
        <w:t xml:space="preserve"> </w:t>
      </w:r>
      <w:r>
        <w:t>20</w:t>
      </w:r>
      <w:r>
        <w:rPr>
          <w:rFonts w:hint="eastAsia"/>
          <w:lang w:val="en-US" w:eastAsia="zh-CN"/>
        </w:rPr>
        <w:t>20</w:t>
      </w:r>
      <w:r>
        <w:rPr>
          <w:spacing w:val="-77"/>
        </w:rPr>
        <w:t xml:space="preserve"> </w:t>
      </w:r>
      <w:r>
        <w:t>年度收入总计</w:t>
      </w:r>
      <w:r>
        <w:rPr>
          <w:rFonts w:hint="eastAsia"/>
          <w:lang w:val="en-US" w:eastAsia="zh-CN"/>
        </w:rPr>
        <w:t>296.9万</w:t>
      </w:r>
      <w:r>
        <w:t>元，其中年初结转和结余</w:t>
      </w:r>
      <w:r>
        <w:rPr>
          <w:rFonts w:hint="eastAsia"/>
          <w:lang w:val="en-US" w:eastAsia="zh-CN"/>
        </w:rPr>
        <w:t>0</w:t>
      </w:r>
      <w:r>
        <w:t>万元</w:t>
      </w:r>
      <w:r>
        <w:rPr>
          <w:spacing w:val="-15"/>
        </w:rPr>
        <w:t>，</w:t>
      </w:r>
      <w:r>
        <w:t>较</w:t>
      </w:r>
      <w:r>
        <w:rPr>
          <w:spacing w:val="-76"/>
        </w:rPr>
        <w:t xml:space="preserve"> </w:t>
      </w:r>
      <w:r>
        <w:t>20</w:t>
      </w:r>
      <w:r>
        <w:rPr>
          <w:rFonts w:hint="eastAsia"/>
          <w:lang w:val="en-US" w:eastAsia="zh-CN"/>
        </w:rPr>
        <w:t>19</w:t>
      </w:r>
      <w:r>
        <w:rPr>
          <w:spacing w:val="-75"/>
        </w:rPr>
        <w:t xml:space="preserve"> </w:t>
      </w:r>
      <w:r>
        <w:t>年</w:t>
      </w:r>
      <w:r>
        <w:rPr>
          <w:rFonts w:hint="eastAsia"/>
          <w:lang w:eastAsia="zh-CN"/>
        </w:rPr>
        <w:t>减少</w:t>
      </w:r>
      <w:r>
        <w:rPr>
          <w:rFonts w:hint="eastAsia"/>
          <w:spacing w:val="-15"/>
          <w:lang w:val="en-US" w:eastAsia="zh-CN"/>
        </w:rPr>
        <w:t>60.9万</w:t>
      </w:r>
      <w:r>
        <w:t>元</w:t>
      </w:r>
      <w:r>
        <w:rPr>
          <w:spacing w:val="-12"/>
        </w:rPr>
        <w:t>，</w:t>
      </w:r>
      <w:r>
        <w:rPr>
          <w:rFonts w:hint="eastAsia"/>
          <w:spacing w:val="-12"/>
          <w:lang w:eastAsia="zh-CN"/>
        </w:rPr>
        <w:t>下降</w:t>
      </w:r>
      <w:r>
        <w:rPr>
          <w:rFonts w:hint="eastAsia"/>
          <w:spacing w:val="-12"/>
          <w:lang w:val="en-US" w:eastAsia="zh-CN"/>
        </w:rPr>
        <w:t>17</w:t>
      </w:r>
      <w:r>
        <w:rPr>
          <w:spacing w:val="-9"/>
        </w:rPr>
        <w:t>%</w:t>
      </w:r>
      <w:r>
        <w:rPr>
          <w:rFonts w:hint="eastAsia"/>
          <w:spacing w:val="-9"/>
          <w:lang w:eastAsia="zh-CN"/>
        </w:rPr>
        <w:t>。</w:t>
      </w:r>
      <w:r>
        <w:t xml:space="preserve"> 主要原因是</w:t>
      </w:r>
      <w:r>
        <w:rPr>
          <w:rFonts w:hint="eastAsia"/>
          <w:lang w:eastAsia="zh-CN"/>
        </w:rPr>
        <w:t>：因疫情和医保政策的调整使业务</w:t>
      </w:r>
      <w:r>
        <w:rPr>
          <w:rFonts w:hint="eastAsia"/>
          <w:lang w:val="en-US" w:eastAsia="zh-CN"/>
        </w:rPr>
        <w:t>收入的负增长</w:t>
      </w:r>
      <w:r>
        <w:t>。</w:t>
      </w:r>
    </w:p>
    <w:p>
      <w:pPr>
        <w:pStyle w:val="2"/>
        <w:spacing w:before="215"/>
        <w:ind w:firstLine="600" w:firstLineChars="200"/>
      </w:pPr>
      <w:r>
        <w:t>本年收入的具体构成为：财政拨款收入</w:t>
      </w:r>
      <w:r>
        <w:rPr>
          <w:rFonts w:hint="eastAsia"/>
          <w:lang w:val="en-US" w:eastAsia="zh-CN"/>
        </w:rPr>
        <w:t>74.69万</w:t>
      </w:r>
      <w:r>
        <w:t>元，占</w:t>
      </w:r>
      <w:r>
        <w:rPr>
          <w:rFonts w:hint="eastAsia"/>
          <w:lang w:val="en-US" w:eastAsia="zh-CN"/>
        </w:rPr>
        <w:t>25.1</w:t>
      </w:r>
      <w:r>
        <w:tab/>
      </w:r>
      <w:r>
        <w:t>%；事业收入</w:t>
      </w:r>
      <w:r>
        <w:rPr>
          <w:rFonts w:hint="eastAsia"/>
          <w:lang w:val="en-US" w:eastAsia="zh-CN"/>
        </w:rPr>
        <w:t>220.21万元</w:t>
      </w:r>
      <w:r>
        <w:t>元</w:t>
      </w:r>
      <w:r>
        <w:rPr>
          <w:spacing w:val="-135"/>
        </w:rPr>
        <w:t>，</w:t>
      </w:r>
      <w:r>
        <w:t>占</w:t>
      </w:r>
      <w:r>
        <w:rPr>
          <w:rFonts w:hint="eastAsia"/>
          <w:lang w:val="en-US" w:eastAsia="zh-CN"/>
        </w:rPr>
        <w:t>74.9</w:t>
      </w:r>
      <w:r>
        <w:rPr>
          <w:spacing w:val="-2"/>
        </w:rPr>
        <w:t>%</w:t>
      </w:r>
      <w:r>
        <w:rPr>
          <w:spacing w:val="-135"/>
        </w:rPr>
        <w:t>；</w:t>
      </w:r>
      <w:r>
        <w:t>经营收入</w:t>
      </w:r>
      <w:r>
        <w:tab/>
      </w:r>
      <w:r>
        <w:rPr>
          <w:rFonts w:hint="eastAsia"/>
          <w:lang w:val="en-US" w:eastAsia="zh-CN"/>
        </w:rPr>
        <w:t>0</w:t>
      </w:r>
      <w:r>
        <w:t>万元</w:t>
      </w:r>
      <w:r>
        <w:rPr>
          <w:spacing w:val="-137"/>
        </w:rPr>
        <w:t>，</w:t>
      </w:r>
      <w:r>
        <w:t>占</w:t>
      </w:r>
      <w:r>
        <w:rPr>
          <w:rFonts w:hint="eastAsia"/>
          <w:lang w:val="en-US" w:eastAsia="zh-CN"/>
        </w:rPr>
        <w:t>0</w:t>
      </w:r>
      <w:r>
        <w:tab/>
      </w:r>
      <w:r>
        <w:rPr>
          <w:w w:val="7"/>
        </w:rPr>
        <w:t xml:space="preserve"> </w:t>
      </w:r>
      <w:r>
        <w:rPr>
          <w:spacing w:val="1"/>
        </w:rPr>
        <w:t>%</w:t>
      </w:r>
      <w:r>
        <w:rPr>
          <w:spacing w:val="-137"/>
        </w:rPr>
        <w:t>；</w:t>
      </w:r>
      <w:r>
        <w:t>其他收入</w:t>
      </w:r>
      <w:r>
        <w:rPr>
          <w:rFonts w:hint="eastAsia"/>
          <w:lang w:val="en-US" w:eastAsia="zh-CN"/>
        </w:rPr>
        <w:t>0 万元</w:t>
      </w:r>
      <w:r>
        <w:t>，占</w:t>
      </w:r>
      <w:r>
        <w:rPr>
          <w:rFonts w:hint="eastAsia"/>
          <w:lang w:val="en-US" w:eastAsia="zh-CN"/>
        </w:rPr>
        <w:t>0</w:t>
      </w:r>
      <w:r>
        <w:t xml:space="preserve"> %。</w:t>
      </w:r>
    </w:p>
    <w:p>
      <w:pPr>
        <w:pStyle w:val="2"/>
        <w:spacing w:before="215"/>
        <w:ind w:left="748"/>
        <w:rPr>
          <w:rFonts w:hint="eastAsia" w:ascii="黑体" w:eastAsia="黑体"/>
        </w:rPr>
      </w:pPr>
      <w:r>
        <w:rPr>
          <w:rFonts w:hint="eastAsia" w:ascii="黑体" w:eastAsia="黑体"/>
        </w:rPr>
        <w:t>二、支出决算情况说明</w:t>
      </w:r>
    </w:p>
    <w:p>
      <w:pPr>
        <w:pStyle w:val="2"/>
        <w:spacing w:before="216" w:line="374" w:lineRule="auto"/>
        <w:ind w:right="261" w:firstLine="628"/>
        <w:jc w:val="both"/>
        <w:rPr>
          <w:rFonts w:hint="eastAsia"/>
          <w:spacing w:val="20"/>
          <w:lang w:eastAsia="zh-CN"/>
        </w:rPr>
      </w:pPr>
      <w:r>
        <w:rPr>
          <w:spacing w:val="-16"/>
        </w:rPr>
        <w:t xml:space="preserve">本部门 </w:t>
      </w:r>
      <w:r>
        <w:t>20</w:t>
      </w:r>
      <w:r>
        <w:rPr>
          <w:rFonts w:hint="eastAsia"/>
          <w:lang w:val="en-US" w:eastAsia="zh-CN"/>
        </w:rPr>
        <w:t>20</w:t>
      </w:r>
      <w:r>
        <w:rPr>
          <w:spacing w:val="-7"/>
        </w:rPr>
        <w:t xml:space="preserve">年度支出总计 </w:t>
      </w:r>
      <w:r>
        <w:rPr>
          <w:rFonts w:hint="eastAsia"/>
          <w:spacing w:val="-7"/>
          <w:lang w:val="en-US" w:eastAsia="zh-CN"/>
        </w:rPr>
        <w:t>334.62</w:t>
      </w:r>
      <w:r>
        <w:rPr>
          <w:spacing w:val="-7"/>
        </w:rPr>
        <w:t>万元，</w:t>
      </w:r>
      <w:r>
        <w:rPr>
          <w:spacing w:val="-22"/>
        </w:rPr>
        <w:t xml:space="preserve">较 </w:t>
      </w:r>
      <w:r>
        <w:t>201</w:t>
      </w:r>
      <w:r>
        <w:rPr>
          <w:rFonts w:hint="eastAsia"/>
          <w:lang w:val="en-US" w:eastAsia="zh-CN"/>
        </w:rPr>
        <w:t>9</w:t>
      </w:r>
      <w:r>
        <w:rPr>
          <w:spacing w:val="-24"/>
        </w:rPr>
        <w:t>年</w:t>
      </w:r>
      <w:r>
        <w:rPr>
          <w:rFonts w:hint="eastAsia"/>
          <w:spacing w:val="-24"/>
          <w:lang w:eastAsia="zh-CN"/>
        </w:rPr>
        <w:t>减少</w:t>
      </w:r>
      <w:r>
        <w:rPr>
          <w:rFonts w:hint="eastAsia"/>
          <w:spacing w:val="-24"/>
          <w:lang w:val="en-US" w:eastAsia="zh-CN"/>
        </w:rPr>
        <w:t>23.4</w:t>
      </w:r>
      <w:r>
        <w:rPr>
          <w:spacing w:val="18"/>
        </w:rPr>
        <w:t>万元，</w:t>
      </w:r>
      <w:r>
        <w:rPr>
          <w:rFonts w:hint="eastAsia"/>
          <w:spacing w:val="18"/>
          <w:lang w:eastAsia="zh-CN"/>
        </w:rPr>
        <w:t>下降</w:t>
      </w:r>
      <w:r>
        <w:rPr>
          <w:rFonts w:hint="eastAsia"/>
          <w:spacing w:val="18"/>
          <w:lang w:val="en-US" w:eastAsia="zh-CN"/>
        </w:rPr>
        <w:t>6.5</w:t>
      </w:r>
      <w:r>
        <w:rPr>
          <w:spacing w:val="20"/>
        </w:rPr>
        <w:t>%</w:t>
      </w:r>
      <w:r>
        <w:rPr>
          <w:rFonts w:hint="eastAsia"/>
          <w:spacing w:val="20"/>
          <w:lang w:eastAsia="zh-CN"/>
        </w:rPr>
        <w:t>，</w:t>
      </w:r>
      <w:r>
        <w:rPr>
          <w:spacing w:val="20"/>
        </w:rPr>
        <w:t>主要</w:t>
      </w:r>
      <w:r>
        <w:rPr>
          <w:rFonts w:hint="eastAsia"/>
          <w:spacing w:val="20"/>
        </w:rPr>
        <w:t>是人员费用和医疗成本的减少</w:t>
      </w:r>
      <w:r>
        <w:rPr>
          <w:rFonts w:hint="eastAsia"/>
          <w:spacing w:val="20"/>
          <w:lang w:eastAsia="zh-CN"/>
        </w:rPr>
        <w:t>。</w:t>
      </w:r>
    </w:p>
    <w:p>
      <w:pPr>
        <w:pStyle w:val="2"/>
        <w:spacing w:before="216" w:line="374" w:lineRule="auto"/>
        <w:ind w:right="261" w:firstLine="628"/>
        <w:jc w:val="both"/>
      </w:pPr>
      <w:r>
        <w:rPr>
          <w:spacing w:val="-19"/>
        </w:rPr>
        <w:t>年末结转和结余</w:t>
      </w:r>
      <w:r>
        <w:rPr>
          <w:rFonts w:hint="eastAsia"/>
          <w:spacing w:val="-19"/>
          <w:lang w:val="en-US" w:eastAsia="zh-CN"/>
        </w:rPr>
        <w:t>0</w:t>
      </w:r>
      <w:r>
        <w:rPr>
          <w:spacing w:val="-19"/>
        </w:rPr>
        <w:t xml:space="preserve">万元，较 </w:t>
      </w:r>
      <w:r>
        <w:t>201</w:t>
      </w:r>
      <w:r>
        <w:rPr>
          <w:rFonts w:hint="eastAsia"/>
          <w:lang w:val="en-US" w:eastAsia="zh-CN"/>
        </w:rPr>
        <w:t>9</w:t>
      </w:r>
      <w:r>
        <w:rPr>
          <w:spacing w:val="-35"/>
        </w:rPr>
        <w:t xml:space="preserve"> 年增加</w:t>
      </w:r>
      <w:r>
        <w:rPr>
          <w:spacing w:val="-3"/>
        </w:rPr>
        <w:t>（</w:t>
      </w:r>
      <w:r>
        <w:t>减少</w:t>
      </w:r>
      <w:r>
        <w:rPr>
          <w:spacing w:val="-13"/>
        </w:rPr>
        <w:t>）</w:t>
      </w:r>
      <w:r>
        <w:rPr>
          <w:rFonts w:hint="eastAsia"/>
          <w:spacing w:val="-13"/>
          <w:lang w:val="en-US" w:eastAsia="zh-CN"/>
        </w:rPr>
        <w:t>0</w:t>
      </w:r>
      <w:r>
        <w:t>万元，增长（下降）</w:t>
      </w:r>
      <w:r>
        <w:rPr>
          <w:rFonts w:hint="eastAsia"/>
          <w:lang w:val="en-US" w:eastAsia="zh-CN"/>
        </w:rPr>
        <w:t>0</w:t>
      </w:r>
      <w:r>
        <w:rPr>
          <w:spacing w:val="10"/>
        </w:rPr>
        <w:t>%。</w:t>
      </w:r>
    </w:p>
    <w:p>
      <w:pPr>
        <w:pStyle w:val="2"/>
        <w:spacing w:before="0" w:line="374" w:lineRule="auto"/>
        <w:ind w:right="257" w:firstLine="628"/>
        <w:jc w:val="both"/>
      </w:pPr>
      <w:r>
        <w:t>本年支出的具体构成为：基本支出</w:t>
      </w:r>
      <w:r>
        <w:rPr>
          <w:rFonts w:hint="eastAsia"/>
          <w:lang w:val="en-US" w:eastAsia="zh-CN"/>
        </w:rPr>
        <w:t>334.62</w:t>
      </w:r>
      <w:r>
        <w:t>万元</w:t>
      </w:r>
      <w:r>
        <w:rPr>
          <w:rFonts w:hint="eastAsia"/>
          <w:lang w:eastAsia="zh-CN"/>
        </w:rPr>
        <w:t>，</w:t>
      </w:r>
      <w:r>
        <w:t>占</w:t>
      </w:r>
      <w:r>
        <w:rPr>
          <w:rFonts w:hint="eastAsia"/>
          <w:lang w:val="en-US" w:eastAsia="zh-CN"/>
        </w:rPr>
        <w:t>100</w:t>
      </w:r>
      <w:r>
        <w:t>%；项目支出</w:t>
      </w:r>
      <w:r>
        <w:rPr>
          <w:rFonts w:hint="eastAsia"/>
          <w:lang w:val="en-US" w:eastAsia="zh-CN"/>
        </w:rPr>
        <w:t>0</w:t>
      </w:r>
      <w:r>
        <w:t xml:space="preserve"> 万元，占 </w:t>
      </w:r>
      <w:r>
        <w:rPr>
          <w:rFonts w:hint="eastAsia"/>
          <w:lang w:val="en-US" w:eastAsia="zh-CN"/>
        </w:rPr>
        <w:t>0</w:t>
      </w:r>
      <w:r>
        <w:t xml:space="preserve"> %；经营支出</w:t>
      </w:r>
      <w:r>
        <w:rPr>
          <w:rFonts w:hint="eastAsia"/>
          <w:lang w:val="en-US" w:eastAsia="zh-CN"/>
        </w:rPr>
        <w:t>0万</w:t>
      </w:r>
      <w:r>
        <w:t xml:space="preserve">元，占 </w:t>
      </w:r>
      <w:r>
        <w:rPr>
          <w:rFonts w:hint="eastAsia"/>
          <w:lang w:val="en-US" w:eastAsia="zh-CN"/>
        </w:rPr>
        <w:t>0</w:t>
      </w:r>
      <w:r>
        <w:t xml:space="preserve"> %；其他支出（对附属单位补助支出、上缴上级支出） </w:t>
      </w:r>
      <w:r>
        <w:rPr>
          <w:rFonts w:hint="eastAsia"/>
          <w:lang w:val="en-US" w:eastAsia="zh-CN"/>
        </w:rPr>
        <w:t>0</w:t>
      </w:r>
      <w:r>
        <w:t>万元，占</w:t>
      </w:r>
      <w:r>
        <w:rPr>
          <w:rFonts w:hint="eastAsia"/>
          <w:lang w:val="en-US" w:eastAsia="zh-CN"/>
        </w:rPr>
        <w:t>0</w:t>
      </w:r>
      <w:r>
        <w:t xml:space="preserve"> %。</w:t>
      </w:r>
    </w:p>
    <w:p>
      <w:pPr>
        <w:pStyle w:val="2"/>
        <w:spacing w:before="2"/>
        <w:ind w:left="748"/>
        <w:rPr>
          <w:rFonts w:hint="eastAsia" w:ascii="黑体" w:eastAsia="黑体"/>
        </w:rPr>
      </w:pPr>
      <w:r>
        <w:rPr>
          <w:rFonts w:hint="eastAsia" w:ascii="黑体" w:eastAsia="黑体"/>
        </w:rPr>
        <w:t>三、财政拨款支出决算情况说明</w:t>
      </w:r>
    </w:p>
    <w:p>
      <w:pPr>
        <w:pStyle w:val="2"/>
        <w:tabs>
          <w:tab w:val="left" w:pos="1619"/>
          <w:tab w:val="left" w:pos="4919"/>
          <w:tab w:val="left" w:pos="7648"/>
        </w:tabs>
        <w:spacing w:before="215" w:line="374" w:lineRule="auto"/>
        <w:ind w:right="135" w:firstLine="628"/>
      </w:pPr>
      <w:r>
        <w:t>本部门</w:t>
      </w:r>
      <w:r>
        <w:rPr>
          <w:spacing w:val="-74"/>
        </w:rPr>
        <w:t xml:space="preserve"> </w:t>
      </w:r>
      <w:r>
        <w:t>20</w:t>
      </w:r>
      <w:r>
        <w:rPr>
          <w:rFonts w:hint="eastAsia"/>
          <w:lang w:val="en-US" w:eastAsia="zh-CN"/>
        </w:rPr>
        <w:t>20</w:t>
      </w:r>
      <w:r>
        <w:t>年度财政拨款本年支出年初预算数为</w:t>
      </w:r>
      <w:r>
        <w:rPr>
          <w:rFonts w:hint="eastAsia"/>
          <w:lang w:val="en-US" w:eastAsia="zh-CN"/>
        </w:rPr>
        <w:t>74.69万</w:t>
      </w:r>
      <w:r>
        <w:t>元</w:t>
      </w:r>
      <w:r>
        <w:rPr>
          <w:spacing w:val="-17"/>
        </w:rPr>
        <w:t xml:space="preserve">， </w:t>
      </w:r>
      <w:r>
        <w:t>决算数为</w:t>
      </w:r>
      <w:r>
        <w:rPr>
          <w:rFonts w:hint="eastAsia"/>
          <w:lang w:val="en-US" w:eastAsia="zh-CN"/>
        </w:rPr>
        <w:t>74.69</w:t>
      </w:r>
      <w:r>
        <w:t>元，完成年初预算的</w:t>
      </w:r>
      <w:r>
        <w:rPr>
          <w:rFonts w:hint="eastAsia"/>
          <w:lang w:val="en-US" w:eastAsia="zh-CN"/>
        </w:rPr>
        <w:t>100</w:t>
      </w:r>
      <w:r>
        <w:t>%。</w:t>
      </w:r>
    </w:p>
    <w:p>
      <w:pPr>
        <w:pStyle w:val="2"/>
        <w:tabs>
          <w:tab w:val="left" w:pos="1619"/>
          <w:tab w:val="left" w:pos="4919"/>
          <w:tab w:val="left" w:pos="7648"/>
        </w:tabs>
        <w:spacing w:before="215" w:line="374" w:lineRule="auto"/>
        <w:ind w:right="135" w:firstLine="628"/>
      </w:pPr>
      <w:r>
        <w:t>其中：（一）一般公共服务支出年初预算数为</w:t>
      </w:r>
      <w:r>
        <w:rPr>
          <w:rFonts w:hint="eastAsia"/>
          <w:lang w:val="en-US" w:eastAsia="zh-CN"/>
        </w:rPr>
        <w:t>74.69万</w:t>
      </w:r>
      <w:r>
        <w:t>元，决算数</w:t>
      </w:r>
      <w:r>
        <w:rPr>
          <w:spacing w:val="-18"/>
        </w:rPr>
        <w:t>为</w:t>
      </w:r>
      <w:r>
        <w:rPr>
          <w:rFonts w:hint="eastAsia"/>
          <w:lang w:val="en-US" w:eastAsia="zh-CN"/>
        </w:rPr>
        <w:t>74.69万</w:t>
      </w:r>
      <w:r>
        <w:t>元，完成年初预算的</w:t>
      </w:r>
      <w:r>
        <w:rPr>
          <w:rFonts w:hint="eastAsia"/>
          <w:lang w:val="en-US" w:eastAsia="zh-CN"/>
        </w:rPr>
        <w:t>100</w:t>
      </w:r>
      <w:r>
        <w:t>%，主要原因是。</w:t>
      </w:r>
      <w:r>
        <w:rPr>
          <w:rFonts w:hint="eastAsia"/>
        </w:rPr>
        <w:t>收支平衡</w:t>
      </w:r>
    </w:p>
    <w:p>
      <w:pPr>
        <w:pStyle w:val="2"/>
        <w:tabs>
          <w:tab w:val="left" w:pos="3119"/>
          <w:tab w:val="left" w:pos="5699"/>
          <w:tab w:val="left" w:pos="8099"/>
        </w:tabs>
        <w:spacing w:line="374" w:lineRule="auto"/>
        <w:ind w:right="285" w:firstLine="628"/>
      </w:pPr>
      <w:r>
        <w:t>（二）公共安全支出年初预算数为</w:t>
      </w:r>
      <w:r>
        <w:rPr>
          <w:rFonts w:hint="eastAsia"/>
          <w:lang w:val="en-US" w:eastAsia="zh-CN"/>
        </w:rPr>
        <w:t>0</w:t>
      </w:r>
      <w:r>
        <w:t>万元，决算数为</w:t>
      </w:r>
      <w:r>
        <w:rPr>
          <w:rFonts w:hint="eastAsia"/>
          <w:lang w:val="en-US" w:eastAsia="zh-CN"/>
        </w:rPr>
        <w:t>0</w:t>
      </w:r>
      <w:r>
        <w:rPr>
          <w:spacing w:val="-18"/>
        </w:rPr>
        <w:t>万</w:t>
      </w:r>
      <w:r>
        <w:t>元，完成年初预算的</w:t>
      </w:r>
      <w:r>
        <w:rPr>
          <w:rFonts w:hint="eastAsia"/>
          <w:lang w:val="en-US" w:eastAsia="zh-CN"/>
        </w:rPr>
        <w:t>0</w:t>
      </w:r>
      <w:r>
        <w:t>%，主要原因是</w:t>
      </w:r>
      <w:r>
        <w:rPr>
          <w:rFonts w:hint="eastAsia"/>
          <w:lang w:eastAsia="zh-CN"/>
        </w:rPr>
        <w:t>：</w:t>
      </w:r>
      <w:r>
        <w:rPr>
          <w:rFonts w:hint="eastAsia"/>
        </w:rPr>
        <w:t>无</w:t>
      </w:r>
      <w:r>
        <w:t>。</w:t>
      </w:r>
    </w:p>
    <w:p>
      <w:pPr>
        <w:pStyle w:val="2"/>
        <w:spacing w:before="0"/>
        <w:ind w:left="748"/>
      </w:pPr>
      <w:r>
        <w:t>……</w:t>
      </w:r>
    </w:p>
    <w:p>
      <w:pPr>
        <w:pStyle w:val="2"/>
        <w:spacing w:before="216"/>
        <w:ind w:left="705"/>
        <w:rPr>
          <w:rFonts w:hint="eastAsia" w:ascii="黑体" w:eastAsia="黑体"/>
        </w:rPr>
      </w:pPr>
      <w:r>
        <w:rPr>
          <w:rFonts w:hint="eastAsia" w:ascii="黑体" w:eastAsia="黑体"/>
        </w:rPr>
        <w:t>四、一般公共预算财政拨款基本支出决算情况说明</w:t>
      </w:r>
    </w:p>
    <w:p>
      <w:pPr>
        <w:pStyle w:val="2"/>
        <w:tabs>
          <w:tab w:val="left" w:pos="7454"/>
        </w:tabs>
        <w:spacing w:before="216" w:line="374" w:lineRule="auto"/>
        <w:ind w:right="329" w:firstLine="585"/>
        <w:rPr>
          <w:rFonts w:hint="default" w:eastAsia="仿宋"/>
          <w:lang w:val="en-US" w:eastAsia="zh-CN"/>
        </w:rPr>
      </w:pPr>
      <w:r>
        <w:t>本部门</w:t>
      </w:r>
      <w:r>
        <w:rPr>
          <w:spacing w:val="-76"/>
        </w:rPr>
        <w:t xml:space="preserve"> </w:t>
      </w:r>
      <w:r>
        <w:t>20</w:t>
      </w:r>
      <w:r>
        <w:rPr>
          <w:rFonts w:hint="eastAsia"/>
          <w:lang w:val="en-US" w:eastAsia="zh-CN"/>
        </w:rPr>
        <w:t>20</w:t>
      </w:r>
      <w:r>
        <w:t>年度一般公共预算财政拨款基本支出</w:t>
      </w:r>
      <w:r>
        <w:rPr>
          <w:rFonts w:hint="eastAsia"/>
          <w:lang w:val="en-US" w:eastAsia="zh-CN"/>
        </w:rPr>
        <w:t>74.69万</w:t>
      </w:r>
      <w:r>
        <w:t>元</w:t>
      </w:r>
      <w:r>
        <w:rPr>
          <w:rFonts w:hint="eastAsia"/>
          <w:lang w:val="en-US" w:eastAsia="zh-CN"/>
        </w:rPr>
        <w:t>。</w:t>
      </w:r>
    </w:p>
    <w:p>
      <w:pPr>
        <w:pStyle w:val="2"/>
        <w:numPr>
          <w:ilvl w:val="0"/>
          <w:numId w:val="2"/>
        </w:numPr>
        <w:tabs>
          <w:tab w:val="left" w:pos="2819"/>
          <w:tab w:val="left" w:pos="3835"/>
          <w:tab w:val="left" w:pos="8126"/>
        </w:tabs>
        <w:spacing w:before="0" w:line="374" w:lineRule="auto"/>
        <w:ind w:right="257" w:firstLine="585"/>
        <w:rPr>
          <w:rFonts w:hint="eastAsia"/>
          <w:lang w:eastAsia="zh-CN"/>
        </w:rPr>
      </w:pPr>
      <w:r>
        <w:t>工资福利支出</w:t>
      </w:r>
      <w:r>
        <w:rPr>
          <w:rFonts w:hint="eastAsia"/>
          <w:lang w:val="en-US" w:eastAsia="zh-CN"/>
        </w:rPr>
        <w:t>69.69万</w:t>
      </w:r>
      <w:r>
        <w:t>元</w:t>
      </w:r>
      <w:r>
        <w:rPr>
          <w:spacing w:val="-20"/>
        </w:rPr>
        <w:t>，</w:t>
      </w:r>
      <w:r>
        <w:t>较</w:t>
      </w:r>
      <w:r>
        <w:rPr>
          <w:spacing w:val="-76"/>
        </w:rPr>
        <w:t xml:space="preserve"> </w:t>
      </w:r>
      <w:r>
        <w:t>201</w:t>
      </w:r>
      <w:r>
        <w:rPr>
          <w:rFonts w:hint="eastAsia"/>
          <w:lang w:val="en-US" w:eastAsia="zh-CN"/>
        </w:rPr>
        <w:t>9</w:t>
      </w:r>
      <w:r>
        <w:t>年</w:t>
      </w:r>
      <w:r>
        <w:rPr>
          <w:rFonts w:hint="eastAsia"/>
          <w:lang w:eastAsia="zh-CN"/>
        </w:rPr>
        <w:t>增加</w:t>
      </w:r>
      <w:r>
        <w:rPr>
          <w:rFonts w:hint="eastAsia"/>
          <w:lang w:val="en-US" w:eastAsia="zh-CN"/>
        </w:rPr>
        <w:t>11.6万</w:t>
      </w:r>
      <w:r>
        <w:t>元，</w:t>
      </w:r>
      <w:r>
        <w:rPr>
          <w:rFonts w:hint="eastAsia"/>
          <w:lang w:eastAsia="zh-CN"/>
        </w:rPr>
        <w:t>增长</w:t>
      </w:r>
      <w:r>
        <w:rPr>
          <w:rFonts w:hint="eastAsia"/>
          <w:lang w:val="en-US" w:eastAsia="zh-CN"/>
        </w:rPr>
        <w:t>19.97</w:t>
      </w:r>
      <w:r>
        <w:t>%，主要原因是</w:t>
      </w:r>
      <w:r>
        <w:rPr>
          <w:rFonts w:hint="eastAsia"/>
          <w:lang w:eastAsia="zh-CN"/>
        </w:rPr>
        <w:t>：人员変动。</w:t>
      </w:r>
    </w:p>
    <w:p>
      <w:pPr>
        <w:pStyle w:val="2"/>
        <w:numPr>
          <w:ilvl w:val="0"/>
          <w:numId w:val="0"/>
        </w:numPr>
        <w:tabs>
          <w:tab w:val="left" w:pos="2819"/>
          <w:tab w:val="left" w:pos="3835"/>
          <w:tab w:val="left" w:pos="8126"/>
        </w:tabs>
        <w:spacing w:before="0" w:line="374" w:lineRule="auto"/>
        <w:ind w:left="705" w:leftChars="0" w:right="257" w:rightChars="0"/>
        <w:rPr>
          <w:rFonts w:hint="eastAsia" w:eastAsia="仿宋"/>
          <w:lang w:eastAsia="zh-CN"/>
        </w:rPr>
      </w:pPr>
      <w:r>
        <w:t>（二</w:t>
      </w:r>
      <w:r>
        <w:rPr>
          <w:rFonts w:hint="eastAsia"/>
          <w:lang w:eastAsia="zh-CN"/>
        </w:rPr>
        <w:t>）</w:t>
      </w:r>
      <w:r>
        <w:t>商品和服务支出</w:t>
      </w:r>
      <w:r>
        <w:rPr>
          <w:rFonts w:hint="eastAsia"/>
          <w:lang w:val="en-US" w:eastAsia="zh-CN"/>
        </w:rPr>
        <w:t>5万元</w:t>
      </w:r>
      <w:r>
        <w:rPr>
          <w:spacing w:val="-96"/>
        </w:rPr>
        <w:t>，</w:t>
      </w:r>
      <w:r>
        <w:t>较</w:t>
      </w:r>
      <w:r>
        <w:rPr>
          <w:spacing w:val="-76"/>
        </w:rPr>
        <w:t xml:space="preserve"> </w:t>
      </w:r>
      <w:r>
        <w:t>201</w:t>
      </w:r>
      <w:r>
        <w:rPr>
          <w:rFonts w:hint="eastAsia"/>
          <w:lang w:val="en-US" w:eastAsia="zh-CN"/>
        </w:rPr>
        <w:t>9</w:t>
      </w:r>
      <w:r>
        <w:rPr>
          <w:spacing w:val="-75"/>
        </w:rPr>
        <w:t xml:space="preserve"> </w:t>
      </w:r>
      <w:r>
        <w:t>年</w:t>
      </w:r>
      <w:r>
        <w:rPr>
          <w:rFonts w:hint="eastAsia"/>
        </w:rPr>
        <w:t>增加</w:t>
      </w:r>
      <w:r>
        <w:rPr>
          <w:rFonts w:hint="eastAsia"/>
          <w:lang w:val="en-US" w:eastAsia="zh-CN"/>
        </w:rPr>
        <w:t>5万</w:t>
      </w:r>
      <w:r>
        <w:t>元，</w:t>
      </w:r>
      <w:r>
        <w:rPr>
          <w:rFonts w:hint="eastAsia"/>
        </w:rPr>
        <w:t>增长</w:t>
      </w:r>
      <w:r>
        <w:rPr>
          <w:rFonts w:hint="eastAsia"/>
          <w:lang w:val="en-US" w:eastAsia="zh-CN"/>
        </w:rPr>
        <w:t>100</w:t>
      </w:r>
      <w:r>
        <w:t>%，主要原因是：</w:t>
      </w:r>
      <w:r>
        <w:rPr>
          <w:rFonts w:hint="eastAsia"/>
          <w:lang w:eastAsia="zh-CN"/>
        </w:rPr>
        <w:t>专用材料支出。</w:t>
      </w:r>
    </w:p>
    <w:p>
      <w:pPr>
        <w:pStyle w:val="2"/>
        <w:tabs>
          <w:tab w:val="left" w:pos="1019"/>
          <w:tab w:val="left" w:pos="4019"/>
          <w:tab w:val="left" w:pos="5027"/>
        </w:tabs>
        <w:spacing w:before="215" w:line="374" w:lineRule="auto"/>
        <w:ind w:right="257" w:firstLine="585"/>
        <w:rPr>
          <w:rFonts w:hint="eastAsia" w:eastAsia="仿宋"/>
          <w:lang w:val="en-US" w:eastAsia="zh-CN"/>
        </w:rPr>
      </w:pPr>
      <w:r>
        <w:t>（三</w:t>
      </w:r>
      <w:r>
        <w:rPr>
          <w:spacing w:val="-29"/>
        </w:rPr>
        <w:t>）</w:t>
      </w:r>
      <w:r>
        <w:t>对个人和家庭补助支出</w:t>
      </w:r>
      <w:r>
        <w:rPr>
          <w:rFonts w:hint="eastAsia"/>
          <w:lang w:val="en-US" w:eastAsia="zh-CN"/>
        </w:rPr>
        <w:t>0万元</w:t>
      </w:r>
      <w:r>
        <w:t>元</w:t>
      </w:r>
      <w:r>
        <w:rPr>
          <w:spacing w:val="-27"/>
        </w:rPr>
        <w:t>，</w:t>
      </w:r>
      <w:r>
        <w:t>较</w:t>
      </w:r>
      <w:r>
        <w:rPr>
          <w:spacing w:val="-76"/>
        </w:rPr>
        <w:t xml:space="preserve"> </w:t>
      </w:r>
      <w:r>
        <w:t>201</w:t>
      </w:r>
      <w:r>
        <w:rPr>
          <w:rFonts w:hint="eastAsia"/>
          <w:lang w:val="en-US" w:eastAsia="zh-CN"/>
        </w:rPr>
        <w:t>9</w:t>
      </w:r>
      <w:r>
        <w:rPr>
          <w:spacing w:val="-75"/>
        </w:rPr>
        <w:t xml:space="preserve"> </w:t>
      </w:r>
      <w:r>
        <w:t>年</w:t>
      </w:r>
      <w:r>
        <w:rPr>
          <w:rFonts w:hint="eastAsia" w:ascii="仿宋" w:hAnsi="仿宋" w:eastAsia="仿宋"/>
          <w:sz w:val="30"/>
          <w:szCs w:val="30"/>
        </w:rPr>
        <w:t>增加（减少）</w:t>
      </w:r>
      <w:r>
        <w:rPr>
          <w:rFonts w:hint="eastAsia"/>
          <w:lang w:val="en-US" w:eastAsia="zh-CN"/>
        </w:rPr>
        <w:t>0万</w:t>
      </w:r>
      <w:r>
        <w:t>元，</w:t>
      </w:r>
      <w:r>
        <w:rPr>
          <w:rFonts w:hint="eastAsia"/>
          <w:lang w:eastAsia="zh-CN"/>
        </w:rPr>
        <w:t>增长</w:t>
      </w:r>
      <w:r>
        <w:t>（下降）</w:t>
      </w:r>
      <w:r>
        <w:rPr>
          <w:rFonts w:hint="eastAsia"/>
          <w:lang w:val="en-US" w:eastAsia="zh-CN"/>
        </w:rPr>
        <w:t>0</w:t>
      </w:r>
      <w:r>
        <w:t>%</w:t>
      </w:r>
      <w:r>
        <w:rPr>
          <w:rFonts w:hint="eastAsia"/>
          <w:lang w:val="en-US" w:eastAsia="zh-CN"/>
        </w:rPr>
        <w:t>.</w:t>
      </w:r>
    </w:p>
    <w:p>
      <w:pPr>
        <w:pStyle w:val="2"/>
        <w:tabs>
          <w:tab w:val="left" w:pos="2219"/>
          <w:tab w:val="left" w:pos="3496"/>
          <w:tab w:val="left" w:pos="7675"/>
        </w:tabs>
        <w:spacing w:line="374" w:lineRule="auto"/>
        <w:ind w:left="0" w:leftChars="0" w:right="108" w:firstLine="600" w:firstLineChars="200"/>
      </w:pPr>
      <w:r>
        <w:t>（四</w:t>
      </w:r>
      <w:r>
        <w:rPr>
          <w:spacing w:val="-58"/>
        </w:rPr>
        <w:t>）</w:t>
      </w:r>
      <w:r>
        <w:t>资本性支出</w:t>
      </w:r>
      <w:r>
        <w:rPr>
          <w:rFonts w:hint="eastAsia"/>
          <w:lang w:val="en-US" w:eastAsia="zh-CN"/>
        </w:rPr>
        <w:t>0</w:t>
      </w:r>
      <w:r>
        <w:t>元</w:t>
      </w:r>
      <w:r>
        <w:rPr>
          <w:spacing w:val="-58"/>
        </w:rPr>
        <w:t>，</w:t>
      </w:r>
      <w:r>
        <w:t>较</w:t>
      </w:r>
      <w:r>
        <w:rPr>
          <w:spacing w:val="-74"/>
        </w:rPr>
        <w:t xml:space="preserve"> </w:t>
      </w:r>
      <w:r>
        <w:t>201</w:t>
      </w:r>
      <w:r>
        <w:rPr>
          <w:rFonts w:hint="eastAsia"/>
          <w:lang w:val="en-US" w:eastAsia="zh-CN"/>
        </w:rPr>
        <w:t>9</w:t>
      </w:r>
      <w:r>
        <w:rPr>
          <w:spacing w:val="-77"/>
        </w:rPr>
        <w:t xml:space="preserve"> </w:t>
      </w:r>
      <w:r>
        <w:t>年增</w:t>
      </w:r>
      <w:r>
        <w:rPr>
          <w:spacing w:val="-58"/>
        </w:rPr>
        <w:t>加</w:t>
      </w:r>
      <w:r>
        <w:t>（减少）</w:t>
      </w:r>
      <w:r>
        <w:rPr>
          <w:rFonts w:hint="eastAsia"/>
          <w:lang w:val="en-US" w:eastAsia="zh-CN"/>
        </w:rPr>
        <w:t>0</w:t>
      </w:r>
      <w:r>
        <w:t>万元</w:t>
      </w:r>
      <w:r>
        <w:rPr>
          <w:spacing w:val="-17"/>
        </w:rPr>
        <w:t xml:space="preserve">， </w:t>
      </w:r>
      <w:r>
        <w:t>增长（下降）</w:t>
      </w:r>
      <w:r>
        <w:rPr>
          <w:rFonts w:hint="eastAsia"/>
          <w:lang w:val="en-US" w:eastAsia="zh-CN"/>
        </w:rPr>
        <w:t>0</w:t>
      </w:r>
      <w:r>
        <w:t>%，主要原因是：</w:t>
      </w:r>
      <w:r>
        <w:rPr>
          <w:rFonts w:hint="eastAsia"/>
        </w:rPr>
        <w:t>无拨款</w:t>
      </w:r>
    </w:p>
    <w:p>
      <w:pPr>
        <w:keepNext w:val="0"/>
        <w:keepLines w:val="0"/>
        <w:pageBreakBefore w:val="0"/>
        <w:widowControl w:val="0"/>
        <w:kinsoku/>
        <w:wordWrap/>
        <w:overflowPunct/>
        <w:topLinePunct w:val="0"/>
        <w:autoSpaceDE w:val="0"/>
        <w:autoSpaceDN w:val="0"/>
        <w:bidi w:val="0"/>
        <w:adjustRightInd/>
        <w:snapToGrid/>
        <w:spacing w:line="375" w:lineRule="auto"/>
        <w:ind w:firstLine="629"/>
        <w:jc w:val="left"/>
        <w:textAlignment w:val="auto"/>
        <w:rPr>
          <w:rFonts w:hint="eastAsia" w:ascii="黑体" w:hAnsi="黑体" w:eastAsia="黑体"/>
          <w:sz w:val="30"/>
          <w:szCs w:val="30"/>
        </w:rPr>
      </w:pPr>
      <w:r>
        <w:rPr>
          <w:rFonts w:hint="eastAsia" w:ascii="黑体" w:hAnsi="黑体" w:eastAsia="黑体"/>
          <w:sz w:val="30"/>
          <w:szCs w:val="30"/>
        </w:rPr>
        <w:t>五、一般公共预算财政拨款“三公”经费支出决算情况说明</w:t>
      </w:r>
    </w:p>
    <w:p>
      <w:pPr>
        <w:keepNext w:val="0"/>
        <w:keepLines w:val="0"/>
        <w:pageBreakBefore w:val="0"/>
        <w:widowControl w:val="0"/>
        <w:kinsoku/>
        <w:wordWrap/>
        <w:overflowPunct/>
        <w:topLinePunct w:val="0"/>
        <w:autoSpaceDE w:val="0"/>
        <w:autoSpaceDN w:val="0"/>
        <w:bidi w:val="0"/>
        <w:adjustRightInd/>
        <w:snapToGrid/>
        <w:spacing w:line="375" w:lineRule="auto"/>
        <w:ind w:firstLine="629"/>
        <w:jc w:val="left"/>
        <w:textAlignment w:val="auto"/>
        <w:rPr>
          <w:rFonts w:hint="eastAsia" w:ascii="仿宋" w:hAnsi="仿宋" w:eastAsia="仿宋"/>
          <w:sz w:val="30"/>
          <w:szCs w:val="30"/>
        </w:rPr>
      </w:pPr>
      <w:r>
        <w:rPr>
          <w:rFonts w:hint="eastAsia" w:ascii="仿宋" w:hAnsi="仿宋" w:eastAsia="仿宋"/>
          <w:sz w:val="30"/>
          <w:szCs w:val="30"/>
        </w:rPr>
        <w:t xml:space="preserve">本部门2020年度一般公共预算财政拨款“三公”经费支出年初预算数为 </w:t>
      </w:r>
      <w:r>
        <w:rPr>
          <w:rFonts w:hint="eastAsia"/>
          <w:sz w:val="30"/>
          <w:szCs w:val="30"/>
          <w:lang w:val="en-US" w:eastAsia="zh-CN"/>
        </w:rPr>
        <w:t>0</w:t>
      </w:r>
      <w:r>
        <w:rPr>
          <w:rFonts w:hint="eastAsia" w:ascii="仿宋" w:hAnsi="仿宋" w:eastAsia="仿宋"/>
          <w:sz w:val="30"/>
          <w:szCs w:val="30"/>
        </w:rPr>
        <w:t xml:space="preserve">  万元，决算数为 </w:t>
      </w:r>
      <w:r>
        <w:rPr>
          <w:rFonts w:hint="eastAsia"/>
          <w:sz w:val="30"/>
          <w:szCs w:val="30"/>
          <w:lang w:val="en-US" w:eastAsia="zh-CN"/>
        </w:rPr>
        <w:t>0</w:t>
      </w:r>
      <w:r>
        <w:rPr>
          <w:rFonts w:hint="eastAsia" w:ascii="仿宋" w:hAnsi="仿宋" w:eastAsia="仿宋"/>
          <w:sz w:val="30"/>
          <w:szCs w:val="30"/>
        </w:rPr>
        <w:t xml:space="preserve"> 万元，完成预算的  %，决算数较2019年增加（减少）</w:t>
      </w:r>
      <w:r>
        <w:rPr>
          <w:rFonts w:hint="eastAsia"/>
          <w:sz w:val="30"/>
          <w:szCs w:val="30"/>
          <w:lang w:val="en-US" w:eastAsia="zh-CN"/>
        </w:rPr>
        <w:t>0</w:t>
      </w:r>
      <w:r>
        <w:rPr>
          <w:rFonts w:hint="eastAsia" w:ascii="仿宋" w:hAnsi="仿宋" w:eastAsia="仿宋"/>
          <w:sz w:val="30"/>
          <w:szCs w:val="30"/>
        </w:rPr>
        <w:t xml:space="preserve">  万元，增长（下降）</w:t>
      </w:r>
      <w:r>
        <w:rPr>
          <w:rFonts w:hint="eastAsia"/>
          <w:sz w:val="30"/>
          <w:szCs w:val="30"/>
          <w:lang w:val="en-US" w:eastAsia="zh-CN"/>
        </w:rPr>
        <w:t>0</w:t>
      </w:r>
      <w:r>
        <w:rPr>
          <w:rFonts w:hint="eastAsia" w:ascii="仿宋" w:hAnsi="仿宋" w:eastAsia="仿宋"/>
          <w:sz w:val="30"/>
          <w:szCs w:val="30"/>
        </w:rPr>
        <w:t xml:space="preserve">  %，其中：</w:t>
      </w:r>
    </w:p>
    <w:p>
      <w:pPr>
        <w:keepNext w:val="0"/>
        <w:keepLines w:val="0"/>
        <w:pageBreakBefore w:val="0"/>
        <w:widowControl w:val="0"/>
        <w:kinsoku/>
        <w:wordWrap/>
        <w:overflowPunct/>
        <w:topLinePunct w:val="0"/>
        <w:autoSpaceDE w:val="0"/>
        <w:autoSpaceDN w:val="0"/>
        <w:bidi w:val="0"/>
        <w:adjustRightInd/>
        <w:snapToGrid/>
        <w:spacing w:line="375" w:lineRule="auto"/>
        <w:ind w:firstLine="629"/>
        <w:jc w:val="left"/>
        <w:textAlignment w:val="auto"/>
        <w:rPr>
          <w:rFonts w:hint="default" w:ascii="仿宋" w:hAnsi="仿宋" w:eastAsia="仿宋"/>
          <w:sz w:val="30"/>
          <w:szCs w:val="30"/>
          <w:lang w:val="en-US"/>
        </w:rPr>
      </w:pPr>
      <w:r>
        <w:rPr>
          <w:rFonts w:hint="eastAsia" w:ascii="仿宋" w:hAnsi="仿宋" w:eastAsia="仿宋"/>
          <w:sz w:val="30"/>
          <w:szCs w:val="30"/>
        </w:rPr>
        <w:t xml:space="preserve">（一）因公出国（境）支出年初预算数为  </w:t>
      </w:r>
      <w:r>
        <w:rPr>
          <w:rFonts w:hint="eastAsia" w:ascii="仿宋" w:hAnsi="仿宋" w:eastAsia="仿宋"/>
          <w:sz w:val="30"/>
          <w:szCs w:val="30"/>
          <w:lang w:val="en-US" w:eastAsia="zh-CN"/>
        </w:rPr>
        <w:t>0</w:t>
      </w:r>
      <w:r>
        <w:rPr>
          <w:rFonts w:hint="eastAsia" w:ascii="仿宋" w:hAnsi="仿宋" w:eastAsia="仿宋"/>
          <w:sz w:val="30"/>
          <w:szCs w:val="30"/>
        </w:rPr>
        <w:t xml:space="preserve"> 万元，决算数为  </w:t>
      </w:r>
      <w:r>
        <w:rPr>
          <w:rFonts w:hint="eastAsia" w:ascii="仿宋" w:hAnsi="仿宋" w:eastAsia="仿宋"/>
          <w:sz w:val="30"/>
          <w:szCs w:val="30"/>
          <w:lang w:val="en-US" w:eastAsia="zh-CN"/>
        </w:rPr>
        <w:t>0</w:t>
      </w:r>
      <w:r>
        <w:rPr>
          <w:rFonts w:hint="eastAsia" w:ascii="仿宋" w:hAnsi="仿宋" w:eastAsia="仿宋"/>
          <w:sz w:val="30"/>
          <w:szCs w:val="30"/>
        </w:rPr>
        <w:t xml:space="preserve">万元，完成预算的 </w:t>
      </w:r>
      <w:r>
        <w:rPr>
          <w:rFonts w:hint="eastAsia" w:ascii="仿宋" w:hAnsi="仿宋" w:eastAsia="仿宋"/>
          <w:sz w:val="30"/>
          <w:szCs w:val="30"/>
          <w:lang w:val="en-US" w:eastAsia="zh-CN"/>
        </w:rPr>
        <w:t>0</w:t>
      </w:r>
      <w:r>
        <w:rPr>
          <w:rFonts w:hint="eastAsia" w:ascii="仿宋" w:hAnsi="仿宋" w:eastAsia="仿宋"/>
          <w:sz w:val="30"/>
          <w:szCs w:val="30"/>
        </w:rPr>
        <w:t>%，决算数较2019年增加（减少）</w:t>
      </w:r>
      <w:r>
        <w:rPr>
          <w:rFonts w:hint="eastAsia" w:ascii="仿宋" w:hAnsi="仿宋" w:eastAsia="仿宋"/>
          <w:sz w:val="30"/>
          <w:szCs w:val="30"/>
          <w:lang w:val="en-US" w:eastAsia="zh-CN"/>
        </w:rPr>
        <w:t>0</w:t>
      </w:r>
      <w:r>
        <w:rPr>
          <w:rFonts w:hint="eastAsia" w:ascii="仿宋" w:hAnsi="仿宋" w:eastAsia="仿宋"/>
          <w:sz w:val="30"/>
          <w:szCs w:val="30"/>
        </w:rPr>
        <w:t xml:space="preserve">  万元，增长（下降）</w:t>
      </w:r>
      <w:r>
        <w:rPr>
          <w:rFonts w:hint="eastAsia" w:ascii="仿宋" w:hAnsi="仿宋" w:eastAsia="仿宋"/>
          <w:sz w:val="30"/>
          <w:szCs w:val="30"/>
          <w:lang w:val="en-US" w:eastAsia="zh-CN"/>
        </w:rPr>
        <w:t>0</w:t>
      </w:r>
      <w:r>
        <w:rPr>
          <w:rFonts w:hint="eastAsia" w:ascii="仿宋" w:hAnsi="仿宋" w:eastAsia="仿宋"/>
          <w:sz w:val="30"/>
          <w:szCs w:val="30"/>
        </w:rPr>
        <w:t xml:space="preserve">  %</w:t>
      </w:r>
      <w:r>
        <w:rPr>
          <w:rFonts w:hint="eastAsia" w:ascii="仿宋" w:hAnsi="仿宋" w:eastAsia="仿宋"/>
          <w:sz w:val="30"/>
          <w:szCs w:val="30"/>
          <w:lang w:eastAsia="zh-CN"/>
        </w:rPr>
        <w:t>，</w:t>
      </w:r>
      <w:r>
        <w:rPr>
          <w:rFonts w:hint="eastAsia" w:ascii="仿宋" w:hAnsi="仿宋" w:eastAsia="仿宋" w:cs="Times New Roman"/>
          <w:sz w:val="30"/>
          <w:szCs w:val="30"/>
          <w:lang w:val="en-US" w:eastAsia="zh-CN"/>
        </w:rPr>
        <w:t>主要原因是......</w:t>
      </w:r>
      <w:r>
        <w:rPr>
          <w:rFonts w:hint="eastAsia" w:ascii="仿宋" w:hAnsi="仿宋" w:eastAsia="仿宋" w:cs="Times New Roman"/>
          <w:sz w:val="30"/>
          <w:szCs w:val="30"/>
        </w:rPr>
        <w:t>。</w:t>
      </w:r>
      <w:r>
        <w:rPr>
          <w:rFonts w:hint="eastAsia" w:ascii="仿宋" w:hAnsi="仿宋" w:eastAsia="仿宋"/>
          <w:sz w:val="30"/>
          <w:szCs w:val="30"/>
        </w:rPr>
        <w:t>决算数较年初预算数增加（减少）的主要原因是：</w:t>
      </w:r>
      <w:r>
        <w:rPr>
          <w:rFonts w:ascii="仿宋" w:hAnsi="仿宋" w:eastAsia="仿宋"/>
          <w:sz w:val="30"/>
          <w:szCs w:val="30"/>
        </w:rPr>
        <w:t>……</w:t>
      </w:r>
      <w:r>
        <w:rPr>
          <w:rFonts w:hint="eastAsia" w:ascii="仿宋" w:hAnsi="仿宋" w:eastAsia="仿宋"/>
          <w:sz w:val="30"/>
          <w:szCs w:val="30"/>
        </w:rPr>
        <w:t>。</w:t>
      </w:r>
      <w:r>
        <w:rPr>
          <w:rFonts w:hint="eastAsia" w:ascii="仿宋" w:hAnsi="仿宋" w:eastAsia="仿宋"/>
          <w:sz w:val="30"/>
          <w:szCs w:val="30"/>
          <w:lang w:val="en-US" w:eastAsia="zh-CN"/>
        </w:rPr>
        <w:t>全年安排因公出国（境）团组  0个，累计 0 人次，主要为：</w:t>
      </w:r>
      <w:r>
        <w:rPr>
          <w:rFonts w:ascii="仿宋" w:hAnsi="仿宋" w:eastAsia="仿宋"/>
          <w:sz w:val="30"/>
          <w:szCs w:val="30"/>
        </w:rPr>
        <w:t>……</w:t>
      </w:r>
      <w:r>
        <w:rPr>
          <w:rFonts w:hint="eastAsia" w:ascii="仿宋" w:hAnsi="仿宋" w:eastAsia="仿宋"/>
          <w:sz w:val="30"/>
          <w:szCs w:val="30"/>
        </w:rPr>
        <w:t>。</w:t>
      </w:r>
    </w:p>
    <w:p>
      <w:pPr>
        <w:keepNext w:val="0"/>
        <w:keepLines w:val="0"/>
        <w:pageBreakBefore w:val="0"/>
        <w:widowControl w:val="0"/>
        <w:kinsoku/>
        <w:wordWrap/>
        <w:overflowPunct/>
        <w:topLinePunct w:val="0"/>
        <w:autoSpaceDE w:val="0"/>
        <w:autoSpaceDN w:val="0"/>
        <w:bidi w:val="0"/>
        <w:adjustRightInd/>
        <w:snapToGrid/>
        <w:spacing w:line="375" w:lineRule="auto"/>
        <w:ind w:firstLine="629"/>
        <w:jc w:val="left"/>
        <w:textAlignment w:val="auto"/>
        <w:rPr>
          <w:rFonts w:hint="default" w:ascii="仿宋" w:hAnsi="仿宋" w:eastAsia="仿宋"/>
          <w:sz w:val="30"/>
          <w:szCs w:val="30"/>
          <w:lang w:val="en-US" w:eastAsia="zh-CN"/>
        </w:rPr>
      </w:pPr>
      <w:r>
        <w:rPr>
          <w:rFonts w:hint="eastAsia" w:ascii="仿宋" w:hAnsi="仿宋" w:eastAsia="仿宋"/>
          <w:sz w:val="30"/>
          <w:szCs w:val="30"/>
        </w:rPr>
        <w:t>（二）公务接待费支出年初预算数为</w:t>
      </w:r>
      <w:r>
        <w:rPr>
          <w:rFonts w:hint="eastAsia"/>
          <w:sz w:val="30"/>
          <w:szCs w:val="30"/>
          <w:lang w:val="en-US" w:eastAsia="zh-CN"/>
        </w:rPr>
        <w:t>0</w:t>
      </w:r>
      <w:r>
        <w:rPr>
          <w:rFonts w:hint="eastAsia" w:ascii="仿宋" w:hAnsi="仿宋" w:eastAsia="仿宋"/>
          <w:sz w:val="30"/>
          <w:szCs w:val="30"/>
        </w:rPr>
        <w:t xml:space="preserve"> 万元，决算数为</w:t>
      </w:r>
      <w:r>
        <w:rPr>
          <w:rFonts w:hint="eastAsia"/>
          <w:sz w:val="30"/>
          <w:szCs w:val="30"/>
          <w:lang w:val="en-US" w:eastAsia="zh-CN"/>
        </w:rPr>
        <w:t>0</w:t>
      </w:r>
      <w:r>
        <w:rPr>
          <w:rFonts w:hint="eastAsia" w:ascii="仿宋" w:hAnsi="仿宋" w:eastAsia="仿宋"/>
          <w:sz w:val="30"/>
          <w:szCs w:val="30"/>
        </w:rPr>
        <w:t xml:space="preserve">万元，完成预算的 </w:t>
      </w:r>
      <w:r>
        <w:rPr>
          <w:rFonts w:hint="eastAsia"/>
          <w:sz w:val="30"/>
          <w:szCs w:val="30"/>
          <w:lang w:val="en-US" w:eastAsia="zh-CN"/>
        </w:rPr>
        <w:t>0</w:t>
      </w:r>
      <w:r>
        <w:rPr>
          <w:rFonts w:hint="eastAsia" w:ascii="仿宋" w:hAnsi="仿宋" w:eastAsia="仿宋"/>
          <w:sz w:val="30"/>
          <w:szCs w:val="30"/>
        </w:rPr>
        <w:t>%，决算数较2019年减少</w:t>
      </w:r>
      <w:r>
        <w:rPr>
          <w:rFonts w:hint="eastAsia"/>
          <w:sz w:val="30"/>
          <w:szCs w:val="30"/>
          <w:lang w:val="en-US" w:eastAsia="zh-CN"/>
        </w:rPr>
        <w:t>0</w:t>
      </w:r>
      <w:r>
        <w:rPr>
          <w:rFonts w:hint="eastAsia" w:ascii="仿宋" w:hAnsi="仿宋" w:eastAsia="仿宋"/>
          <w:sz w:val="30"/>
          <w:szCs w:val="30"/>
        </w:rPr>
        <w:t xml:space="preserve"> 万元，下降</w:t>
      </w:r>
      <w:r>
        <w:rPr>
          <w:rFonts w:hint="eastAsia"/>
          <w:sz w:val="30"/>
          <w:szCs w:val="30"/>
          <w:lang w:val="en-US" w:eastAsia="zh-CN"/>
        </w:rPr>
        <w:t>0</w:t>
      </w:r>
      <w:r>
        <w:rPr>
          <w:rFonts w:hint="eastAsia" w:ascii="仿宋" w:hAnsi="仿宋" w:eastAsia="仿宋"/>
          <w:sz w:val="30"/>
          <w:szCs w:val="30"/>
        </w:rPr>
        <w:t xml:space="preserve"> %</w:t>
      </w:r>
      <w:r>
        <w:rPr>
          <w:rFonts w:hint="eastAsia" w:ascii="仿宋" w:hAnsi="仿宋" w:eastAsia="仿宋"/>
          <w:sz w:val="30"/>
          <w:szCs w:val="30"/>
          <w:lang w:eastAsia="zh-CN"/>
        </w:rPr>
        <w:t>，</w:t>
      </w:r>
      <w:r>
        <w:rPr>
          <w:rFonts w:hint="eastAsia" w:ascii="仿宋" w:hAnsi="仿宋" w:eastAsia="仿宋" w:cs="Times New Roman"/>
          <w:sz w:val="30"/>
          <w:szCs w:val="30"/>
          <w:lang w:val="en-US" w:eastAsia="zh-CN"/>
        </w:rPr>
        <w:t>主要原因是......</w:t>
      </w:r>
      <w:r>
        <w:rPr>
          <w:rFonts w:hint="eastAsia" w:ascii="仿宋" w:hAnsi="仿宋" w:eastAsia="仿宋"/>
          <w:sz w:val="30"/>
          <w:szCs w:val="30"/>
        </w:rPr>
        <w:t>。决算数较年初预算数增加（减少）的主要原因是：</w:t>
      </w:r>
      <w:r>
        <w:rPr>
          <w:rFonts w:ascii="仿宋" w:hAnsi="仿宋" w:eastAsia="仿宋"/>
          <w:sz w:val="30"/>
          <w:szCs w:val="30"/>
        </w:rPr>
        <w:t>……</w:t>
      </w:r>
      <w:r>
        <w:rPr>
          <w:rFonts w:hint="eastAsia" w:ascii="仿宋" w:hAnsi="仿宋" w:eastAsia="仿宋"/>
          <w:sz w:val="30"/>
          <w:szCs w:val="30"/>
        </w:rPr>
        <w:t>。</w:t>
      </w:r>
      <w:r>
        <w:rPr>
          <w:rFonts w:hint="eastAsia" w:ascii="仿宋" w:hAnsi="仿宋" w:eastAsia="仿宋"/>
          <w:sz w:val="30"/>
          <w:szCs w:val="30"/>
          <w:lang w:val="en-US" w:eastAsia="zh-CN"/>
        </w:rPr>
        <w:t>全年国内公务接待</w:t>
      </w:r>
      <w:r>
        <w:rPr>
          <w:rFonts w:hint="eastAsia"/>
          <w:sz w:val="30"/>
          <w:szCs w:val="30"/>
          <w:lang w:val="en-US" w:eastAsia="zh-CN"/>
        </w:rPr>
        <w:t>0</w:t>
      </w:r>
      <w:r>
        <w:rPr>
          <w:rFonts w:hint="eastAsia" w:ascii="仿宋" w:hAnsi="仿宋" w:eastAsia="仿宋"/>
          <w:sz w:val="30"/>
          <w:szCs w:val="30"/>
          <w:lang w:val="en-US" w:eastAsia="zh-CN"/>
        </w:rPr>
        <w:t>批，累计接待</w:t>
      </w:r>
      <w:r>
        <w:rPr>
          <w:rFonts w:hint="eastAsia"/>
          <w:sz w:val="30"/>
          <w:szCs w:val="30"/>
          <w:lang w:val="en-US" w:eastAsia="zh-CN"/>
        </w:rPr>
        <w:t>0</w:t>
      </w:r>
      <w:r>
        <w:rPr>
          <w:rFonts w:hint="eastAsia" w:ascii="仿宋" w:hAnsi="仿宋" w:eastAsia="仿宋"/>
          <w:sz w:val="30"/>
          <w:szCs w:val="30"/>
          <w:lang w:val="en-US" w:eastAsia="zh-CN"/>
        </w:rPr>
        <w:t>人次，其中外事接待 0批，累计接待0人次，主要为：</w:t>
      </w:r>
      <w:r>
        <w:rPr>
          <w:rFonts w:ascii="仿宋" w:hAnsi="仿宋" w:eastAsia="仿宋"/>
          <w:sz w:val="30"/>
          <w:szCs w:val="30"/>
        </w:rPr>
        <w:t>……</w:t>
      </w:r>
      <w:r>
        <w:rPr>
          <w:rFonts w:hint="eastAsia" w:ascii="仿宋" w:hAnsi="仿宋" w:eastAsia="仿宋"/>
          <w:sz w:val="30"/>
          <w:szCs w:val="30"/>
        </w:rPr>
        <w:t>。</w:t>
      </w:r>
    </w:p>
    <w:p>
      <w:pPr>
        <w:keepNext w:val="0"/>
        <w:keepLines w:val="0"/>
        <w:pageBreakBefore w:val="0"/>
        <w:widowControl w:val="0"/>
        <w:kinsoku/>
        <w:wordWrap/>
        <w:overflowPunct/>
        <w:topLinePunct w:val="0"/>
        <w:autoSpaceDE w:val="0"/>
        <w:autoSpaceDN w:val="0"/>
        <w:bidi w:val="0"/>
        <w:adjustRightInd/>
        <w:snapToGrid/>
        <w:spacing w:line="375" w:lineRule="auto"/>
        <w:ind w:firstLine="629"/>
        <w:jc w:val="left"/>
        <w:textAlignment w:val="auto"/>
        <w:rPr>
          <w:rFonts w:hint="eastAsia" w:ascii="仿宋" w:hAnsi="仿宋" w:eastAsia="仿宋"/>
          <w:sz w:val="30"/>
          <w:szCs w:val="30"/>
        </w:rPr>
      </w:pPr>
      <w:r>
        <w:rPr>
          <w:rFonts w:hint="eastAsia" w:ascii="仿宋" w:hAnsi="仿宋" w:eastAsia="仿宋"/>
          <w:sz w:val="30"/>
          <w:szCs w:val="30"/>
        </w:rPr>
        <w:t>（三）公务用车购置及运行维护费支出</w:t>
      </w:r>
      <w:r>
        <w:rPr>
          <w:rFonts w:hint="eastAsia"/>
          <w:sz w:val="30"/>
          <w:szCs w:val="30"/>
          <w:lang w:val="en-US" w:eastAsia="zh-CN"/>
        </w:rPr>
        <w:t>0</w:t>
      </w:r>
      <w:r>
        <w:rPr>
          <w:rFonts w:hint="eastAsia" w:ascii="仿宋" w:hAnsi="仿宋" w:eastAsia="仿宋"/>
          <w:sz w:val="30"/>
          <w:szCs w:val="30"/>
        </w:rPr>
        <w:t xml:space="preserve">万元，其中公务用车购置年初预算数为 </w:t>
      </w:r>
      <w:r>
        <w:rPr>
          <w:rFonts w:hint="eastAsia" w:ascii="仿宋" w:hAnsi="仿宋" w:eastAsia="仿宋"/>
          <w:sz w:val="30"/>
          <w:szCs w:val="30"/>
          <w:lang w:val="en-US" w:eastAsia="zh-CN"/>
        </w:rPr>
        <w:t>0</w:t>
      </w:r>
      <w:r>
        <w:rPr>
          <w:rFonts w:hint="eastAsia" w:ascii="仿宋" w:hAnsi="仿宋" w:eastAsia="仿宋"/>
          <w:sz w:val="30"/>
          <w:szCs w:val="30"/>
        </w:rPr>
        <w:t xml:space="preserve">万元，决算数为 </w:t>
      </w:r>
      <w:r>
        <w:rPr>
          <w:rFonts w:hint="eastAsia" w:ascii="仿宋" w:hAnsi="仿宋" w:eastAsia="仿宋"/>
          <w:sz w:val="30"/>
          <w:szCs w:val="30"/>
          <w:lang w:val="en-US" w:eastAsia="zh-CN"/>
        </w:rPr>
        <w:t>0</w:t>
      </w:r>
      <w:r>
        <w:rPr>
          <w:rFonts w:hint="eastAsia" w:ascii="仿宋" w:hAnsi="仿宋" w:eastAsia="仿宋"/>
          <w:sz w:val="30"/>
          <w:szCs w:val="30"/>
        </w:rPr>
        <w:t xml:space="preserve"> 万元，完成预算的 </w:t>
      </w:r>
      <w:r>
        <w:rPr>
          <w:rFonts w:hint="eastAsia" w:ascii="仿宋" w:hAnsi="仿宋" w:eastAsia="仿宋"/>
          <w:sz w:val="30"/>
          <w:szCs w:val="30"/>
          <w:lang w:val="en-US" w:eastAsia="zh-CN"/>
        </w:rPr>
        <w:t>0</w:t>
      </w:r>
      <w:r>
        <w:rPr>
          <w:rFonts w:hint="eastAsia" w:ascii="仿宋" w:hAnsi="仿宋" w:eastAsia="仿宋"/>
          <w:sz w:val="30"/>
          <w:szCs w:val="30"/>
        </w:rPr>
        <w:t>%，决算数较2019年增加（减少）  万元，增长（下降）  %</w:t>
      </w:r>
      <w:r>
        <w:rPr>
          <w:rFonts w:hint="eastAsia" w:ascii="仿宋" w:hAnsi="仿宋" w:eastAsia="仿宋"/>
          <w:sz w:val="30"/>
          <w:szCs w:val="30"/>
          <w:lang w:eastAsia="zh-CN"/>
        </w:rPr>
        <w:t>，</w:t>
      </w:r>
      <w:r>
        <w:rPr>
          <w:rFonts w:hint="eastAsia" w:ascii="仿宋" w:hAnsi="仿宋" w:eastAsia="仿宋" w:cs="Times New Roman"/>
          <w:sz w:val="30"/>
          <w:szCs w:val="30"/>
          <w:lang w:val="en-US" w:eastAsia="zh-CN"/>
        </w:rPr>
        <w:t>主要原因是......</w:t>
      </w:r>
      <w:r>
        <w:rPr>
          <w:rFonts w:hint="eastAsia" w:ascii="仿宋" w:hAnsi="仿宋" w:eastAsia="仿宋"/>
          <w:sz w:val="30"/>
          <w:szCs w:val="30"/>
          <w:lang w:eastAsia="zh-CN"/>
        </w:rPr>
        <w:t>，</w:t>
      </w:r>
      <w:r>
        <w:rPr>
          <w:rFonts w:hint="eastAsia" w:ascii="仿宋" w:hAnsi="仿宋" w:eastAsia="仿宋"/>
          <w:sz w:val="30"/>
          <w:szCs w:val="30"/>
          <w:lang w:val="en-US" w:eastAsia="zh-CN"/>
        </w:rPr>
        <w:t>全年购置公务用车  0 辆</w:t>
      </w:r>
      <w:r>
        <w:rPr>
          <w:rFonts w:hint="eastAsia" w:ascii="仿宋" w:hAnsi="仿宋" w:eastAsia="仿宋"/>
          <w:sz w:val="30"/>
          <w:szCs w:val="30"/>
        </w:rPr>
        <w:t>。决算数较年初预算数增加（减少）的主要原因是：</w:t>
      </w:r>
      <w:r>
        <w:rPr>
          <w:rFonts w:ascii="仿宋" w:hAnsi="仿宋" w:eastAsia="仿宋"/>
          <w:sz w:val="30"/>
          <w:szCs w:val="30"/>
        </w:rPr>
        <w:t>……</w:t>
      </w:r>
      <w:r>
        <w:rPr>
          <w:rFonts w:hint="eastAsia" w:ascii="仿宋" w:hAnsi="仿宋" w:eastAsia="仿宋"/>
          <w:sz w:val="30"/>
          <w:szCs w:val="30"/>
        </w:rPr>
        <w:t>；公务用车运行维护费支出年初预算数为</w:t>
      </w:r>
      <w:r>
        <w:rPr>
          <w:rFonts w:hint="eastAsia"/>
          <w:sz w:val="30"/>
          <w:szCs w:val="30"/>
          <w:lang w:val="en-US" w:eastAsia="zh-CN"/>
        </w:rPr>
        <w:t>0</w:t>
      </w:r>
      <w:r>
        <w:rPr>
          <w:rFonts w:hint="eastAsia" w:ascii="仿宋" w:hAnsi="仿宋" w:eastAsia="仿宋"/>
          <w:sz w:val="30"/>
          <w:szCs w:val="30"/>
        </w:rPr>
        <w:t xml:space="preserve">万元，决算数为  </w:t>
      </w:r>
      <w:r>
        <w:rPr>
          <w:rFonts w:hint="eastAsia"/>
          <w:sz w:val="30"/>
          <w:szCs w:val="30"/>
          <w:lang w:val="en-US" w:eastAsia="zh-CN"/>
        </w:rPr>
        <w:t>0</w:t>
      </w:r>
      <w:r>
        <w:rPr>
          <w:rFonts w:hint="eastAsia" w:ascii="仿宋" w:hAnsi="仿宋" w:eastAsia="仿宋"/>
          <w:sz w:val="30"/>
          <w:szCs w:val="30"/>
        </w:rPr>
        <w:t>万元，完成预算的</w:t>
      </w:r>
      <w:r>
        <w:rPr>
          <w:rFonts w:hint="eastAsia"/>
          <w:sz w:val="30"/>
          <w:szCs w:val="30"/>
          <w:lang w:val="en-US" w:eastAsia="zh-CN"/>
        </w:rPr>
        <w:t>0</w:t>
      </w:r>
      <w:r>
        <w:rPr>
          <w:rFonts w:hint="eastAsia" w:ascii="仿宋" w:hAnsi="仿宋" w:eastAsia="仿宋"/>
          <w:sz w:val="30"/>
          <w:szCs w:val="30"/>
        </w:rPr>
        <w:t xml:space="preserve"> %，决算数较2019年减少</w:t>
      </w:r>
      <w:r>
        <w:rPr>
          <w:rFonts w:hint="eastAsia"/>
          <w:sz w:val="30"/>
          <w:szCs w:val="30"/>
          <w:lang w:val="en-US" w:eastAsia="zh-CN"/>
        </w:rPr>
        <w:t>0</w:t>
      </w:r>
      <w:r>
        <w:rPr>
          <w:rFonts w:hint="eastAsia" w:ascii="仿宋" w:hAnsi="仿宋" w:eastAsia="仿宋"/>
          <w:sz w:val="30"/>
          <w:szCs w:val="30"/>
        </w:rPr>
        <w:t>万元，下降</w:t>
      </w:r>
      <w:r>
        <w:rPr>
          <w:rFonts w:hint="eastAsia"/>
          <w:sz w:val="30"/>
          <w:szCs w:val="30"/>
          <w:lang w:val="en-US" w:eastAsia="zh-CN"/>
        </w:rPr>
        <w:t>0</w:t>
      </w:r>
      <w:r>
        <w:rPr>
          <w:rFonts w:hint="eastAsia" w:ascii="仿宋" w:hAnsi="仿宋" w:eastAsia="仿宋"/>
          <w:sz w:val="30"/>
          <w:szCs w:val="30"/>
        </w:rPr>
        <w:t>%</w:t>
      </w:r>
      <w:r>
        <w:rPr>
          <w:rFonts w:hint="eastAsia" w:ascii="仿宋" w:hAnsi="仿宋" w:eastAsia="仿宋"/>
          <w:sz w:val="30"/>
          <w:szCs w:val="30"/>
          <w:lang w:eastAsia="zh-CN"/>
        </w:rPr>
        <w:t>，</w:t>
      </w:r>
      <w:r>
        <w:rPr>
          <w:rFonts w:hint="eastAsia" w:ascii="仿宋" w:hAnsi="仿宋" w:eastAsia="仿宋" w:cs="Times New Roman"/>
          <w:sz w:val="30"/>
          <w:szCs w:val="30"/>
          <w:lang w:val="en-US" w:eastAsia="zh-CN"/>
        </w:rPr>
        <w:t>主要原因是......</w:t>
      </w:r>
      <w:r>
        <w:rPr>
          <w:rFonts w:hint="eastAsia" w:ascii="仿宋" w:hAnsi="仿宋" w:eastAsia="仿宋"/>
          <w:sz w:val="30"/>
          <w:szCs w:val="30"/>
          <w:lang w:eastAsia="zh-CN"/>
        </w:rPr>
        <w:t>，</w:t>
      </w:r>
      <w:r>
        <w:rPr>
          <w:rFonts w:hint="eastAsia" w:ascii="仿宋" w:hAnsi="仿宋" w:eastAsia="仿宋"/>
          <w:sz w:val="30"/>
          <w:szCs w:val="30"/>
          <w:lang w:val="en-US" w:eastAsia="zh-CN"/>
        </w:rPr>
        <w:t>年末公务用车保有  辆</w:t>
      </w:r>
      <w:r>
        <w:rPr>
          <w:rFonts w:hint="eastAsia" w:ascii="仿宋" w:hAnsi="仿宋" w:eastAsia="仿宋"/>
          <w:sz w:val="30"/>
          <w:szCs w:val="30"/>
        </w:rPr>
        <w:t>。决算数较年初预算数增加（减少）的主要原因是：</w:t>
      </w:r>
      <w:r>
        <w:rPr>
          <w:rFonts w:ascii="仿宋" w:hAnsi="仿宋" w:eastAsia="仿宋"/>
          <w:sz w:val="30"/>
          <w:szCs w:val="30"/>
        </w:rPr>
        <w:t>……</w:t>
      </w:r>
      <w:r>
        <w:rPr>
          <w:rFonts w:hint="eastAsia" w:ascii="仿宋" w:hAnsi="仿宋" w:eastAsia="仿宋"/>
          <w:sz w:val="30"/>
          <w:szCs w:val="30"/>
        </w:rPr>
        <w:t>。</w:t>
      </w:r>
    </w:p>
    <w:p>
      <w:pPr>
        <w:pStyle w:val="2"/>
        <w:spacing w:before="0"/>
        <w:ind w:left="748"/>
        <w:rPr>
          <w:rFonts w:hint="eastAsia" w:ascii="黑体" w:eastAsia="黑体"/>
        </w:rPr>
      </w:pPr>
      <w:r>
        <w:rPr>
          <w:rFonts w:hint="eastAsia" w:ascii="黑体" w:eastAsia="黑体"/>
        </w:rPr>
        <w:t>六、单位运行经费支出情况说明</w:t>
      </w:r>
    </w:p>
    <w:p>
      <w:pPr>
        <w:spacing w:before="3"/>
        <w:ind w:left="120" w:right="0" w:firstLine="424" w:firstLineChars="200"/>
        <w:jc w:val="left"/>
        <w:rPr>
          <w:rFonts w:hint="eastAsia" w:ascii="仿宋" w:hAnsi="仿宋" w:eastAsia="仿宋" w:cs="仿宋"/>
          <w:b w:val="0"/>
          <w:bCs w:val="0"/>
          <w:sz w:val="28"/>
          <w:szCs w:val="28"/>
          <w:lang w:val="en-US" w:eastAsia="zh-CN"/>
        </w:rPr>
      </w:pPr>
      <w:r>
        <w:rPr>
          <w:b w:val="0"/>
          <w:bCs w:val="0"/>
          <w:spacing w:val="-74"/>
          <w:sz w:val="36"/>
          <w:szCs w:val="36"/>
        </w:rPr>
        <w:t xml:space="preserve"> </w:t>
      </w:r>
      <w:r>
        <w:rPr>
          <w:rFonts w:hint="eastAsia"/>
          <w:b w:val="0"/>
          <w:bCs w:val="0"/>
          <w:spacing w:val="-74"/>
          <w:sz w:val="36"/>
          <w:szCs w:val="36"/>
          <w:lang w:val="en-US" w:eastAsia="zh-CN"/>
        </w:rPr>
        <w:t xml:space="preserve">      </w:t>
      </w:r>
      <w:r>
        <w:rPr>
          <w:rFonts w:hint="eastAsia" w:ascii="仿宋" w:hAnsi="仿宋" w:eastAsia="仿宋" w:cs="仿宋"/>
          <w:b w:val="0"/>
          <w:bCs w:val="0"/>
          <w:color w:val="auto"/>
          <w:sz w:val="36"/>
          <w:szCs w:val="36"/>
          <w:lang w:val="en-US" w:eastAsia="zh-CN"/>
        </w:rPr>
        <w:t>本单位不是</w:t>
      </w:r>
      <w:r>
        <w:rPr>
          <w:rFonts w:hint="eastAsia" w:ascii="仿宋" w:hAnsi="仿宋" w:eastAsia="仿宋" w:cs="仿宋"/>
          <w:b w:val="0"/>
          <w:bCs w:val="0"/>
          <w:color w:val="auto"/>
          <w:sz w:val="36"/>
          <w:szCs w:val="36"/>
        </w:rPr>
        <w:t>行政单位和参照公务员法管理事业单位</w:t>
      </w:r>
      <w:r>
        <w:rPr>
          <w:rFonts w:hint="eastAsia" w:ascii="仿宋" w:hAnsi="仿宋" w:eastAsia="仿宋" w:cs="仿宋"/>
          <w:b w:val="0"/>
          <w:bCs w:val="0"/>
          <w:color w:val="auto"/>
          <w:sz w:val="36"/>
          <w:szCs w:val="36"/>
          <w:lang w:eastAsia="zh-CN"/>
        </w:rPr>
        <w:t>，</w:t>
      </w:r>
      <w:r>
        <w:rPr>
          <w:rFonts w:hint="eastAsia" w:ascii="仿宋" w:hAnsi="仿宋" w:eastAsia="仿宋" w:cs="仿宋"/>
          <w:b w:val="0"/>
          <w:bCs w:val="0"/>
          <w:color w:val="auto"/>
          <w:sz w:val="36"/>
          <w:szCs w:val="36"/>
          <w:lang w:val="en-US" w:eastAsia="zh-CN"/>
        </w:rPr>
        <w:t>故无机关运行经费支出</w:t>
      </w:r>
      <w:r>
        <w:rPr>
          <w:rFonts w:hint="eastAsia" w:cs="仿宋"/>
          <w:b w:val="0"/>
          <w:bCs w:val="0"/>
          <w:color w:val="auto"/>
          <w:sz w:val="36"/>
          <w:szCs w:val="36"/>
          <w:lang w:val="en-US" w:eastAsia="zh-CN"/>
        </w:rPr>
        <w:t>。</w:t>
      </w:r>
    </w:p>
    <w:p>
      <w:pPr>
        <w:pStyle w:val="2"/>
        <w:spacing w:before="215"/>
        <w:ind w:left="748"/>
        <w:rPr>
          <w:rFonts w:hint="eastAsia" w:ascii="黑体" w:eastAsia="黑体"/>
        </w:rPr>
      </w:pPr>
      <w:r>
        <w:rPr>
          <w:rFonts w:hint="eastAsia" w:ascii="黑体" w:eastAsia="黑体"/>
        </w:rPr>
        <w:t>七、政府采购支出情况说明</w:t>
      </w:r>
      <w:bookmarkStart w:id="0" w:name="_GoBack"/>
      <w:bookmarkEnd w:id="0"/>
    </w:p>
    <w:p>
      <w:pPr>
        <w:pStyle w:val="8"/>
        <w:spacing w:line="600" w:lineRule="atLeast"/>
        <w:ind w:firstLine="600"/>
        <w:rPr>
          <w:rFonts w:hint="eastAsia" w:ascii="仿宋" w:hAnsi="仿宋" w:eastAsia="仿宋"/>
          <w:sz w:val="36"/>
          <w:szCs w:val="36"/>
        </w:rPr>
      </w:pPr>
      <w:r>
        <w:rPr>
          <w:rFonts w:hint="eastAsia" w:ascii="仿宋" w:hAnsi="仿宋" w:eastAsia="仿宋"/>
          <w:sz w:val="36"/>
          <w:szCs w:val="36"/>
        </w:rPr>
        <w:t xml:space="preserve">本部门2020年度政府采购支出总额 </w:t>
      </w:r>
      <w:r>
        <w:rPr>
          <w:rFonts w:hint="eastAsia"/>
          <w:sz w:val="36"/>
          <w:szCs w:val="36"/>
          <w:lang w:val="en-US" w:eastAsia="zh-CN"/>
        </w:rPr>
        <w:t>0</w:t>
      </w:r>
      <w:r>
        <w:rPr>
          <w:rFonts w:hint="eastAsia" w:ascii="仿宋" w:hAnsi="仿宋" w:eastAsia="仿宋"/>
          <w:sz w:val="36"/>
          <w:szCs w:val="36"/>
        </w:rPr>
        <w:t xml:space="preserve"> 万元，其中：政府采购货物支出  万元、政府采购工程支出  万元、政府采购服务支出  万元。授予中小企业合同金额  万元，占政府采购支出总额的  %，其中：授予小微企业合同金额  万元，占政府采购支出总额的  %。（部门</w:t>
      </w:r>
      <w:r>
        <w:rPr>
          <w:rFonts w:hint="eastAsia" w:ascii="仿宋" w:hAnsi="仿宋" w:eastAsia="仿宋"/>
          <w:sz w:val="36"/>
          <w:szCs w:val="36"/>
          <w:lang w:val="en-US" w:eastAsia="zh-CN"/>
        </w:rPr>
        <w:t>公开的</w:t>
      </w:r>
      <w:r>
        <w:rPr>
          <w:rFonts w:hint="eastAsia" w:ascii="仿宋" w:hAnsi="仿宋" w:eastAsia="仿宋"/>
          <w:sz w:val="36"/>
          <w:szCs w:val="36"/>
        </w:rPr>
        <w:t>政府采购金额的计算口径为：本部门纳入2020年部门预算范围的各项政府采购支出金额之和，不包括涉密采购项目的支出金额。）</w:t>
      </w:r>
    </w:p>
    <w:p>
      <w:pPr>
        <w:pStyle w:val="2"/>
        <w:keepNext w:val="0"/>
        <w:keepLines w:val="0"/>
        <w:pageBreakBefore w:val="0"/>
        <w:widowControl w:val="0"/>
        <w:kinsoku/>
        <w:wordWrap/>
        <w:overflowPunct/>
        <w:topLinePunct w:val="0"/>
        <w:autoSpaceDE w:val="0"/>
        <w:autoSpaceDN w:val="0"/>
        <w:bidi w:val="0"/>
        <w:adjustRightInd/>
        <w:snapToGrid/>
        <w:spacing w:before="3" w:line="375" w:lineRule="auto"/>
        <w:ind w:left="748"/>
        <w:textAlignment w:val="auto"/>
        <w:rPr>
          <w:rFonts w:hint="eastAsia" w:ascii="黑体" w:eastAsia="黑体"/>
        </w:rPr>
      </w:pPr>
      <w:r>
        <w:rPr>
          <w:rFonts w:hint="eastAsia" w:ascii="黑体" w:eastAsia="黑体"/>
        </w:rPr>
        <w:t>八、国有资产占用情况说明。</w:t>
      </w:r>
    </w:p>
    <w:p>
      <w:pPr>
        <w:pStyle w:val="2"/>
        <w:keepNext w:val="0"/>
        <w:keepLines w:val="0"/>
        <w:pageBreakBefore w:val="0"/>
        <w:widowControl w:val="0"/>
        <w:kinsoku/>
        <w:wordWrap/>
        <w:overflowPunct/>
        <w:topLinePunct w:val="0"/>
        <w:autoSpaceDE w:val="0"/>
        <w:autoSpaceDN w:val="0"/>
        <w:bidi w:val="0"/>
        <w:adjustRightInd/>
        <w:snapToGrid/>
        <w:spacing w:before="43" w:line="375" w:lineRule="auto"/>
        <w:ind w:left="748"/>
        <w:textAlignment w:val="auto"/>
        <w:rPr>
          <w:rFonts w:hint="eastAsia" w:ascii="仿宋" w:hAnsi="仿宋" w:eastAsia="仿宋"/>
          <w:kern w:val="0"/>
          <w:sz w:val="36"/>
          <w:szCs w:val="36"/>
        </w:rPr>
      </w:pPr>
      <w:r>
        <w:rPr>
          <w:rFonts w:hint="eastAsia" w:ascii="仿宋" w:hAnsi="仿宋" w:eastAsia="仿宋"/>
          <w:kern w:val="0"/>
          <w:sz w:val="36"/>
          <w:szCs w:val="36"/>
        </w:rPr>
        <w:t>截止2020年12月31日，本部门</w:t>
      </w:r>
      <w:r>
        <w:rPr>
          <w:rFonts w:hint="eastAsia" w:ascii="仿宋" w:hAnsi="仿宋" w:eastAsia="仿宋"/>
          <w:kern w:val="0"/>
          <w:sz w:val="36"/>
          <w:szCs w:val="36"/>
          <w:lang w:eastAsia="zh-CN"/>
        </w:rPr>
        <w:t>（</w:t>
      </w:r>
      <w:r>
        <w:rPr>
          <w:rFonts w:hint="eastAsia" w:ascii="仿宋" w:hAnsi="仿宋" w:eastAsia="仿宋"/>
          <w:kern w:val="0"/>
          <w:sz w:val="36"/>
          <w:szCs w:val="36"/>
          <w:lang w:val="en-US" w:eastAsia="zh-CN"/>
        </w:rPr>
        <w:t>单位）</w:t>
      </w:r>
      <w:r>
        <w:rPr>
          <w:rFonts w:hint="eastAsia" w:ascii="仿宋" w:hAnsi="仿宋" w:eastAsia="仿宋"/>
          <w:kern w:val="0"/>
          <w:sz w:val="36"/>
          <w:szCs w:val="36"/>
        </w:rPr>
        <w:t>国有资产占用情况见</w:t>
      </w:r>
      <w:r>
        <w:rPr>
          <w:rFonts w:hint="eastAsia" w:ascii="仿宋" w:hAnsi="仿宋" w:eastAsia="仿宋"/>
          <w:kern w:val="0"/>
          <w:sz w:val="36"/>
          <w:szCs w:val="36"/>
          <w:lang w:val="en-US" w:eastAsia="zh-CN"/>
        </w:rPr>
        <w:t>公开10</w:t>
      </w:r>
      <w:r>
        <w:rPr>
          <w:rFonts w:hint="eastAsia" w:ascii="仿宋" w:hAnsi="仿宋" w:eastAsia="仿宋"/>
          <w:kern w:val="0"/>
          <w:sz w:val="36"/>
          <w:szCs w:val="36"/>
        </w:rPr>
        <w:t>表《国有资产占用情况表》。</w:t>
      </w:r>
    </w:p>
    <w:p>
      <w:pPr>
        <w:ind w:firstLine="630"/>
        <w:jc w:val="left"/>
        <w:rPr>
          <w:rFonts w:hint="eastAsia" w:ascii="黑体" w:hAnsi="黑体" w:eastAsia="黑体"/>
          <w:sz w:val="36"/>
          <w:szCs w:val="36"/>
        </w:rPr>
      </w:pPr>
      <w:r>
        <w:rPr>
          <w:rFonts w:hint="eastAsia" w:ascii="黑体" w:hAnsi="黑体" w:eastAsia="黑体"/>
          <w:sz w:val="36"/>
          <w:szCs w:val="36"/>
        </w:rPr>
        <w:t>九、预算绩效情况说明</w:t>
      </w:r>
    </w:p>
    <w:p>
      <w:pPr>
        <w:autoSpaceDE w:val="0"/>
        <w:autoSpaceDN w:val="0"/>
        <w:adjustRightInd w:val="0"/>
        <w:spacing w:line="360" w:lineRule="auto"/>
        <w:jc w:val="left"/>
        <w:rPr>
          <w:rFonts w:hint="eastAsia" w:ascii="仿宋" w:hAnsi="仿宋" w:eastAsia="仿宋" w:cs="仿宋_GB2312"/>
          <w:kern w:val="0"/>
          <w:sz w:val="36"/>
          <w:szCs w:val="36"/>
        </w:rPr>
      </w:pPr>
      <w:r>
        <w:rPr>
          <w:rFonts w:hint="eastAsia" w:ascii="仿宋" w:hAnsi="仿宋" w:eastAsia="仿宋" w:cs="仿宋_GB2312"/>
          <w:kern w:val="0"/>
          <w:sz w:val="30"/>
          <w:szCs w:val="30"/>
        </w:rPr>
        <w:t xml:space="preserve">   </w:t>
      </w:r>
      <w:r>
        <w:rPr>
          <w:rFonts w:hint="eastAsia" w:cs="仿宋_GB2312"/>
          <w:kern w:val="0"/>
          <w:sz w:val="30"/>
          <w:szCs w:val="30"/>
          <w:lang w:val="en-US" w:eastAsia="zh-CN"/>
        </w:rPr>
        <w:t xml:space="preserve"> </w:t>
      </w:r>
      <w:r>
        <w:rPr>
          <w:rFonts w:hint="eastAsia" w:cs="仿宋_GB2312"/>
          <w:kern w:val="0"/>
          <w:sz w:val="36"/>
          <w:szCs w:val="36"/>
          <w:lang w:val="en-US" w:eastAsia="zh-CN"/>
        </w:rPr>
        <w:t xml:space="preserve"> </w:t>
      </w:r>
      <w:r>
        <w:rPr>
          <w:rFonts w:hint="eastAsia" w:ascii="仿宋" w:hAnsi="仿宋" w:eastAsia="仿宋" w:cs="仿宋_GB2312"/>
          <w:kern w:val="0"/>
          <w:sz w:val="36"/>
          <w:szCs w:val="36"/>
        </w:rPr>
        <w:t>（一）绩效管理工作开展情况。</w:t>
      </w:r>
    </w:p>
    <w:p>
      <w:pPr>
        <w:autoSpaceDE w:val="0"/>
        <w:autoSpaceDN w:val="0"/>
        <w:adjustRightInd w:val="0"/>
        <w:spacing w:line="360" w:lineRule="auto"/>
        <w:ind w:firstLine="720" w:firstLineChars="200"/>
        <w:jc w:val="left"/>
        <w:rPr>
          <w:rFonts w:hint="eastAsia" w:ascii="仿宋" w:hAnsi="仿宋" w:eastAsia="仿宋" w:cs="仿宋_GB2312"/>
          <w:kern w:val="0"/>
          <w:sz w:val="36"/>
          <w:szCs w:val="36"/>
        </w:rPr>
      </w:pPr>
      <w:r>
        <w:rPr>
          <w:rFonts w:hint="eastAsia" w:ascii="仿宋" w:hAnsi="仿宋" w:eastAsia="仿宋" w:cs="仿宋_GB2312"/>
          <w:kern w:val="0"/>
          <w:sz w:val="36"/>
          <w:szCs w:val="36"/>
        </w:rPr>
        <w:t>根据预算绩效管理要求，我部门组织对</w:t>
      </w:r>
      <w:r>
        <w:rPr>
          <w:rFonts w:ascii="仿宋" w:hAnsi="仿宋" w:eastAsia="仿宋" w:cs="仿宋_GB2312"/>
          <w:kern w:val="0"/>
          <w:sz w:val="36"/>
          <w:szCs w:val="36"/>
        </w:rPr>
        <w:t>20</w:t>
      </w:r>
      <w:r>
        <w:rPr>
          <w:rFonts w:hint="eastAsia" w:ascii="仿宋" w:hAnsi="仿宋" w:eastAsia="仿宋" w:cs="仿宋_GB2312"/>
          <w:kern w:val="0"/>
          <w:sz w:val="36"/>
          <w:szCs w:val="36"/>
        </w:rPr>
        <w:t>20年度一般公共预算项目支出</w:t>
      </w:r>
      <w:r>
        <w:rPr>
          <w:rFonts w:hint="eastAsia" w:ascii="仿宋" w:hAnsi="仿宋" w:eastAsia="仿宋" w:cs="仿宋_GB2312"/>
          <w:kern w:val="0"/>
          <w:sz w:val="36"/>
          <w:szCs w:val="36"/>
          <w:lang w:val="en-US" w:eastAsia="zh-CN"/>
        </w:rPr>
        <w:t xml:space="preserve">所有二级项目 </w:t>
      </w:r>
      <w:r>
        <w:rPr>
          <w:rFonts w:hint="eastAsia" w:cs="仿宋_GB2312"/>
          <w:kern w:val="0"/>
          <w:sz w:val="36"/>
          <w:szCs w:val="36"/>
          <w:lang w:val="en-US" w:eastAsia="zh-CN"/>
        </w:rPr>
        <w:t>0</w:t>
      </w:r>
      <w:r>
        <w:rPr>
          <w:rFonts w:hint="eastAsia" w:ascii="仿宋" w:hAnsi="仿宋" w:eastAsia="仿宋" w:cs="仿宋_GB2312"/>
          <w:kern w:val="0"/>
          <w:sz w:val="36"/>
          <w:szCs w:val="36"/>
          <w:lang w:val="en-US" w:eastAsia="zh-CN"/>
        </w:rPr>
        <w:t>个</w:t>
      </w:r>
      <w:r>
        <w:rPr>
          <w:rFonts w:hint="eastAsia" w:ascii="仿宋" w:hAnsi="仿宋" w:eastAsia="仿宋" w:cs="仿宋_GB2312"/>
          <w:kern w:val="0"/>
          <w:sz w:val="36"/>
          <w:szCs w:val="36"/>
        </w:rPr>
        <w:t xml:space="preserve">全面开展绩效自评，共涉及资金 </w:t>
      </w:r>
      <w:r>
        <w:rPr>
          <w:rFonts w:hint="eastAsia" w:cs="仿宋_GB2312"/>
          <w:kern w:val="0"/>
          <w:sz w:val="36"/>
          <w:szCs w:val="36"/>
          <w:lang w:val="en-US" w:eastAsia="zh-CN"/>
        </w:rPr>
        <w:t>0</w:t>
      </w:r>
      <w:r>
        <w:rPr>
          <w:rFonts w:hint="eastAsia" w:ascii="仿宋" w:hAnsi="仿宋" w:eastAsia="仿宋" w:cs="仿宋_GB2312"/>
          <w:kern w:val="0"/>
          <w:sz w:val="36"/>
          <w:szCs w:val="36"/>
        </w:rPr>
        <w:t xml:space="preserve"> 万元，占一般公共预算项目支出总额的</w:t>
      </w:r>
      <w:r>
        <w:rPr>
          <w:rFonts w:hint="eastAsia" w:cs="仿宋_GB2312"/>
          <w:kern w:val="0"/>
          <w:sz w:val="36"/>
          <w:szCs w:val="36"/>
          <w:lang w:val="en-US" w:eastAsia="zh-CN"/>
        </w:rPr>
        <w:t>0</w:t>
      </w:r>
      <w:r>
        <w:rPr>
          <w:rFonts w:hint="eastAsia" w:ascii="仿宋" w:hAnsi="仿宋" w:eastAsia="仿宋" w:cs="仿宋_GB2312"/>
          <w:kern w:val="0"/>
          <w:sz w:val="36"/>
          <w:szCs w:val="36"/>
        </w:rPr>
        <w:t xml:space="preserve"> %。    </w:t>
      </w:r>
    </w:p>
    <w:p>
      <w:pPr>
        <w:numPr>
          <w:ilvl w:val="0"/>
          <w:numId w:val="2"/>
        </w:numPr>
        <w:autoSpaceDE w:val="0"/>
        <w:autoSpaceDN w:val="0"/>
        <w:adjustRightInd w:val="0"/>
        <w:spacing w:line="360" w:lineRule="auto"/>
        <w:ind w:left="120" w:leftChars="0" w:firstLine="585" w:firstLineChars="0"/>
        <w:jc w:val="left"/>
        <w:rPr>
          <w:rFonts w:hint="eastAsia" w:ascii="仿宋" w:hAnsi="仿宋" w:eastAsia="仿宋" w:cs="仿宋_GB2312"/>
          <w:kern w:val="0"/>
          <w:sz w:val="36"/>
          <w:szCs w:val="36"/>
        </w:rPr>
      </w:pPr>
      <w:r>
        <w:rPr>
          <w:rFonts w:hint="eastAsia" w:ascii="仿宋" w:hAnsi="仿宋" w:eastAsia="仿宋" w:cs="仿宋_GB2312"/>
          <w:kern w:val="0"/>
          <w:sz w:val="36"/>
          <w:szCs w:val="36"/>
        </w:rPr>
        <w:t>部门决算中项目绩效自评结果。</w:t>
      </w:r>
    </w:p>
    <w:p>
      <w:pPr>
        <w:numPr>
          <w:ilvl w:val="0"/>
          <w:numId w:val="0"/>
        </w:numPr>
        <w:autoSpaceDE w:val="0"/>
        <w:autoSpaceDN w:val="0"/>
        <w:adjustRightInd w:val="0"/>
        <w:spacing w:line="360" w:lineRule="auto"/>
        <w:ind w:left="705" w:leftChars="0" w:right="0" w:rightChars="0" w:firstLine="360" w:firstLineChars="100"/>
        <w:jc w:val="left"/>
        <w:rPr>
          <w:rFonts w:hint="eastAsia" w:ascii="宋体" w:eastAsia="宋体"/>
        </w:rPr>
      </w:pPr>
      <w:r>
        <w:rPr>
          <w:rFonts w:hint="eastAsia" w:ascii="仿宋" w:hAnsi="仿宋" w:eastAsia="仿宋" w:cs="仿宋_GB2312"/>
          <w:kern w:val="0"/>
          <w:sz w:val="36"/>
          <w:szCs w:val="36"/>
          <w:lang w:val="en-US" w:eastAsia="zh-CN"/>
        </w:rPr>
        <w:t>将2020年度部门决算项目绩效自评综述和《项目支出绩效自</w:t>
      </w:r>
      <w:r>
        <w:rPr>
          <w:rFonts w:hint="eastAsia" w:ascii="仿宋" w:hAnsi="仿宋" w:eastAsia="仿宋" w:cs="仿宋_GB2312"/>
          <w:kern w:val="0"/>
          <w:sz w:val="30"/>
          <w:szCs w:val="30"/>
          <w:lang w:val="en-US" w:eastAsia="zh-CN"/>
        </w:rPr>
        <w:t>评表》进行公开。</w:t>
      </w:r>
    </w:p>
    <w:p>
      <w:pPr>
        <w:pStyle w:val="4"/>
        <w:tabs>
          <w:tab w:val="left" w:pos="2005"/>
        </w:tabs>
        <w:spacing w:before="43"/>
        <w:ind w:left="0" w:leftChars="0" w:firstLine="1506" w:firstLineChars="500"/>
        <w:jc w:val="both"/>
        <w:rPr>
          <w:rFonts w:hint="eastAsia" w:ascii="宋体" w:eastAsia="宋体"/>
        </w:rPr>
      </w:pPr>
      <w:r>
        <w:rPr>
          <w:rFonts w:hint="eastAsia" w:ascii="宋体" w:eastAsia="宋体"/>
        </w:rPr>
        <w:t>第四部分</w:t>
      </w:r>
      <w:r>
        <w:rPr>
          <w:rFonts w:hint="eastAsia" w:ascii="宋体" w:eastAsia="宋体"/>
          <w:lang w:val="en-US" w:eastAsia="zh-CN"/>
        </w:rPr>
        <w:t xml:space="preserve">    </w:t>
      </w:r>
      <w:r>
        <w:rPr>
          <w:rFonts w:hint="eastAsia" w:ascii="宋体" w:eastAsia="宋体"/>
        </w:rPr>
        <w:tab/>
      </w:r>
      <w:r>
        <w:rPr>
          <w:rFonts w:hint="eastAsia" w:ascii="宋体" w:eastAsia="宋体"/>
        </w:rPr>
        <w:t>名词解释</w:t>
      </w:r>
    </w:p>
    <w:p>
      <w:pPr>
        <w:pStyle w:val="2"/>
        <w:tabs>
          <w:tab w:val="left" w:pos="450"/>
        </w:tabs>
        <w:spacing w:before="215"/>
        <w:ind w:left="0" w:leftChars="0" w:firstLine="1080" w:firstLineChars="300"/>
        <w:rPr>
          <w:rFonts w:hint="eastAsia"/>
          <w:sz w:val="36"/>
          <w:szCs w:val="36"/>
          <w:lang w:val="en-US" w:eastAsia="zh-CN"/>
        </w:rPr>
      </w:pPr>
      <w:r>
        <w:rPr>
          <w:rFonts w:hint="eastAsia"/>
          <w:sz w:val="36"/>
          <w:szCs w:val="36"/>
          <w:lang w:val="en-US" w:eastAsia="zh-CN"/>
        </w:rPr>
        <w:t>1、财政拨款：指县级财政当年拨付的资金。</w:t>
      </w:r>
    </w:p>
    <w:p>
      <w:pPr>
        <w:tabs>
          <w:tab w:val="left" w:pos="975"/>
        </w:tabs>
        <w:bidi w:val="0"/>
        <w:ind w:firstLine="1080" w:firstLineChars="300"/>
        <w:rPr>
          <w:rFonts w:hint="default"/>
          <w:sz w:val="36"/>
          <w:szCs w:val="36"/>
          <w:lang w:val="en-US" w:eastAsia="zh-CN"/>
        </w:rPr>
      </w:pPr>
      <w:r>
        <w:rPr>
          <w:rFonts w:hint="eastAsia"/>
          <w:sz w:val="36"/>
          <w:szCs w:val="36"/>
          <w:lang w:val="en-US" w:eastAsia="zh-CN"/>
        </w:rPr>
        <w:t>2、事业收入：指公立医院开展专业业务活动及其辅助活动实现的收入。</w:t>
      </w:r>
    </w:p>
    <w:p>
      <w:pPr>
        <w:tabs>
          <w:tab w:val="left" w:pos="1050"/>
          <w:tab w:val="left" w:pos="1335"/>
        </w:tabs>
        <w:bidi w:val="0"/>
        <w:ind w:firstLine="1080" w:firstLineChars="300"/>
        <w:jc w:val="left"/>
        <w:rPr>
          <w:rFonts w:hint="eastAsia"/>
          <w:sz w:val="36"/>
          <w:szCs w:val="36"/>
          <w:lang w:val="en-US" w:eastAsia="zh-CN"/>
        </w:rPr>
      </w:pPr>
      <w:r>
        <w:rPr>
          <w:rFonts w:hint="eastAsia"/>
          <w:sz w:val="36"/>
          <w:szCs w:val="36"/>
          <w:lang w:val="en-US" w:eastAsia="zh-CN"/>
        </w:rPr>
        <w:t>3、</w:t>
      </w:r>
      <w:r>
        <w:rPr>
          <w:rFonts w:hint="eastAsia"/>
          <w:sz w:val="36"/>
          <w:szCs w:val="36"/>
          <w:lang w:val="en-US" w:eastAsia="zh-CN"/>
        </w:rPr>
        <w:tab/>
      </w:r>
      <w:r>
        <w:rPr>
          <w:rFonts w:hint="eastAsia"/>
          <w:sz w:val="36"/>
          <w:szCs w:val="36"/>
          <w:lang w:val="en-US" w:eastAsia="zh-CN"/>
        </w:rPr>
        <w:t>其他收入：指公立医院取得的除财政拨款、事业收入、等以外的各项收入。</w:t>
      </w:r>
    </w:p>
    <w:p>
      <w:pPr>
        <w:tabs>
          <w:tab w:val="left" w:pos="1065"/>
        </w:tabs>
        <w:bidi w:val="0"/>
        <w:ind w:firstLine="1080" w:firstLineChars="300"/>
        <w:jc w:val="left"/>
        <w:rPr>
          <w:rFonts w:hint="eastAsia"/>
          <w:sz w:val="36"/>
          <w:szCs w:val="36"/>
          <w:lang w:val="en-US" w:eastAsia="zh-CN"/>
        </w:rPr>
      </w:pPr>
      <w:r>
        <w:rPr>
          <w:rFonts w:hint="eastAsia"/>
          <w:sz w:val="36"/>
          <w:szCs w:val="36"/>
          <w:lang w:val="en-US" w:eastAsia="zh-CN"/>
        </w:rPr>
        <w:t>4、上年结转和结余：填列2020年全部结转结余资金。</w:t>
      </w:r>
    </w:p>
    <w:p>
      <w:pPr>
        <w:tabs>
          <w:tab w:val="left" w:pos="1050"/>
        </w:tabs>
        <w:bidi w:val="0"/>
        <w:ind w:firstLine="1080" w:firstLineChars="300"/>
        <w:jc w:val="left"/>
        <w:rPr>
          <w:rFonts w:hint="eastAsia"/>
          <w:sz w:val="36"/>
          <w:szCs w:val="36"/>
          <w:lang w:val="en-US" w:eastAsia="zh-CN"/>
        </w:rPr>
      </w:pPr>
      <w:r>
        <w:rPr>
          <w:rFonts w:hint="eastAsia"/>
          <w:sz w:val="36"/>
          <w:szCs w:val="36"/>
          <w:lang w:val="en-US" w:eastAsia="zh-CN"/>
        </w:rPr>
        <w:t>5、三公经费支出包含因公出国费、公务用车购置及运行费用、公务接待费，公开决算中的三公经费开支仅指财政拨款支出数。</w:t>
      </w:r>
    </w:p>
    <w:p>
      <w:pPr>
        <w:tabs>
          <w:tab w:val="left" w:pos="1050"/>
        </w:tabs>
        <w:bidi w:val="0"/>
        <w:ind w:firstLine="1080" w:firstLineChars="300"/>
        <w:jc w:val="left"/>
        <w:rPr>
          <w:sz w:val="36"/>
          <w:szCs w:val="36"/>
        </w:rPr>
      </w:pPr>
      <w:r>
        <w:rPr>
          <w:rFonts w:hint="eastAsia"/>
          <w:sz w:val="36"/>
          <w:szCs w:val="36"/>
          <w:lang w:val="en-US" w:eastAsia="zh-CN"/>
        </w:rPr>
        <w:t>6、单位运行经费包据办公经费、水费、电费、差旅费等日常公用经费支出、公开决算中的运行经费开支仅指财政拨款支出数。</w:t>
      </w:r>
    </w:p>
    <w:p>
      <w:pPr>
        <w:pStyle w:val="2"/>
        <w:spacing w:before="0" w:line="374" w:lineRule="auto"/>
        <w:ind w:left="0" w:leftChars="0" w:right="108" w:firstLine="0" w:firstLineChars="0"/>
        <w:jc w:val="both"/>
        <w:rPr>
          <w:sz w:val="36"/>
          <w:szCs w:val="36"/>
        </w:rPr>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tabs>
          <w:tab w:val="right" w:pos="8690"/>
        </w:tabs>
        <w:bidi w:val="0"/>
        <w:jc w:val="left"/>
        <w:rPr>
          <w:rFonts w:hint="eastAsia" w:eastAsia="仿宋"/>
          <w:lang w:eastAsia="zh-CN"/>
        </w:rPr>
        <w:sectPr>
          <w:type w:val="continuous"/>
          <w:pgSz w:w="11910" w:h="16840"/>
          <w:pgMar w:top="1560" w:right="1540" w:bottom="1160" w:left="1680" w:header="0" w:footer="975" w:gutter="0"/>
          <w:cols w:space="720" w:num="1"/>
        </w:sectPr>
      </w:pPr>
    </w:p>
    <w:p>
      <w:pPr>
        <w:tabs>
          <w:tab w:val="left" w:pos="1050"/>
        </w:tabs>
        <w:bidi w:val="0"/>
        <w:jc w:val="left"/>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F1AB64"/>
    <w:multiLevelType w:val="singleLevel"/>
    <w:tmpl w:val="CEF1AB64"/>
    <w:lvl w:ilvl="0" w:tentative="0">
      <w:start w:val="8"/>
      <w:numFmt w:val="chineseCounting"/>
      <w:suff w:val="nothing"/>
      <w:lvlText w:val="%1、"/>
      <w:lvlJc w:val="left"/>
      <w:pPr>
        <w:ind w:left="1280" w:firstLine="0"/>
      </w:pPr>
      <w:rPr>
        <w:rFonts w:hint="eastAsia"/>
      </w:rPr>
    </w:lvl>
  </w:abstractNum>
  <w:abstractNum w:abstractNumId="1">
    <w:nsid w:val="14B4C9D4"/>
    <w:multiLevelType w:val="singleLevel"/>
    <w:tmpl w:val="14B4C9D4"/>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FkODllZjNjZmE1MmEyYzI2YzJhMmJiZDQwY2JhNTQifQ=="/>
  </w:docVars>
  <w:rsids>
    <w:rsidRoot w:val="00172A27"/>
    <w:rsid w:val="05757F2E"/>
    <w:rsid w:val="065C46FF"/>
    <w:rsid w:val="06E7064A"/>
    <w:rsid w:val="07643913"/>
    <w:rsid w:val="0B490C3B"/>
    <w:rsid w:val="0C687F21"/>
    <w:rsid w:val="105B273D"/>
    <w:rsid w:val="10FD4B84"/>
    <w:rsid w:val="15DB7FDA"/>
    <w:rsid w:val="15FC076B"/>
    <w:rsid w:val="16BC2598"/>
    <w:rsid w:val="17B9711E"/>
    <w:rsid w:val="180C4BEE"/>
    <w:rsid w:val="18450E31"/>
    <w:rsid w:val="1C195C75"/>
    <w:rsid w:val="1E2605F7"/>
    <w:rsid w:val="1ECC6154"/>
    <w:rsid w:val="216C7168"/>
    <w:rsid w:val="22BF3AE8"/>
    <w:rsid w:val="26F86CAF"/>
    <w:rsid w:val="2A8E5963"/>
    <w:rsid w:val="2BE45393"/>
    <w:rsid w:val="2D093F85"/>
    <w:rsid w:val="30C93D0E"/>
    <w:rsid w:val="317E2007"/>
    <w:rsid w:val="332C20AF"/>
    <w:rsid w:val="343C4C08"/>
    <w:rsid w:val="3B3D0CDD"/>
    <w:rsid w:val="3EA23141"/>
    <w:rsid w:val="40C46643"/>
    <w:rsid w:val="43DD421F"/>
    <w:rsid w:val="45B779BE"/>
    <w:rsid w:val="49D814E5"/>
    <w:rsid w:val="4B0C5AD4"/>
    <w:rsid w:val="544544D9"/>
    <w:rsid w:val="5ABD32DB"/>
    <w:rsid w:val="5E487094"/>
    <w:rsid w:val="64673655"/>
    <w:rsid w:val="65D774B5"/>
    <w:rsid w:val="66242E1B"/>
    <w:rsid w:val="66F11406"/>
    <w:rsid w:val="66F94E4E"/>
    <w:rsid w:val="680050F4"/>
    <w:rsid w:val="68F676C1"/>
    <w:rsid w:val="699F1757"/>
    <w:rsid w:val="6AE078BD"/>
    <w:rsid w:val="6E323BF2"/>
    <w:rsid w:val="6FBC1CD1"/>
    <w:rsid w:val="74AD54B2"/>
    <w:rsid w:val="7D537147"/>
    <w:rsid w:val="7FF11B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paragraph" w:styleId="3">
    <w:name w:val="heading 1"/>
    <w:basedOn w:val="1"/>
    <w:next w:val="1"/>
    <w:qFormat/>
    <w:uiPriority w:val="1"/>
    <w:pPr>
      <w:ind w:right="141"/>
      <w:jc w:val="center"/>
      <w:outlineLvl w:val="1"/>
    </w:pPr>
    <w:rPr>
      <w:rFonts w:ascii="方正小标宋简体" w:hAnsi="方正小标宋简体" w:eastAsia="方正小标宋简体" w:cs="方正小标宋简体"/>
      <w:sz w:val="36"/>
      <w:szCs w:val="36"/>
      <w:lang w:val="zh-CN" w:eastAsia="zh-CN" w:bidi="zh-CN"/>
    </w:rPr>
  </w:style>
  <w:style w:type="paragraph" w:styleId="4">
    <w:name w:val="heading 4"/>
    <w:basedOn w:val="1"/>
    <w:next w:val="1"/>
    <w:qFormat/>
    <w:uiPriority w:val="1"/>
    <w:pPr>
      <w:spacing w:before="1"/>
      <w:ind w:left="720"/>
      <w:outlineLvl w:val="4"/>
    </w:pPr>
    <w:rPr>
      <w:rFonts w:ascii="仿宋" w:hAnsi="仿宋" w:eastAsia="仿宋" w:cs="仿宋"/>
      <w:b/>
      <w:bCs/>
      <w:sz w:val="30"/>
      <w:szCs w:val="30"/>
      <w:lang w:val="zh-CN" w:eastAsia="zh-CN" w:bidi="zh-CN"/>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
      <w:ind w:left="120"/>
    </w:pPr>
    <w:rPr>
      <w:rFonts w:ascii="仿宋" w:hAnsi="仿宋" w:eastAsia="仿宋" w:cs="仿宋"/>
      <w:sz w:val="30"/>
      <w:szCs w:val="30"/>
      <w:lang w:val="zh-CN" w:eastAsia="zh-CN" w:bidi="zh-CN"/>
    </w:rPr>
  </w:style>
  <w:style w:type="paragraph" w:styleId="5">
    <w:name w:val="Normal Indent"/>
    <w:basedOn w:val="1"/>
    <w:qFormat/>
    <w:uiPriority w:val="0"/>
    <w:pPr>
      <w:ind w:firstLine="420"/>
    </w:pPr>
  </w:style>
  <w:style w:type="paragraph" w:customStyle="1" w:styleId="8">
    <w:name w:val="p0"/>
    <w:basedOn w:val="1"/>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6233</Words>
  <Characters>8704</Characters>
  <Lines>0</Lines>
  <Paragraphs>0</Paragraphs>
  <TotalTime>6</TotalTime>
  <ScaleCrop>false</ScaleCrop>
  <LinksUpToDate>false</LinksUpToDate>
  <CharactersWithSpaces>9846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2021-05-26T02:56:00Z</dcterms:created>
  <dc:creator>Administrator</dc:creator>
  <cp:lastModifiedBy>Administrator</cp:lastModifiedBy>
  <dcterms:modified xsi:type="dcterms:W3CDTF">2022-09-20T05:03:21Z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10D4A4B2FCF14A51A30C5F33B4D5FE0B</vt:lpwstr>
  </property>
</Properties>
</file>