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兴国县妇幼保健计划生育服务中心</w:t>
      </w: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2020年度单位决算目录</w:t>
      </w:r>
    </w:p>
    <w:p>
      <w:pPr>
        <w:pStyle w:val="2"/>
        <w:jc w:val="center"/>
        <w:rPr>
          <w:rFonts w:hint="default" w:ascii="宋体" w:hAnsi="宋体" w:eastAsia="宋体" w:cs="宋体"/>
          <w:b/>
          <w:bCs/>
          <w:sz w:val="36"/>
          <w:szCs w:val="36"/>
          <w:lang w:val="en-US" w:eastAsia="zh-CN"/>
        </w:rPr>
      </w:pPr>
    </w:p>
    <w:p>
      <w:pPr>
        <w:numPr>
          <w:ilvl w:val="0"/>
          <w:numId w:val="0"/>
        </w:numPr>
        <w:jc w:val="left"/>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第一部分  兴国县妇幼保健计划生育服务中心单位概况</w:t>
      </w:r>
    </w:p>
    <w:p>
      <w:pPr>
        <w:numPr>
          <w:ilvl w:val="0"/>
          <w:numId w:val="0"/>
        </w:numPr>
        <w:ind w:firstLine="640" w:firstLineChars="200"/>
        <w:jc w:val="both"/>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一、单位主要职能</w:t>
      </w:r>
    </w:p>
    <w:p>
      <w:pPr>
        <w:pStyle w:val="2"/>
        <w:numPr>
          <w:ilvl w:val="0"/>
          <w:numId w:val="0"/>
        </w:numPr>
        <w:ind w:leftChars="0" w:firstLine="640" w:firstLineChars="200"/>
        <w:rPr>
          <w:rFonts w:hint="eastAsia" w:ascii="宋体" w:hAnsi="宋体" w:eastAsia="宋体" w:cs="宋体"/>
          <w:b w:val="0"/>
          <w:bCs w:val="0"/>
          <w:sz w:val="32"/>
          <w:szCs w:val="32"/>
          <w:lang w:val="en-US" w:eastAsia="zh-CN"/>
        </w:rPr>
      </w:pPr>
      <w:r>
        <w:rPr>
          <w:rFonts w:hint="eastAsia" w:ascii="仿宋" w:hAnsi="仿宋" w:eastAsia="仿宋" w:cs="仿宋"/>
          <w:b w:val="0"/>
          <w:bCs w:val="0"/>
          <w:sz w:val="32"/>
          <w:szCs w:val="32"/>
          <w:lang w:val="en-US" w:eastAsia="zh-CN"/>
        </w:rPr>
        <w:t>二、单位基本情况</w:t>
      </w:r>
    </w:p>
    <w:p>
      <w:pPr>
        <w:pStyle w:val="2"/>
        <w:numPr>
          <w:ilvl w:val="0"/>
          <w:numId w:val="0"/>
        </w:numPr>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第二部分  兴国县妇幼保健计划生育服务中心2020年度单位决算情况说明</w:t>
      </w:r>
    </w:p>
    <w:p>
      <w:pPr>
        <w:pStyle w:val="2"/>
        <w:numPr>
          <w:ilvl w:val="0"/>
          <w:numId w:val="0"/>
        </w:numPr>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一、收入决算情况说明</w:t>
      </w:r>
    </w:p>
    <w:p>
      <w:pPr>
        <w:pStyle w:val="2"/>
        <w:numPr>
          <w:ilvl w:val="0"/>
          <w:numId w:val="0"/>
        </w:numPr>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二、支出决算情况说明</w:t>
      </w:r>
    </w:p>
    <w:p>
      <w:pPr>
        <w:pStyle w:val="2"/>
        <w:numPr>
          <w:ilvl w:val="0"/>
          <w:numId w:val="0"/>
        </w:numPr>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三、财政拨款支出决算情况说明</w:t>
      </w:r>
    </w:p>
    <w:p>
      <w:pPr>
        <w:pStyle w:val="2"/>
        <w:numPr>
          <w:ilvl w:val="0"/>
          <w:numId w:val="0"/>
        </w:numPr>
        <w:ind w:firstLine="640"/>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四、一般公共预算财政拨款基本支出决算情况说明</w:t>
      </w:r>
    </w:p>
    <w:p>
      <w:pPr>
        <w:ind w:firstLine="640" w:firstLineChars="200"/>
        <w:jc w:val="lef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五、</w:t>
      </w:r>
      <w:r>
        <w:rPr>
          <w:rFonts w:hint="eastAsia" w:ascii="仿宋" w:hAnsi="仿宋" w:eastAsia="仿宋" w:cs="仿宋"/>
          <w:b w:val="0"/>
          <w:bCs w:val="0"/>
          <w:sz w:val="32"/>
          <w:szCs w:val="32"/>
        </w:rPr>
        <w:t>一般公共预算财政拨款“三公”经费支出决算情况说明</w:t>
      </w:r>
    </w:p>
    <w:p>
      <w:pPr>
        <w:pStyle w:val="2"/>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六、机关运行经费支出情况说明</w:t>
      </w:r>
    </w:p>
    <w:p>
      <w:pPr>
        <w:pStyle w:val="2"/>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七、政府采购支出情况说明</w:t>
      </w:r>
    </w:p>
    <w:p>
      <w:pPr>
        <w:pStyle w:val="2"/>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八、国有资产占用情况说明</w:t>
      </w:r>
    </w:p>
    <w:p>
      <w:pPr>
        <w:pStyle w:val="2"/>
        <w:ind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九、预算绩效情况说明</w:t>
      </w:r>
    </w:p>
    <w:p>
      <w:pPr>
        <w:pStyle w:val="2"/>
        <w:numPr>
          <w:ilvl w:val="0"/>
          <w:numId w:val="0"/>
        </w:numPr>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第三部分 兴国县妇幼保健计划生育服务中心2020年单位决算报表</w:t>
      </w:r>
    </w:p>
    <w:p>
      <w:pPr>
        <w:pStyle w:val="2"/>
        <w:numPr>
          <w:ilvl w:val="0"/>
          <w:numId w:val="0"/>
        </w:numPr>
        <w:ind w:leftChars="0"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一、《收入支出决算总表》</w:t>
      </w:r>
    </w:p>
    <w:p>
      <w:pPr>
        <w:pStyle w:val="2"/>
        <w:numPr>
          <w:ilvl w:val="0"/>
          <w:numId w:val="0"/>
        </w:numPr>
        <w:ind w:leftChars="0"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二、《收入决算表》</w:t>
      </w:r>
    </w:p>
    <w:p>
      <w:pPr>
        <w:pStyle w:val="2"/>
        <w:numPr>
          <w:ilvl w:val="0"/>
          <w:numId w:val="0"/>
        </w:numPr>
        <w:ind w:leftChars="0"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三、《支出决算表》</w:t>
      </w:r>
    </w:p>
    <w:p>
      <w:pPr>
        <w:pStyle w:val="2"/>
        <w:numPr>
          <w:ilvl w:val="0"/>
          <w:numId w:val="0"/>
        </w:numPr>
        <w:ind w:leftChars="0"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四、《财政拨款收入支出决算表》</w:t>
      </w:r>
    </w:p>
    <w:p>
      <w:pPr>
        <w:pStyle w:val="2"/>
        <w:numPr>
          <w:ilvl w:val="0"/>
          <w:numId w:val="0"/>
        </w:numPr>
        <w:ind w:leftChars="0"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五、《一般公共预算财政拨款支出决算表》</w:t>
      </w:r>
    </w:p>
    <w:p>
      <w:pPr>
        <w:pStyle w:val="2"/>
        <w:numPr>
          <w:ilvl w:val="0"/>
          <w:numId w:val="0"/>
        </w:numPr>
        <w:ind w:leftChars="0"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六、《一般公共预算财政拨款基本支出决算表》</w:t>
      </w:r>
    </w:p>
    <w:p>
      <w:pPr>
        <w:pStyle w:val="2"/>
        <w:numPr>
          <w:ilvl w:val="0"/>
          <w:numId w:val="0"/>
        </w:numPr>
        <w:ind w:leftChars="0"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七、《一般公共预算财政拨款“三公”经费支出决算表》</w:t>
      </w:r>
    </w:p>
    <w:p>
      <w:pPr>
        <w:pStyle w:val="2"/>
        <w:numPr>
          <w:ilvl w:val="0"/>
          <w:numId w:val="0"/>
        </w:numPr>
        <w:ind w:leftChars="0"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八、《政府性基金预算财政拨款收入支出决算表》</w:t>
      </w:r>
    </w:p>
    <w:p>
      <w:pPr>
        <w:pStyle w:val="2"/>
        <w:numPr>
          <w:ilvl w:val="0"/>
          <w:numId w:val="0"/>
        </w:numPr>
        <w:ind w:leftChars="0" w:firstLine="640"/>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九、《国有资本经营预算财政拨款支出决算表》</w:t>
      </w:r>
    </w:p>
    <w:p>
      <w:pPr>
        <w:pStyle w:val="2"/>
        <w:numPr>
          <w:ilvl w:val="0"/>
          <w:numId w:val="0"/>
        </w:numPr>
        <w:ind w:leftChars="0" w:firstLine="64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十、《国有资产占用情况表》</w:t>
      </w:r>
    </w:p>
    <w:p>
      <w:pPr>
        <w:pStyle w:val="2"/>
        <w:ind w:firstLine="640"/>
        <w:rPr>
          <w:rFonts w:hint="eastAsia" w:ascii="仿宋" w:hAnsi="仿宋" w:eastAsia="仿宋" w:cs="仿宋"/>
          <w:b w:val="0"/>
          <w:bCs w:val="0"/>
          <w:sz w:val="32"/>
          <w:szCs w:val="32"/>
          <w:lang w:val="en-US" w:eastAsia="zh-CN"/>
        </w:rPr>
      </w:pPr>
    </w:p>
    <w:p>
      <w:pPr>
        <w:pStyle w:val="2"/>
        <w:numPr>
          <w:ilvl w:val="0"/>
          <w:numId w:val="0"/>
        </w:numPr>
        <w:rPr>
          <w:rFonts w:hint="eastAsia" w:ascii="宋体" w:hAnsi="宋体" w:eastAsia="宋体" w:cs="宋体"/>
          <w:b w:val="0"/>
          <w:bCs w:val="0"/>
          <w:sz w:val="32"/>
          <w:szCs w:val="32"/>
          <w:lang w:val="en-US" w:eastAsia="zh-CN"/>
        </w:rPr>
      </w:pPr>
      <w:r>
        <w:rPr>
          <w:rFonts w:hint="eastAsia" w:ascii="宋体" w:hAnsi="宋体" w:eastAsia="宋体" w:cs="宋体"/>
          <w:b w:val="0"/>
          <w:bCs w:val="0"/>
          <w:sz w:val="32"/>
          <w:szCs w:val="32"/>
          <w:lang w:val="en-US" w:eastAsia="zh-CN"/>
        </w:rPr>
        <w:t>第四部分 名词解释</w:t>
      </w:r>
    </w:p>
    <w:p>
      <w:pPr>
        <w:pStyle w:val="2"/>
        <w:rPr>
          <w:rFonts w:hint="eastAsia" w:ascii="宋体" w:hAnsi="宋体" w:eastAsia="宋体" w:cs="宋体"/>
          <w:b/>
          <w:bCs/>
          <w:sz w:val="44"/>
          <w:szCs w:val="44"/>
          <w:lang w:val="en-US" w:eastAsia="zh-CN"/>
        </w:rPr>
      </w:pPr>
    </w:p>
    <w:p>
      <w:pPr>
        <w:pStyle w:val="2"/>
        <w:rPr>
          <w:rFonts w:hint="eastAsia" w:ascii="宋体" w:hAnsi="宋体" w:eastAsia="宋体" w:cs="宋体"/>
          <w:b/>
          <w:bCs/>
          <w:sz w:val="44"/>
          <w:szCs w:val="44"/>
          <w:lang w:val="en-US" w:eastAsia="zh-CN"/>
        </w:rPr>
      </w:pPr>
    </w:p>
    <w:p>
      <w:pPr>
        <w:pStyle w:val="2"/>
        <w:rPr>
          <w:rFonts w:hint="eastAsia" w:ascii="宋体" w:hAnsi="宋体" w:eastAsia="宋体" w:cs="宋体"/>
          <w:b/>
          <w:bCs/>
          <w:sz w:val="44"/>
          <w:szCs w:val="44"/>
          <w:lang w:val="en-US" w:eastAsia="zh-CN"/>
        </w:rPr>
      </w:pPr>
    </w:p>
    <w:p>
      <w:pPr>
        <w:pStyle w:val="2"/>
        <w:rPr>
          <w:rFonts w:hint="eastAsia" w:ascii="宋体" w:hAnsi="宋体" w:eastAsia="宋体" w:cs="宋体"/>
          <w:b/>
          <w:bCs/>
          <w:sz w:val="44"/>
          <w:szCs w:val="44"/>
          <w:lang w:val="en-US" w:eastAsia="zh-CN"/>
        </w:rPr>
      </w:pPr>
    </w:p>
    <w:p>
      <w:pPr>
        <w:numPr>
          <w:ilvl w:val="0"/>
          <w:numId w:val="1"/>
        </w:numPr>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 xml:space="preserve"> 兴国县妇幼保健计划生育服务中心单位概况</w:t>
      </w:r>
    </w:p>
    <w:p>
      <w:pPr>
        <w:numPr>
          <w:ilvl w:val="0"/>
          <w:numId w:val="2"/>
        </w:numPr>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单位主要职能</w:t>
      </w:r>
    </w:p>
    <w:p>
      <w:pPr>
        <w:keepNext w:val="0"/>
        <w:keepLines w:val="0"/>
        <w:widowControl/>
        <w:suppressLineNumbers w:val="0"/>
        <w:spacing w:before="0" w:beforeAutospacing="0" w:after="0" w:afterAutospacing="0" w:line="480" w:lineRule="auto"/>
        <w:ind w:right="0" w:firstLine="640" w:firstLineChars="200"/>
        <w:jc w:val="left"/>
        <w:rPr>
          <w:rFonts w:hint="eastAsia" w:ascii="仿宋" w:hAnsi="仿宋" w:eastAsia="仿宋" w:cs="仿宋"/>
          <w:kern w:val="0"/>
          <w:sz w:val="32"/>
          <w:szCs w:val="32"/>
          <w:lang w:val="en-US" w:eastAsia="zh-CN" w:bidi="ar"/>
        </w:rPr>
      </w:pPr>
      <w:r>
        <w:rPr>
          <w:rFonts w:hint="eastAsia" w:ascii="仿宋" w:hAnsi="仿宋" w:eastAsia="仿宋" w:cs="仿宋"/>
          <w:b w:val="0"/>
          <w:bCs w:val="0"/>
          <w:sz w:val="32"/>
          <w:szCs w:val="32"/>
          <w:lang w:val="en-US" w:eastAsia="zh-CN"/>
        </w:rPr>
        <w:t>兴国县妇幼保健计划生育服务中心</w:t>
      </w:r>
      <w:r>
        <w:rPr>
          <w:rFonts w:hint="eastAsia" w:ascii="仿宋" w:hAnsi="仿宋" w:eastAsia="仿宋" w:cs="仿宋"/>
          <w:kern w:val="0"/>
          <w:sz w:val="32"/>
          <w:szCs w:val="32"/>
          <w:lang w:val="en-US" w:eastAsia="zh-CN" w:bidi="ar"/>
        </w:rPr>
        <w:t>是一所集医疗、保健、妇女儿童健康教育、生殖健康服务和教学科研为一体的江西省“二级甲等”妇幼保健专科医院。宗旨和业务范围：为妇女儿童身体健康保健服务、负责妇女保健、儿童保健、妇女病筛查、遗传病筛查、产前诊断与接生、高危孕产妇筛查、监测与监护高危新生儿筛查、治疗与监护儿童疾病防治、妇幼卫生监测与信息管理、妇幼卫生保健人员培训、妇幼保健科学研究计划生育技术服务、妇幼保健咨询等。主要职责有：</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（一）</w:t>
      </w:r>
      <w:r>
        <w:rPr>
          <w:rFonts w:hint="eastAsia" w:ascii="仿宋" w:hAnsi="仿宋" w:eastAsia="仿宋" w:cs="仿宋"/>
          <w:sz w:val="32"/>
          <w:szCs w:val="32"/>
        </w:rPr>
        <w:t>切实履行公共卫生职责，开展与妇女儿童健康密切相关的基本医疗服务。</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（二）</w:t>
      </w:r>
      <w:r>
        <w:rPr>
          <w:rFonts w:hint="eastAsia" w:ascii="仿宋" w:hAnsi="仿宋" w:eastAsia="仿宋" w:cs="仿宋"/>
          <w:sz w:val="32"/>
          <w:szCs w:val="32"/>
        </w:rPr>
        <w:t>完成各级政府和卫生行政部门下达的指令性任务。</w:t>
      </w:r>
      <w:r>
        <w:rPr>
          <w:rFonts w:hint="eastAsia" w:ascii="仿宋" w:hAnsi="仿宋" w:eastAsia="仿宋" w:cs="仿宋"/>
          <w:sz w:val="32"/>
          <w:szCs w:val="32"/>
          <w:lang w:val="en-US" w:eastAsia="zh-CN"/>
        </w:rPr>
        <w:t xml:space="preserve"> </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（三）</w:t>
      </w:r>
      <w:r>
        <w:rPr>
          <w:rFonts w:hint="eastAsia" w:ascii="仿宋" w:hAnsi="仿宋" w:eastAsia="仿宋" w:cs="仿宋"/>
          <w:sz w:val="32"/>
          <w:szCs w:val="32"/>
        </w:rPr>
        <w:t>掌握本辖区妇女儿童健康状况及影响因素，协助卫生行政部门制定本辖区妇幼卫生工作的相关政策、技术规范及各项规章制度。</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受卫生行政部门委托对本辖区各级各类医疗保健机构开展的妇幼卫生服务进行检查、考核与评价。</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（五）</w:t>
      </w:r>
      <w:r>
        <w:rPr>
          <w:rFonts w:hint="eastAsia" w:ascii="仿宋" w:hAnsi="仿宋" w:eastAsia="仿宋" w:cs="仿宋"/>
          <w:sz w:val="32"/>
          <w:szCs w:val="32"/>
        </w:rPr>
        <w:t>负责指导和开展本辖区的妇幼保健健康教育与健康促进工作；组织实施本辖区母婴保健技术培训，对基层医疗保健机构开展业务指导，并提供技术支持。</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（六）</w:t>
      </w:r>
      <w:r>
        <w:rPr>
          <w:rFonts w:hint="eastAsia" w:ascii="仿宋" w:hAnsi="仿宋" w:eastAsia="仿宋" w:cs="仿宋"/>
          <w:sz w:val="32"/>
          <w:szCs w:val="32"/>
        </w:rPr>
        <w:t>负责本辖区孕产妇死亡、婴儿及5岁以下儿童死亡、出生缺陷监测、妇幼卫生服务及技术管理等信息的收集、统计、分析、质量控制和汇总上报。</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（七）</w:t>
      </w:r>
      <w:r>
        <w:rPr>
          <w:rFonts w:hint="eastAsia" w:ascii="仿宋" w:hAnsi="仿宋" w:eastAsia="仿宋" w:cs="仿宋"/>
          <w:sz w:val="32"/>
          <w:szCs w:val="32"/>
        </w:rPr>
        <w:t>开展妇女保健服务，包括青春期保健、婚前和孕前保健、孕产期保健、更年期保健、老年期保健。重点加强心理卫生咨询、营养指导、计划生育技术服务、生殖道感染/性传播疾病等妇女常见病防治。</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（八）</w:t>
      </w:r>
      <w:r>
        <w:rPr>
          <w:rFonts w:hint="eastAsia" w:ascii="仿宋" w:hAnsi="仿宋" w:eastAsia="仿宋" w:cs="仿宋"/>
          <w:sz w:val="32"/>
          <w:szCs w:val="32"/>
        </w:rPr>
        <w:t>开展儿童保健服务，包括胎儿期、新生儿期、婴幼儿期、学龄前期及学龄期保健，受卫生行政部门委托对托幼园所卫生保健进行管理和业务指导。重点加强儿童早期综合发展、营养与喂养指导、生长发育监测、心理行为咨询、儿童疾病综合管理等儿童保健服务。</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（九）</w:t>
      </w:r>
      <w:r>
        <w:rPr>
          <w:rFonts w:hint="eastAsia" w:ascii="仿宋" w:hAnsi="仿宋" w:eastAsia="仿宋" w:cs="仿宋"/>
          <w:sz w:val="32"/>
          <w:szCs w:val="32"/>
        </w:rPr>
        <w:t>开展妇幼卫生、生殖健康的应用性科学研究并组织推广适宜技术。</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提供以下基本医疗服务，包括妇女儿童常见疾病诊治、计划生育技术服务、产前筛查、新生儿疾病筛查、助产技术服务、产前诊断、产科并发症处理、新生儿危重症抢救和治疗等。</w:t>
      </w:r>
    </w:p>
    <w:p>
      <w:pPr>
        <w:numPr>
          <w:ilvl w:val="0"/>
          <w:numId w:val="2"/>
        </w:numPr>
        <w:ind w:left="0" w:leftChars="0" w:firstLine="0" w:firstLineChars="0"/>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单位基本情况</w:t>
      </w:r>
    </w:p>
    <w:p>
      <w:pPr>
        <w:keepNext w:val="0"/>
        <w:keepLines w:val="0"/>
        <w:widowControl/>
        <w:suppressLineNumbers w:val="0"/>
        <w:spacing w:before="0" w:beforeAutospacing="0" w:after="0" w:afterAutospacing="0" w:line="480" w:lineRule="auto"/>
        <w:ind w:left="0" w:right="0" w:firstLine="480"/>
        <w:jc w:val="left"/>
        <w:rPr>
          <w:rFonts w:hint="eastAsia" w:ascii="仿宋" w:hAnsi="仿宋" w:eastAsia="仿宋" w:cs="仿宋"/>
          <w:kern w:val="0"/>
          <w:sz w:val="32"/>
          <w:szCs w:val="32"/>
          <w:lang w:val="en-US" w:eastAsia="zh-CN" w:bidi="ar"/>
        </w:rPr>
      </w:pPr>
      <w:r>
        <w:rPr>
          <w:rFonts w:hint="eastAsia" w:ascii="仿宋" w:hAnsi="仿宋" w:eastAsia="仿宋" w:cs="仿宋"/>
          <w:sz w:val="32"/>
          <w:szCs w:val="32"/>
          <w:lang w:val="en-US" w:eastAsia="zh-CN"/>
        </w:rPr>
        <w:t xml:space="preserve"> </w:t>
      </w:r>
      <w:r>
        <w:rPr>
          <w:rFonts w:hint="eastAsia" w:ascii="仿宋" w:hAnsi="仿宋" w:eastAsia="仿宋" w:cs="仿宋"/>
          <w:kern w:val="0"/>
          <w:sz w:val="32"/>
          <w:szCs w:val="32"/>
          <w:lang w:val="en-US" w:eastAsia="zh-CN" w:bidi="ar"/>
        </w:rPr>
        <w:t>本单位年末现有职工310人（在编职工135人、备案制职工82人、借调职工4人、临聘职工89人）；其中卫技人员258人，现编制床位105张。</w:t>
      </w:r>
    </w:p>
    <w:p>
      <w:pPr>
        <w:pStyle w:val="2"/>
        <w:rPr>
          <w:rFonts w:hint="eastAsia" w:ascii="仿宋" w:hAnsi="仿宋" w:eastAsia="仿宋" w:cs="仿宋"/>
          <w:kern w:val="0"/>
          <w:sz w:val="32"/>
          <w:szCs w:val="32"/>
          <w:lang w:val="en-US" w:eastAsia="zh-CN" w:bidi="ar"/>
        </w:rPr>
      </w:pPr>
    </w:p>
    <w:p>
      <w:pPr>
        <w:pStyle w:val="2"/>
        <w:ind w:firstLine="640" w:firstLineChars="200"/>
        <w:rPr>
          <w:rFonts w:hint="eastAsia" w:ascii="仿宋" w:hAnsi="仿宋" w:eastAsia="仿宋" w:cs="仿宋"/>
          <w:sz w:val="32"/>
          <w:szCs w:val="32"/>
          <w:lang w:val="en-US" w:eastAsia="zh-CN"/>
        </w:rPr>
      </w:pPr>
    </w:p>
    <w:p>
      <w:pPr>
        <w:pStyle w:val="2"/>
        <w:numPr>
          <w:ilvl w:val="0"/>
          <w:numId w:val="0"/>
        </w:numPr>
        <w:ind w:leftChars="0"/>
        <w:jc w:val="center"/>
        <w:rPr>
          <w:rFonts w:hint="eastAsia" w:ascii="宋体" w:hAnsi="宋体" w:eastAsia="宋体" w:cs="宋体"/>
          <w:b/>
          <w:bCs/>
          <w:lang w:val="en-US" w:eastAsia="zh-CN"/>
        </w:rPr>
      </w:pPr>
      <w:r>
        <w:rPr>
          <w:rFonts w:hint="eastAsia" w:ascii="宋体" w:hAnsi="宋体" w:eastAsia="宋体" w:cs="宋体"/>
          <w:b/>
          <w:bCs/>
          <w:lang w:val="en-US" w:eastAsia="zh-CN"/>
        </w:rPr>
        <w:t>第二部分  2020年度单位决算情况说明</w:t>
      </w:r>
    </w:p>
    <w:p>
      <w:pPr>
        <w:pStyle w:val="2"/>
        <w:numPr>
          <w:ilvl w:val="0"/>
          <w:numId w:val="0"/>
        </w:numPr>
        <w:jc w:val="both"/>
        <w:rPr>
          <w:rFonts w:hint="eastAsia" w:ascii="宋体" w:hAnsi="宋体" w:eastAsia="宋体" w:cs="宋体"/>
          <w:b/>
          <w:bCs/>
          <w:lang w:val="en-US" w:eastAsia="zh-CN"/>
        </w:rPr>
      </w:pPr>
      <w:r>
        <w:rPr>
          <w:rFonts w:hint="eastAsia" w:ascii="宋体" w:hAnsi="宋体" w:eastAsia="宋体" w:cs="宋体"/>
          <w:b/>
          <w:bCs/>
          <w:lang w:val="en-US" w:eastAsia="zh-CN"/>
        </w:rPr>
        <w:t>一、收入决算情况说明</w:t>
      </w:r>
    </w:p>
    <w:p>
      <w:pPr>
        <w:numPr>
          <w:ilvl w:val="0"/>
          <w:numId w:val="0"/>
        </w:numPr>
        <w:spacing w:line="360" w:lineRule="auto"/>
        <w:ind w:firstLine="640" w:firstLineChars="200"/>
        <w:rPr>
          <w:rFonts w:hint="default" w:ascii="仿宋" w:hAnsi="仿宋" w:eastAsia="仿宋" w:cs="仿宋"/>
          <w:sz w:val="32"/>
          <w:szCs w:val="32"/>
          <w:u w:val="none"/>
          <w:lang w:val="en-US" w:eastAsia="zh-CN"/>
        </w:rPr>
      </w:pPr>
      <w:r>
        <w:rPr>
          <w:rFonts w:hint="eastAsia" w:ascii="仿宋" w:hAnsi="仿宋" w:eastAsia="仿宋" w:cs="仿宋"/>
          <w:sz w:val="32"/>
          <w:szCs w:val="32"/>
        </w:rPr>
        <w:t>1、本单位</w:t>
      </w:r>
      <w:r>
        <w:rPr>
          <w:rFonts w:hint="eastAsia" w:ascii="仿宋" w:hAnsi="仿宋" w:eastAsia="仿宋" w:cs="仿宋"/>
          <w:sz w:val="32"/>
          <w:szCs w:val="32"/>
          <w:lang w:val="en-US" w:eastAsia="zh-CN"/>
        </w:rPr>
        <w:t>2020</w:t>
      </w:r>
      <w:r>
        <w:rPr>
          <w:rFonts w:hint="eastAsia" w:ascii="仿宋" w:hAnsi="仿宋" w:eastAsia="仿宋" w:cs="仿宋"/>
          <w:sz w:val="32"/>
          <w:szCs w:val="32"/>
        </w:rPr>
        <w:t>年总收入</w:t>
      </w:r>
      <w:r>
        <w:rPr>
          <w:rFonts w:hint="eastAsia" w:ascii="仿宋" w:hAnsi="仿宋" w:eastAsia="仿宋" w:cs="仿宋"/>
          <w:sz w:val="32"/>
          <w:szCs w:val="32"/>
          <w:lang w:val="en-US" w:eastAsia="zh-CN"/>
        </w:rPr>
        <w:t>7895.13万</w:t>
      </w:r>
      <w:r>
        <w:rPr>
          <w:rFonts w:hint="eastAsia" w:ascii="仿宋" w:hAnsi="仿宋" w:eastAsia="仿宋" w:cs="仿宋"/>
          <w:sz w:val="32"/>
          <w:szCs w:val="32"/>
        </w:rPr>
        <w:t>元，</w:t>
      </w:r>
      <w:r>
        <w:rPr>
          <w:rFonts w:hint="eastAsia" w:ascii="仿宋" w:hAnsi="仿宋" w:eastAsia="仿宋" w:cs="仿宋"/>
          <w:sz w:val="32"/>
          <w:szCs w:val="32"/>
          <w:u w:val="none"/>
        </w:rPr>
        <w:t>其中年初结转和结余</w:t>
      </w:r>
      <w:r>
        <w:rPr>
          <w:rFonts w:hint="eastAsia" w:ascii="仿宋" w:hAnsi="仿宋" w:eastAsia="仿宋" w:cs="仿宋"/>
          <w:sz w:val="32"/>
          <w:szCs w:val="32"/>
          <w:u w:val="none"/>
          <w:lang w:val="en-US" w:eastAsia="zh-CN"/>
        </w:rPr>
        <w:t>1685.44</w:t>
      </w:r>
      <w:r>
        <w:rPr>
          <w:rFonts w:hint="eastAsia" w:ascii="仿宋" w:hAnsi="仿宋" w:eastAsia="仿宋" w:cs="仿宋"/>
          <w:sz w:val="32"/>
          <w:szCs w:val="32"/>
          <w:u w:val="none"/>
        </w:rPr>
        <w:t>万元，较2019年增加</w:t>
      </w:r>
      <w:r>
        <w:rPr>
          <w:rFonts w:hint="eastAsia" w:ascii="仿宋" w:hAnsi="仿宋" w:eastAsia="仿宋" w:cs="仿宋"/>
          <w:sz w:val="32"/>
          <w:szCs w:val="32"/>
          <w:u w:val="none"/>
          <w:lang w:val="en-US" w:eastAsia="zh-CN"/>
        </w:rPr>
        <w:t>1276.01</w:t>
      </w:r>
      <w:r>
        <w:rPr>
          <w:rFonts w:hint="eastAsia" w:ascii="仿宋" w:hAnsi="仿宋" w:eastAsia="仿宋" w:cs="仿宋"/>
          <w:sz w:val="32"/>
          <w:szCs w:val="32"/>
          <w:u w:val="none"/>
        </w:rPr>
        <w:t>万元，增长</w:t>
      </w:r>
      <w:r>
        <w:rPr>
          <w:rFonts w:hint="eastAsia" w:ascii="仿宋" w:hAnsi="仿宋" w:eastAsia="仿宋" w:cs="仿宋"/>
          <w:sz w:val="32"/>
          <w:szCs w:val="32"/>
          <w:u w:val="none"/>
          <w:lang w:val="en-US" w:eastAsia="zh-CN"/>
        </w:rPr>
        <w:t>75</w:t>
      </w:r>
      <w:r>
        <w:rPr>
          <w:rFonts w:hint="eastAsia" w:ascii="仿宋" w:hAnsi="仿宋" w:eastAsia="仿宋" w:cs="仿宋"/>
          <w:sz w:val="32"/>
          <w:szCs w:val="32"/>
          <w:u w:val="none"/>
        </w:rPr>
        <w:t>%;本年收入合计</w:t>
      </w:r>
      <w:r>
        <w:rPr>
          <w:rFonts w:hint="eastAsia" w:ascii="仿宋" w:hAnsi="仿宋" w:eastAsia="仿宋" w:cs="仿宋"/>
          <w:sz w:val="32"/>
          <w:szCs w:val="32"/>
          <w:u w:val="none"/>
          <w:lang w:val="en-US" w:eastAsia="zh-CN"/>
        </w:rPr>
        <w:t>7895.13</w:t>
      </w:r>
      <w:r>
        <w:rPr>
          <w:rFonts w:hint="eastAsia" w:ascii="仿宋" w:hAnsi="仿宋" w:eastAsia="仿宋" w:cs="仿宋"/>
          <w:sz w:val="32"/>
          <w:szCs w:val="32"/>
          <w:u w:val="none"/>
        </w:rPr>
        <w:t>万元，较2019年减少</w:t>
      </w:r>
      <w:r>
        <w:rPr>
          <w:rFonts w:hint="eastAsia" w:ascii="仿宋" w:hAnsi="仿宋" w:eastAsia="仿宋" w:cs="仿宋"/>
          <w:sz w:val="32"/>
          <w:szCs w:val="32"/>
          <w:u w:val="none"/>
          <w:lang w:val="en-US" w:eastAsia="zh-CN"/>
        </w:rPr>
        <w:t>949.34</w:t>
      </w:r>
      <w:r>
        <w:rPr>
          <w:rFonts w:hint="eastAsia" w:ascii="仿宋" w:hAnsi="仿宋" w:eastAsia="仿宋" w:cs="仿宋"/>
          <w:sz w:val="32"/>
          <w:szCs w:val="32"/>
          <w:u w:val="none"/>
        </w:rPr>
        <w:t>万元，下降</w:t>
      </w:r>
      <w:r>
        <w:rPr>
          <w:rFonts w:hint="eastAsia" w:ascii="仿宋" w:hAnsi="仿宋" w:eastAsia="仿宋" w:cs="仿宋"/>
          <w:sz w:val="32"/>
          <w:szCs w:val="32"/>
          <w:u w:val="none"/>
          <w:lang w:val="en-US" w:eastAsia="zh-CN"/>
        </w:rPr>
        <w:t>10.73</w:t>
      </w:r>
      <w:r>
        <w:rPr>
          <w:rFonts w:hint="eastAsia" w:ascii="仿宋" w:hAnsi="仿宋" w:eastAsia="仿宋" w:cs="仿宋"/>
          <w:sz w:val="32"/>
          <w:szCs w:val="32"/>
          <w:u w:val="none"/>
        </w:rPr>
        <w:t>%，主要原因是：</w:t>
      </w:r>
      <w:r>
        <w:rPr>
          <w:rFonts w:hint="eastAsia" w:ascii="仿宋" w:hAnsi="仿宋" w:eastAsia="仿宋" w:cs="仿宋"/>
          <w:sz w:val="32"/>
          <w:szCs w:val="32"/>
          <w:u w:val="none"/>
          <w:lang w:val="en-US" w:eastAsia="zh-CN"/>
        </w:rPr>
        <w:t>因新型冠状病毒疫情影响。</w:t>
      </w:r>
    </w:p>
    <w:p>
      <w:pPr>
        <w:numPr>
          <w:ilvl w:val="0"/>
          <w:numId w:val="0"/>
        </w:numPr>
        <w:spacing w:line="36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2、本年收入的具体构成为：财政拨款收入1833.79万元，占23.23%；事业收入6027.68万元，占76.35%；经营收入0万元，占0%；其他收入33.66万元，占0.42%。</w:t>
      </w:r>
    </w:p>
    <w:p>
      <w:pPr>
        <w:pStyle w:val="2"/>
        <w:ind w:firstLine="640" w:firstLineChars="200"/>
        <w:rPr>
          <w:rFonts w:hint="default"/>
          <w:highlight w:val="none"/>
          <w:lang w:val="en-US"/>
        </w:rPr>
      </w:pPr>
      <w:r>
        <w:rPr>
          <w:rFonts w:hint="eastAsia" w:ascii="仿宋" w:hAnsi="仿宋" w:eastAsia="仿宋" w:cs="仿宋"/>
          <w:sz w:val="32"/>
          <w:szCs w:val="32"/>
          <w:highlight w:val="none"/>
          <w:lang w:val="en-US" w:eastAsia="zh-CN"/>
        </w:rPr>
        <w:t>3、收入费用率：86.63%</w:t>
      </w:r>
    </w:p>
    <w:p>
      <w:pPr>
        <w:pStyle w:val="2"/>
        <w:numPr>
          <w:ilvl w:val="0"/>
          <w:numId w:val="0"/>
        </w:numPr>
        <w:jc w:val="both"/>
        <w:rPr>
          <w:rFonts w:hint="eastAsia" w:ascii="仿宋" w:hAnsi="仿宋" w:eastAsia="仿宋" w:cs="仿宋"/>
          <w:b w:val="0"/>
          <w:bCs w:val="0"/>
          <w:lang w:val="en-US" w:eastAsia="zh-CN"/>
        </w:rPr>
      </w:pPr>
      <w:r>
        <w:rPr>
          <w:rFonts w:hint="eastAsia" w:ascii="宋体" w:hAnsi="宋体" w:eastAsia="宋体" w:cs="宋体"/>
          <w:b/>
          <w:bCs/>
          <w:lang w:val="en-US" w:eastAsia="zh-CN"/>
        </w:rPr>
        <w:t>二、支出决算情况说明</w:t>
      </w:r>
    </w:p>
    <w:p>
      <w:pPr>
        <w:spacing w:line="360" w:lineRule="auto"/>
        <w:ind w:firstLine="640" w:firstLineChars="200"/>
        <w:rPr>
          <w:rFonts w:hint="eastAsia" w:ascii="仿宋" w:hAnsi="仿宋" w:eastAsia="仿宋"/>
          <w:sz w:val="32"/>
          <w:szCs w:val="32"/>
          <w:u w:val="none"/>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、本单位</w:t>
      </w:r>
      <w:r>
        <w:rPr>
          <w:rFonts w:hint="eastAsia" w:ascii="仿宋" w:hAnsi="仿宋" w:eastAsia="仿宋" w:cs="仿宋"/>
          <w:sz w:val="32"/>
          <w:szCs w:val="32"/>
          <w:lang w:val="en-US" w:eastAsia="zh-CN"/>
        </w:rPr>
        <w:t>2020</w:t>
      </w:r>
      <w:r>
        <w:rPr>
          <w:rFonts w:hint="eastAsia" w:ascii="仿宋" w:hAnsi="仿宋" w:eastAsia="仿宋" w:cs="仿宋"/>
          <w:sz w:val="32"/>
          <w:szCs w:val="32"/>
        </w:rPr>
        <w:t>年</w:t>
      </w:r>
      <w:r>
        <w:rPr>
          <w:rFonts w:hint="eastAsia" w:ascii="仿宋" w:hAnsi="仿宋" w:eastAsia="仿宋" w:cs="仿宋"/>
          <w:sz w:val="32"/>
          <w:szCs w:val="32"/>
          <w:lang w:eastAsia="zh-CN"/>
        </w:rPr>
        <w:t>度</w:t>
      </w:r>
      <w:r>
        <w:rPr>
          <w:rFonts w:hint="eastAsia" w:ascii="仿宋" w:hAnsi="仿宋" w:eastAsia="仿宋" w:cs="仿宋"/>
          <w:sz w:val="32"/>
          <w:szCs w:val="32"/>
        </w:rPr>
        <w:t>总费用</w:t>
      </w:r>
      <w:r>
        <w:rPr>
          <w:rFonts w:hint="eastAsia" w:ascii="仿宋" w:hAnsi="仿宋" w:eastAsia="仿宋" w:cs="仿宋"/>
          <w:sz w:val="32"/>
          <w:szCs w:val="32"/>
          <w:lang w:val="en-US" w:eastAsia="zh-CN"/>
        </w:rPr>
        <w:t>7519.13万</w:t>
      </w:r>
      <w:r>
        <w:rPr>
          <w:rFonts w:hint="eastAsia" w:ascii="仿宋" w:hAnsi="仿宋" w:eastAsia="仿宋" w:cs="仿宋"/>
          <w:sz w:val="32"/>
          <w:szCs w:val="32"/>
        </w:rPr>
        <w:t>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较2019年增加236.50万元，增长3.25%。</w:t>
      </w:r>
      <w:r>
        <w:rPr>
          <w:rFonts w:hint="eastAsia" w:ascii="仿宋" w:hAnsi="仿宋" w:eastAsia="仿宋" w:cs="仿宋"/>
          <w:sz w:val="32"/>
          <w:szCs w:val="32"/>
          <w:u w:val="none"/>
          <w:lang w:eastAsia="zh-CN"/>
        </w:rPr>
        <w:t>主要原因是：</w:t>
      </w:r>
      <w:r>
        <w:rPr>
          <w:rFonts w:hint="eastAsia" w:ascii="仿宋" w:hAnsi="仿宋" w:eastAsia="仿宋"/>
          <w:sz w:val="32"/>
          <w:szCs w:val="32"/>
        </w:rPr>
        <w:t>有上年财政拨款结转支出及国家项目资金支出</w:t>
      </w:r>
      <w:r>
        <w:rPr>
          <w:rFonts w:hint="eastAsia" w:ascii="仿宋" w:hAnsi="仿宋" w:eastAsia="仿宋"/>
          <w:sz w:val="32"/>
          <w:szCs w:val="32"/>
          <w:lang w:eastAsia="zh-CN"/>
        </w:rPr>
        <w:t>。</w:t>
      </w:r>
      <w:r>
        <w:rPr>
          <w:rFonts w:hint="eastAsia" w:ascii="仿宋" w:hAnsi="仿宋" w:eastAsia="仿宋" w:cs="仿宋"/>
          <w:sz w:val="32"/>
          <w:szCs w:val="32"/>
          <w:u w:val="none"/>
          <w:lang w:eastAsia="zh-CN"/>
        </w:rPr>
        <w:t>年末结转和结余</w:t>
      </w:r>
      <w:r>
        <w:rPr>
          <w:rFonts w:hint="eastAsia" w:ascii="仿宋" w:hAnsi="仿宋" w:eastAsia="仿宋" w:cs="仿宋"/>
          <w:sz w:val="32"/>
          <w:szCs w:val="32"/>
          <w:u w:val="none"/>
          <w:lang w:val="en-US" w:eastAsia="zh-CN"/>
        </w:rPr>
        <w:t>1967.19</w:t>
      </w:r>
      <w:r>
        <w:rPr>
          <w:rFonts w:hint="eastAsia" w:ascii="仿宋" w:hAnsi="仿宋" w:eastAsia="仿宋" w:cs="仿宋"/>
          <w:sz w:val="32"/>
          <w:szCs w:val="32"/>
          <w:u w:val="none"/>
          <w:lang w:eastAsia="zh-CN"/>
        </w:rPr>
        <w:t>万元，较2019年</w:t>
      </w:r>
      <w:r>
        <w:rPr>
          <w:rFonts w:hint="eastAsia" w:ascii="仿宋" w:hAnsi="仿宋" w:eastAsia="仿宋" w:cs="仿宋"/>
          <w:sz w:val="32"/>
          <w:szCs w:val="32"/>
          <w:u w:val="none"/>
          <w:lang w:val="en-US" w:eastAsia="zh-CN"/>
        </w:rPr>
        <w:t>增加281.75</w:t>
      </w:r>
      <w:r>
        <w:rPr>
          <w:rFonts w:hint="eastAsia" w:ascii="仿宋" w:hAnsi="仿宋" w:eastAsia="仿宋" w:cs="仿宋"/>
          <w:sz w:val="32"/>
          <w:szCs w:val="32"/>
          <w:u w:val="none"/>
          <w:lang w:eastAsia="zh-CN"/>
        </w:rPr>
        <w:t>万元，增长</w:t>
      </w:r>
      <w:r>
        <w:rPr>
          <w:rFonts w:hint="eastAsia" w:ascii="仿宋" w:hAnsi="仿宋" w:eastAsia="仿宋" w:cs="仿宋"/>
          <w:sz w:val="32"/>
          <w:szCs w:val="32"/>
          <w:u w:val="none"/>
          <w:lang w:val="en-US" w:eastAsia="zh-CN"/>
        </w:rPr>
        <w:t>16.72</w:t>
      </w:r>
      <w:r>
        <w:rPr>
          <w:rFonts w:hint="eastAsia" w:ascii="仿宋" w:hAnsi="仿宋" w:eastAsia="仿宋" w:cs="仿宋"/>
          <w:sz w:val="32"/>
          <w:szCs w:val="32"/>
          <w:u w:val="none"/>
          <w:lang w:eastAsia="zh-CN"/>
        </w:rPr>
        <w:t xml:space="preserve"> %，主要原因是：</w:t>
      </w:r>
      <w:r>
        <w:rPr>
          <w:rFonts w:hint="eastAsia" w:ascii="仿宋" w:hAnsi="仿宋" w:eastAsia="仿宋" w:cs="仿宋"/>
          <w:sz w:val="32"/>
          <w:szCs w:val="32"/>
          <w:u w:val="none"/>
          <w:lang w:val="en-US" w:eastAsia="zh-CN"/>
        </w:rPr>
        <w:t>上年度财政拨入本单位迁扩建项目资金 1200万元。</w:t>
      </w:r>
    </w:p>
    <w:p>
      <w:pPr>
        <w:spacing w:line="36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2、本年度支出的具体构成为：基本支出6734.55万元，占95.75%； 项目支出299.13万元，占4.25%；经营支出0万元，占0%；其他支出（对附属单位补助支出、上缴上级支出）0万元，占0%。</w:t>
      </w:r>
    </w:p>
    <w:p>
      <w:pPr>
        <w:pStyle w:val="2"/>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3、从单位活动类型来看，主要是业务活动费用5790.52万元。</w:t>
      </w:r>
    </w:p>
    <w:p>
      <w:pPr>
        <w:pStyle w:val="2"/>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4、从单位经济性质来看，主要是工资和福利费用3196.85万元。</w:t>
      </w:r>
    </w:p>
    <w:p>
      <w:pPr>
        <w:pStyle w:val="2"/>
        <w:numPr>
          <w:ilvl w:val="0"/>
          <w:numId w:val="0"/>
        </w:numPr>
        <w:ind w:leftChars="0"/>
        <w:jc w:val="both"/>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三、财政拨款支出决算情况说明</w:t>
      </w:r>
    </w:p>
    <w:p>
      <w:pPr>
        <w:ind w:firstLine="585"/>
        <w:jc w:val="left"/>
        <w:rPr>
          <w:rFonts w:hint="eastAsia" w:ascii="仿宋" w:hAnsi="仿宋" w:eastAsia="仿宋"/>
          <w:sz w:val="32"/>
          <w:szCs w:val="32"/>
          <w:lang w:eastAsia="zh-CN"/>
        </w:rPr>
      </w:pPr>
      <w:r>
        <w:rPr>
          <w:rFonts w:hint="eastAsia" w:ascii="仿宋" w:hAnsi="仿宋" w:eastAsia="仿宋"/>
          <w:sz w:val="32"/>
          <w:szCs w:val="32"/>
        </w:rPr>
        <w:t>本</w:t>
      </w:r>
      <w:r>
        <w:rPr>
          <w:rFonts w:hint="eastAsia" w:ascii="仿宋" w:hAnsi="仿宋" w:eastAsia="仿宋"/>
          <w:sz w:val="32"/>
          <w:szCs w:val="32"/>
          <w:lang w:val="en-US" w:eastAsia="zh-CN"/>
        </w:rPr>
        <w:t>单位2020</w:t>
      </w:r>
      <w:r>
        <w:rPr>
          <w:rFonts w:hint="eastAsia" w:ascii="仿宋" w:hAnsi="仿宋" w:eastAsia="仿宋"/>
          <w:sz w:val="32"/>
          <w:szCs w:val="32"/>
        </w:rPr>
        <w:t>年度财政拨款本年支出年初预算数为</w:t>
      </w:r>
      <w:r>
        <w:rPr>
          <w:rFonts w:hint="eastAsia" w:ascii="仿宋" w:hAnsi="仿宋" w:eastAsia="仿宋"/>
          <w:sz w:val="32"/>
          <w:szCs w:val="32"/>
          <w:lang w:val="en-US" w:eastAsia="zh-CN"/>
        </w:rPr>
        <w:t>697.54</w:t>
      </w:r>
      <w:r>
        <w:rPr>
          <w:rFonts w:hint="eastAsia" w:ascii="仿宋" w:hAnsi="仿宋" w:eastAsia="仿宋"/>
          <w:sz w:val="32"/>
          <w:szCs w:val="32"/>
        </w:rPr>
        <w:t>万元，决算数为</w:t>
      </w:r>
      <w:r>
        <w:rPr>
          <w:rFonts w:hint="eastAsia" w:ascii="仿宋" w:hAnsi="仿宋" w:eastAsia="仿宋"/>
          <w:sz w:val="32"/>
          <w:szCs w:val="32"/>
          <w:lang w:val="en-US" w:eastAsia="zh-CN"/>
        </w:rPr>
        <w:t xml:space="preserve"> 1552.04</w:t>
      </w:r>
      <w:r>
        <w:rPr>
          <w:rFonts w:hint="eastAsia" w:ascii="仿宋" w:hAnsi="仿宋" w:eastAsia="仿宋"/>
          <w:sz w:val="32"/>
          <w:szCs w:val="32"/>
        </w:rPr>
        <w:t>万元，完成年初预算的</w:t>
      </w:r>
      <w:r>
        <w:rPr>
          <w:rFonts w:hint="eastAsia" w:ascii="仿宋" w:hAnsi="仿宋" w:eastAsia="仿宋"/>
          <w:sz w:val="32"/>
          <w:szCs w:val="32"/>
          <w:lang w:val="en-US" w:eastAsia="zh-CN"/>
        </w:rPr>
        <w:t xml:space="preserve">222.5 </w:t>
      </w:r>
      <w:r>
        <w:rPr>
          <w:rFonts w:hint="eastAsia" w:ascii="仿宋" w:hAnsi="仿宋" w:eastAsia="仿宋"/>
          <w:sz w:val="32"/>
          <w:szCs w:val="32"/>
        </w:rPr>
        <w:t>%。其中：一般公共服务支出年初预算数为</w:t>
      </w:r>
      <w:r>
        <w:rPr>
          <w:rFonts w:hint="eastAsia" w:ascii="仿宋" w:hAnsi="仿宋" w:eastAsia="仿宋"/>
          <w:sz w:val="32"/>
          <w:szCs w:val="32"/>
          <w:lang w:val="en-US" w:eastAsia="zh-CN"/>
        </w:rPr>
        <w:t>697.54</w:t>
      </w:r>
      <w:r>
        <w:rPr>
          <w:rFonts w:hint="eastAsia" w:ascii="仿宋" w:hAnsi="仿宋" w:eastAsia="仿宋"/>
          <w:sz w:val="32"/>
          <w:szCs w:val="32"/>
        </w:rPr>
        <w:t>万元，决算数为</w:t>
      </w:r>
      <w:r>
        <w:rPr>
          <w:rFonts w:hint="eastAsia" w:ascii="仿宋" w:hAnsi="仿宋" w:eastAsia="仿宋"/>
          <w:sz w:val="32"/>
          <w:szCs w:val="32"/>
          <w:lang w:val="en-US" w:eastAsia="zh-CN"/>
        </w:rPr>
        <w:t>1522.04</w:t>
      </w:r>
      <w:r>
        <w:rPr>
          <w:rFonts w:hint="eastAsia" w:ascii="仿宋" w:hAnsi="仿宋" w:eastAsia="仿宋"/>
          <w:sz w:val="32"/>
          <w:szCs w:val="32"/>
        </w:rPr>
        <w:t>万元，完成年初预算的</w:t>
      </w:r>
      <w:r>
        <w:rPr>
          <w:rFonts w:hint="eastAsia" w:ascii="仿宋" w:hAnsi="仿宋" w:eastAsia="仿宋"/>
          <w:sz w:val="32"/>
          <w:szCs w:val="32"/>
          <w:lang w:val="en-US" w:eastAsia="zh-CN"/>
        </w:rPr>
        <w:t>222.5</w:t>
      </w:r>
      <w:r>
        <w:rPr>
          <w:rFonts w:hint="eastAsia" w:ascii="仿宋" w:hAnsi="仿宋" w:eastAsia="仿宋"/>
          <w:sz w:val="32"/>
          <w:szCs w:val="32"/>
        </w:rPr>
        <w:t>%，主要原因是</w:t>
      </w:r>
      <w:r>
        <w:rPr>
          <w:rFonts w:hint="eastAsia" w:ascii="仿宋" w:hAnsi="仿宋" w:eastAsia="仿宋"/>
          <w:sz w:val="32"/>
          <w:szCs w:val="32"/>
          <w:lang w:eastAsia="zh-CN"/>
        </w:rPr>
        <w:t>：</w:t>
      </w:r>
      <w:r>
        <w:rPr>
          <w:rFonts w:hint="eastAsia" w:ascii="仿宋" w:hAnsi="仿宋" w:eastAsia="仿宋"/>
          <w:sz w:val="32"/>
          <w:szCs w:val="32"/>
        </w:rPr>
        <w:t>有上年财政拨款结转支出及国家项目资金支出</w:t>
      </w:r>
      <w:r>
        <w:rPr>
          <w:rFonts w:hint="eastAsia" w:ascii="仿宋" w:hAnsi="仿宋" w:eastAsia="仿宋"/>
          <w:sz w:val="32"/>
          <w:szCs w:val="32"/>
          <w:lang w:eastAsia="zh-CN"/>
        </w:rPr>
        <w:t>。</w:t>
      </w:r>
    </w:p>
    <w:p>
      <w:pPr>
        <w:pStyle w:val="2"/>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四、一般公共预算财政拨款基本支出决算情况说明</w:t>
      </w:r>
    </w:p>
    <w:p>
      <w:pPr>
        <w:ind w:firstLine="585"/>
        <w:jc w:val="left"/>
        <w:rPr>
          <w:rFonts w:hint="eastAsia" w:ascii="仿宋" w:hAnsi="仿宋" w:eastAsia="仿宋"/>
          <w:sz w:val="32"/>
          <w:szCs w:val="32"/>
        </w:rPr>
      </w:pPr>
      <w:r>
        <w:rPr>
          <w:rFonts w:hint="eastAsia" w:ascii="仿宋" w:hAnsi="仿宋" w:eastAsia="仿宋"/>
          <w:sz w:val="32"/>
          <w:szCs w:val="32"/>
        </w:rPr>
        <w:t>本</w:t>
      </w:r>
      <w:r>
        <w:rPr>
          <w:rFonts w:hint="eastAsia" w:ascii="仿宋" w:hAnsi="仿宋" w:eastAsia="仿宋"/>
          <w:sz w:val="32"/>
          <w:szCs w:val="32"/>
          <w:lang w:val="en-US" w:eastAsia="zh-CN"/>
        </w:rPr>
        <w:t>单位2020</w:t>
      </w:r>
      <w:r>
        <w:rPr>
          <w:rFonts w:hint="eastAsia" w:ascii="仿宋" w:hAnsi="仿宋" w:eastAsia="仿宋"/>
          <w:sz w:val="32"/>
          <w:szCs w:val="32"/>
        </w:rPr>
        <w:t>年度一般公共预算财政拨款基本支出</w:t>
      </w:r>
      <w:r>
        <w:rPr>
          <w:rFonts w:hint="eastAsia" w:ascii="仿宋" w:hAnsi="仿宋" w:eastAsia="仿宋"/>
          <w:sz w:val="32"/>
          <w:szCs w:val="32"/>
          <w:lang w:val="en-US" w:eastAsia="zh-CN"/>
        </w:rPr>
        <w:t>1252.90</w:t>
      </w:r>
      <w:r>
        <w:rPr>
          <w:rFonts w:hint="eastAsia" w:ascii="仿宋" w:hAnsi="仿宋" w:eastAsia="仿宋"/>
          <w:sz w:val="32"/>
          <w:szCs w:val="32"/>
        </w:rPr>
        <w:t>万元，其中：</w:t>
      </w:r>
    </w:p>
    <w:p>
      <w:pPr>
        <w:ind w:firstLine="585"/>
        <w:jc w:val="left"/>
        <w:rPr>
          <w:rFonts w:hint="default" w:ascii="仿宋" w:hAnsi="仿宋" w:eastAsia="仿宋"/>
          <w:sz w:val="32"/>
          <w:szCs w:val="32"/>
          <w:highlight w:val="none"/>
          <w:u w:val="single"/>
          <w:lang w:val="en-US" w:eastAsia="zh-CN"/>
        </w:rPr>
      </w:pPr>
      <w:r>
        <w:rPr>
          <w:rFonts w:hint="eastAsia" w:ascii="仿宋" w:hAnsi="仿宋" w:eastAsia="仿宋"/>
          <w:sz w:val="32"/>
          <w:szCs w:val="32"/>
          <w:lang w:val="en-US" w:eastAsia="zh-CN"/>
        </w:rPr>
        <w:t>1、</w:t>
      </w:r>
      <w:r>
        <w:rPr>
          <w:rFonts w:hint="eastAsia" w:ascii="仿宋" w:hAnsi="仿宋" w:eastAsia="仿宋"/>
          <w:sz w:val="32"/>
          <w:szCs w:val="32"/>
        </w:rPr>
        <w:t>工资福利支出</w:t>
      </w:r>
      <w:r>
        <w:rPr>
          <w:rFonts w:hint="eastAsia" w:ascii="仿宋" w:hAnsi="仿宋" w:eastAsia="仿宋"/>
          <w:sz w:val="32"/>
          <w:szCs w:val="32"/>
          <w:lang w:val="en-US" w:eastAsia="zh-CN"/>
        </w:rPr>
        <w:t>682.62</w:t>
      </w:r>
      <w:r>
        <w:rPr>
          <w:rFonts w:hint="eastAsia" w:ascii="仿宋" w:hAnsi="仿宋" w:eastAsia="仿宋"/>
          <w:sz w:val="32"/>
          <w:szCs w:val="32"/>
        </w:rPr>
        <w:t>万元，较201</w:t>
      </w:r>
      <w:r>
        <w:rPr>
          <w:rFonts w:hint="eastAsia" w:ascii="仿宋" w:hAnsi="仿宋" w:eastAsia="仿宋"/>
          <w:sz w:val="32"/>
          <w:szCs w:val="32"/>
          <w:lang w:val="en-US" w:eastAsia="zh-CN"/>
        </w:rPr>
        <w:t>9</w:t>
      </w:r>
      <w:r>
        <w:rPr>
          <w:rFonts w:hint="eastAsia" w:ascii="仿宋" w:hAnsi="仿宋" w:eastAsia="仿宋"/>
          <w:sz w:val="32"/>
          <w:szCs w:val="32"/>
        </w:rPr>
        <w:t>年</w:t>
      </w:r>
      <w:r>
        <w:rPr>
          <w:rFonts w:hint="eastAsia" w:ascii="仿宋" w:hAnsi="仿宋" w:eastAsia="仿宋"/>
          <w:sz w:val="32"/>
          <w:szCs w:val="32"/>
          <w:lang w:val="en-US" w:eastAsia="zh-CN"/>
        </w:rPr>
        <w:t>增加285.30</w:t>
      </w:r>
      <w:r>
        <w:rPr>
          <w:rFonts w:hint="eastAsia" w:ascii="仿宋" w:hAnsi="仿宋" w:eastAsia="仿宋"/>
          <w:sz w:val="32"/>
          <w:szCs w:val="32"/>
        </w:rPr>
        <w:t>万元，增长</w:t>
      </w:r>
      <w:r>
        <w:rPr>
          <w:rFonts w:hint="eastAsia" w:ascii="仿宋" w:hAnsi="仿宋" w:eastAsia="仿宋"/>
          <w:sz w:val="32"/>
          <w:szCs w:val="32"/>
          <w:lang w:val="en-US" w:eastAsia="zh-CN"/>
        </w:rPr>
        <w:t xml:space="preserve">71.8 </w:t>
      </w:r>
      <w:r>
        <w:rPr>
          <w:rFonts w:hint="eastAsia" w:ascii="仿宋" w:hAnsi="仿宋" w:eastAsia="仿宋"/>
          <w:sz w:val="32"/>
          <w:szCs w:val="32"/>
        </w:rPr>
        <w:t>%</w:t>
      </w:r>
      <w:r>
        <w:rPr>
          <w:rFonts w:hint="eastAsia" w:ascii="仿宋" w:hAnsi="仿宋" w:eastAsia="仿宋"/>
          <w:sz w:val="32"/>
          <w:szCs w:val="32"/>
          <w:lang w:eastAsia="zh-CN"/>
        </w:rPr>
        <w:t>，</w:t>
      </w:r>
      <w:r>
        <w:rPr>
          <w:rFonts w:hint="eastAsia" w:ascii="仿宋" w:hAnsi="仿宋" w:eastAsia="仿宋"/>
          <w:sz w:val="32"/>
          <w:szCs w:val="32"/>
          <w:highlight w:val="none"/>
          <w:u w:val="none"/>
          <w:lang w:eastAsia="zh-CN"/>
        </w:rPr>
        <w:t>主要原因是：</w:t>
      </w:r>
      <w:r>
        <w:rPr>
          <w:rFonts w:hint="eastAsia" w:ascii="仿宋" w:hAnsi="仿宋" w:eastAsia="仿宋"/>
          <w:sz w:val="32"/>
          <w:szCs w:val="32"/>
          <w:highlight w:val="none"/>
          <w:u w:val="none"/>
          <w:lang w:val="en-US" w:eastAsia="zh-CN"/>
        </w:rPr>
        <w:t>因医院扩建搬迁，分三年规划储备专业技术人员，增加职工人数。</w:t>
      </w:r>
    </w:p>
    <w:p>
      <w:pPr>
        <w:ind w:firstLine="585"/>
        <w:jc w:val="left"/>
        <w:rPr>
          <w:rFonts w:hint="eastAsia"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sz w:val="32"/>
          <w:szCs w:val="32"/>
        </w:rPr>
        <w:t>商品和服务支出</w:t>
      </w:r>
      <w:r>
        <w:rPr>
          <w:rFonts w:hint="eastAsia" w:ascii="仿宋" w:hAnsi="仿宋" w:eastAsia="仿宋"/>
          <w:sz w:val="32"/>
          <w:szCs w:val="32"/>
          <w:lang w:val="en-US" w:eastAsia="zh-CN"/>
        </w:rPr>
        <w:t>570.28</w:t>
      </w:r>
      <w:r>
        <w:rPr>
          <w:rFonts w:hint="eastAsia" w:ascii="仿宋" w:hAnsi="仿宋" w:eastAsia="仿宋"/>
          <w:sz w:val="32"/>
          <w:szCs w:val="32"/>
        </w:rPr>
        <w:t>万元，较201</w:t>
      </w:r>
      <w:r>
        <w:rPr>
          <w:rFonts w:hint="eastAsia" w:ascii="仿宋" w:hAnsi="仿宋" w:eastAsia="仿宋"/>
          <w:sz w:val="32"/>
          <w:szCs w:val="32"/>
          <w:lang w:val="en-US" w:eastAsia="zh-CN"/>
        </w:rPr>
        <w:t>9</w:t>
      </w:r>
      <w:r>
        <w:rPr>
          <w:rFonts w:hint="eastAsia" w:ascii="仿宋" w:hAnsi="仿宋" w:eastAsia="仿宋"/>
          <w:sz w:val="32"/>
          <w:szCs w:val="32"/>
        </w:rPr>
        <w:t>年增加</w:t>
      </w:r>
      <w:r>
        <w:rPr>
          <w:rFonts w:hint="eastAsia" w:ascii="仿宋" w:hAnsi="仿宋" w:eastAsia="仿宋"/>
          <w:sz w:val="32"/>
          <w:szCs w:val="32"/>
          <w:lang w:val="en-US" w:eastAsia="zh-CN"/>
        </w:rPr>
        <w:t>333.10</w:t>
      </w:r>
      <w:r>
        <w:rPr>
          <w:rFonts w:hint="eastAsia" w:ascii="仿宋" w:hAnsi="仿宋" w:eastAsia="仿宋"/>
          <w:sz w:val="32"/>
          <w:szCs w:val="32"/>
        </w:rPr>
        <w:t>万元，增长</w:t>
      </w:r>
      <w:r>
        <w:rPr>
          <w:rFonts w:hint="eastAsia" w:ascii="仿宋" w:hAnsi="仿宋" w:eastAsia="仿宋"/>
          <w:sz w:val="32"/>
          <w:szCs w:val="32"/>
          <w:lang w:val="en-US" w:eastAsia="zh-CN"/>
        </w:rPr>
        <w:t>140.44</w:t>
      </w:r>
      <w:r>
        <w:rPr>
          <w:rFonts w:hint="eastAsia" w:ascii="仿宋" w:hAnsi="仿宋" w:eastAsia="仿宋"/>
          <w:sz w:val="32"/>
          <w:szCs w:val="32"/>
        </w:rPr>
        <w:t>%，主要原因是：专用</w:t>
      </w:r>
      <w:r>
        <w:rPr>
          <w:rFonts w:ascii="仿宋" w:hAnsi="仿宋" w:eastAsia="仿宋"/>
          <w:sz w:val="32"/>
          <w:szCs w:val="32"/>
        </w:rPr>
        <w:t>材料费用</w:t>
      </w:r>
      <w:r>
        <w:rPr>
          <w:rFonts w:hint="eastAsia" w:ascii="仿宋" w:hAnsi="仿宋" w:eastAsia="仿宋"/>
          <w:sz w:val="32"/>
          <w:szCs w:val="32"/>
        </w:rPr>
        <w:t>增长。</w:t>
      </w:r>
    </w:p>
    <w:p>
      <w:pPr>
        <w:ind w:firstLine="585"/>
        <w:jc w:val="left"/>
        <w:rPr>
          <w:rFonts w:hint="eastAsia" w:ascii="仿宋" w:hAnsi="仿宋" w:eastAsia="仿宋"/>
          <w:sz w:val="32"/>
          <w:szCs w:val="32"/>
          <w:lang w:eastAsia="zh-CN"/>
        </w:rPr>
      </w:pPr>
      <w:r>
        <w:rPr>
          <w:rFonts w:hint="eastAsia" w:ascii="仿宋" w:hAnsi="仿宋" w:eastAsia="仿宋"/>
          <w:sz w:val="32"/>
          <w:szCs w:val="32"/>
          <w:lang w:val="en-US" w:eastAsia="zh-CN"/>
        </w:rPr>
        <w:t>3、</w:t>
      </w:r>
      <w:r>
        <w:rPr>
          <w:rFonts w:hint="eastAsia" w:ascii="仿宋" w:hAnsi="仿宋" w:eastAsia="仿宋"/>
          <w:sz w:val="32"/>
          <w:szCs w:val="32"/>
        </w:rPr>
        <w:t>对个人和家庭补助支出</w:t>
      </w:r>
      <w:r>
        <w:rPr>
          <w:rFonts w:hint="eastAsia" w:ascii="仿宋" w:hAnsi="仿宋" w:eastAsia="仿宋"/>
          <w:sz w:val="32"/>
          <w:szCs w:val="32"/>
          <w:lang w:val="en-US" w:eastAsia="zh-CN"/>
        </w:rPr>
        <w:t>0</w:t>
      </w:r>
      <w:r>
        <w:rPr>
          <w:rFonts w:hint="eastAsia" w:ascii="仿宋" w:hAnsi="仿宋" w:eastAsia="仿宋"/>
          <w:sz w:val="32"/>
          <w:szCs w:val="32"/>
        </w:rPr>
        <w:t>万元</w:t>
      </w:r>
      <w:r>
        <w:rPr>
          <w:rFonts w:hint="eastAsia" w:ascii="仿宋" w:hAnsi="仿宋" w:eastAsia="仿宋"/>
          <w:sz w:val="32"/>
          <w:szCs w:val="32"/>
          <w:lang w:eastAsia="zh-CN"/>
        </w:rPr>
        <w:t>。</w:t>
      </w:r>
    </w:p>
    <w:p>
      <w:pPr>
        <w:ind w:firstLine="585"/>
        <w:jc w:val="left"/>
        <w:rPr>
          <w:rFonts w:hint="eastAsia" w:ascii="仿宋" w:hAnsi="仿宋" w:eastAsia="仿宋"/>
          <w:sz w:val="32"/>
          <w:szCs w:val="32"/>
          <w:lang w:eastAsia="zh-CN"/>
        </w:rPr>
      </w:pPr>
      <w:r>
        <w:rPr>
          <w:rFonts w:hint="eastAsia" w:ascii="仿宋" w:hAnsi="仿宋" w:eastAsia="仿宋"/>
          <w:sz w:val="32"/>
          <w:szCs w:val="32"/>
          <w:lang w:val="en-US" w:eastAsia="zh-CN"/>
        </w:rPr>
        <w:t>4、</w:t>
      </w:r>
      <w:r>
        <w:rPr>
          <w:rFonts w:hint="eastAsia" w:ascii="仿宋" w:hAnsi="仿宋" w:eastAsia="仿宋"/>
          <w:sz w:val="32"/>
          <w:szCs w:val="32"/>
        </w:rPr>
        <w:t>资本性支出</w:t>
      </w:r>
      <w:r>
        <w:rPr>
          <w:rFonts w:hint="eastAsia" w:ascii="仿宋" w:hAnsi="仿宋" w:eastAsia="仿宋"/>
          <w:sz w:val="32"/>
          <w:szCs w:val="32"/>
          <w:lang w:val="en-US" w:eastAsia="zh-CN"/>
        </w:rPr>
        <w:t>0</w:t>
      </w:r>
      <w:r>
        <w:rPr>
          <w:rFonts w:hint="eastAsia" w:ascii="仿宋" w:hAnsi="仿宋" w:eastAsia="仿宋"/>
          <w:sz w:val="32"/>
          <w:szCs w:val="32"/>
        </w:rPr>
        <w:t>万元，较201</w:t>
      </w:r>
      <w:r>
        <w:rPr>
          <w:rFonts w:hint="eastAsia" w:ascii="仿宋" w:hAnsi="仿宋" w:eastAsia="仿宋"/>
          <w:sz w:val="32"/>
          <w:szCs w:val="32"/>
          <w:lang w:val="en-US" w:eastAsia="zh-CN"/>
        </w:rPr>
        <w:t>9</w:t>
      </w:r>
      <w:r>
        <w:rPr>
          <w:rFonts w:hint="eastAsia" w:ascii="仿宋" w:hAnsi="仿宋" w:eastAsia="仿宋"/>
          <w:sz w:val="32"/>
          <w:szCs w:val="32"/>
        </w:rPr>
        <w:t>年减少</w:t>
      </w:r>
      <w:r>
        <w:rPr>
          <w:rFonts w:hint="eastAsia" w:ascii="仿宋" w:hAnsi="仿宋" w:eastAsia="仿宋"/>
          <w:sz w:val="32"/>
          <w:szCs w:val="32"/>
          <w:lang w:val="en-US" w:eastAsia="zh-CN"/>
        </w:rPr>
        <w:t>0</w:t>
      </w:r>
      <w:r>
        <w:rPr>
          <w:rFonts w:hint="eastAsia" w:ascii="仿宋" w:hAnsi="仿宋" w:eastAsia="仿宋"/>
          <w:sz w:val="32"/>
          <w:szCs w:val="32"/>
        </w:rPr>
        <w:t>万元</w:t>
      </w:r>
      <w:r>
        <w:rPr>
          <w:rFonts w:hint="eastAsia" w:ascii="仿宋" w:hAnsi="仿宋" w:eastAsia="仿宋"/>
          <w:sz w:val="32"/>
          <w:szCs w:val="32"/>
          <w:lang w:eastAsia="zh-CN"/>
        </w:rPr>
        <w:t>。</w:t>
      </w:r>
    </w:p>
    <w:p>
      <w:pPr>
        <w:jc w:val="left"/>
        <w:rPr>
          <w:rFonts w:hint="eastAsia" w:ascii="宋体" w:hAnsi="宋体" w:eastAsia="宋体" w:cs="宋体"/>
          <w:b/>
          <w:bCs/>
          <w:sz w:val="32"/>
          <w:szCs w:val="32"/>
        </w:rPr>
      </w:pPr>
      <w:r>
        <w:rPr>
          <w:rFonts w:hint="eastAsia" w:ascii="宋体" w:hAnsi="宋体" w:eastAsia="宋体" w:cs="宋体"/>
          <w:b/>
          <w:bCs/>
          <w:sz w:val="32"/>
          <w:szCs w:val="32"/>
          <w:lang w:val="en-US" w:eastAsia="zh-CN"/>
        </w:rPr>
        <w:t>五、</w:t>
      </w:r>
      <w:r>
        <w:rPr>
          <w:rFonts w:hint="eastAsia" w:ascii="宋体" w:hAnsi="宋体" w:eastAsia="宋体" w:cs="宋体"/>
          <w:b/>
          <w:bCs/>
          <w:sz w:val="32"/>
          <w:szCs w:val="32"/>
        </w:rPr>
        <w:t>一般公共预算财政拨款“三公”经费支出决算情况说明</w:t>
      </w:r>
    </w:p>
    <w:p>
      <w:pPr>
        <w:ind w:firstLine="630"/>
        <w:jc w:val="left"/>
        <w:rPr>
          <w:rFonts w:hint="eastAsia" w:ascii="仿宋" w:hAnsi="仿宋" w:eastAsia="仿宋" w:cs="仿宋"/>
          <w:sz w:val="32"/>
          <w:szCs w:val="32"/>
        </w:rPr>
      </w:pPr>
      <w:r>
        <w:rPr>
          <w:rFonts w:hint="eastAsia" w:ascii="仿宋" w:hAnsi="仿宋" w:eastAsia="仿宋" w:cs="仿宋"/>
          <w:sz w:val="32"/>
          <w:szCs w:val="32"/>
        </w:rPr>
        <w:t>本</w:t>
      </w:r>
      <w:r>
        <w:rPr>
          <w:rFonts w:hint="eastAsia" w:ascii="仿宋" w:hAnsi="仿宋" w:eastAsia="仿宋" w:cs="仿宋"/>
          <w:sz w:val="32"/>
          <w:szCs w:val="32"/>
          <w:lang w:val="en-US" w:eastAsia="zh-CN"/>
        </w:rPr>
        <w:t>单位2020</w:t>
      </w:r>
      <w:r>
        <w:rPr>
          <w:rFonts w:hint="eastAsia" w:ascii="仿宋" w:hAnsi="仿宋" w:eastAsia="仿宋" w:cs="仿宋"/>
          <w:sz w:val="32"/>
          <w:szCs w:val="32"/>
        </w:rPr>
        <w:t>年度一般公共预算财政拨款“三公”经费支出年初预算数为</w:t>
      </w:r>
      <w:r>
        <w:rPr>
          <w:rFonts w:hint="eastAsia" w:ascii="仿宋" w:hAnsi="仿宋" w:eastAsia="仿宋" w:cs="仿宋"/>
          <w:sz w:val="32"/>
          <w:szCs w:val="32"/>
          <w:lang w:val="en-US" w:eastAsia="zh-CN"/>
        </w:rPr>
        <w:t>0</w:t>
      </w:r>
      <w:r>
        <w:rPr>
          <w:rFonts w:hint="eastAsia" w:ascii="仿宋" w:hAnsi="仿宋" w:eastAsia="仿宋" w:cs="仿宋"/>
          <w:sz w:val="32"/>
          <w:szCs w:val="32"/>
        </w:rPr>
        <w:t>万元，决算数为</w:t>
      </w:r>
      <w:r>
        <w:rPr>
          <w:rFonts w:hint="eastAsia" w:ascii="仿宋" w:hAnsi="仿宋" w:eastAsia="仿宋" w:cs="仿宋"/>
          <w:sz w:val="32"/>
          <w:szCs w:val="32"/>
          <w:lang w:val="en-US" w:eastAsia="zh-CN"/>
        </w:rPr>
        <w:t>0</w:t>
      </w:r>
      <w:r>
        <w:rPr>
          <w:rFonts w:hint="eastAsia" w:ascii="仿宋" w:hAnsi="仿宋" w:eastAsia="仿宋" w:cs="仿宋"/>
          <w:sz w:val="32"/>
          <w:szCs w:val="32"/>
        </w:rPr>
        <w:t>万元，完成预算的</w:t>
      </w:r>
      <w:r>
        <w:rPr>
          <w:rFonts w:hint="eastAsia" w:ascii="仿宋" w:hAnsi="仿宋" w:eastAsia="仿宋" w:cs="仿宋"/>
          <w:sz w:val="32"/>
          <w:szCs w:val="32"/>
          <w:lang w:val="en-US" w:eastAsia="zh-CN"/>
        </w:rPr>
        <w:t xml:space="preserve">0 </w:t>
      </w:r>
      <w:r>
        <w:rPr>
          <w:rFonts w:hint="eastAsia" w:ascii="仿宋" w:hAnsi="仿宋" w:eastAsia="仿宋" w:cs="仿宋"/>
          <w:sz w:val="32"/>
          <w:szCs w:val="32"/>
        </w:rPr>
        <w:t>%，其中：</w:t>
      </w:r>
    </w:p>
    <w:p>
      <w:pPr>
        <w:ind w:firstLine="630"/>
        <w:jc w:val="left"/>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因公出国（境）支出年初预算数为0万元，决算数为0万元，完成预算的</w:t>
      </w:r>
      <w:r>
        <w:rPr>
          <w:rFonts w:hint="eastAsia" w:ascii="仿宋" w:hAnsi="仿宋" w:eastAsia="仿宋" w:cs="仿宋"/>
          <w:sz w:val="32"/>
          <w:szCs w:val="32"/>
          <w:lang w:val="en-US" w:eastAsia="zh-CN"/>
        </w:rPr>
        <w:t>0</w:t>
      </w:r>
      <w:r>
        <w:rPr>
          <w:rFonts w:hint="eastAsia" w:ascii="仿宋" w:hAnsi="仿宋" w:eastAsia="仿宋" w:cs="仿宋"/>
          <w:sz w:val="32"/>
          <w:szCs w:val="32"/>
        </w:rPr>
        <w:t xml:space="preserve"> %，决算数较201</w:t>
      </w:r>
      <w:r>
        <w:rPr>
          <w:rFonts w:hint="eastAsia" w:ascii="仿宋" w:hAnsi="仿宋" w:eastAsia="仿宋" w:cs="仿宋"/>
          <w:sz w:val="32"/>
          <w:szCs w:val="32"/>
          <w:lang w:val="en-US" w:eastAsia="zh-CN"/>
        </w:rPr>
        <w:t>9</w:t>
      </w:r>
      <w:r>
        <w:rPr>
          <w:rFonts w:hint="eastAsia" w:ascii="仿宋" w:hAnsi="仿宋" w:eastAsia="仿宋" w:cs="仿宋"/>
          <w:sz w:val="32"/>
          <w:szCs w:val="32"/>
        </w:rPr>
        <w:t>年增加（减少）0万元，增长（下降）0%。</w:t>
      </w:r>
    </w:p>
    <w:p>
      <w:pPr>
        <w:ind w:firstLine="630"/>
        <w:jc w:val="left"/>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公务接待费支出年初预算数为</w:t>
      </w:r>
      <w:r>
        <w:rPr>
          <w:rFonts w:hint="eastAsia" w:ascii="仿宋" w:hAnsi="仿宋" w:eastAsia="仿宋" w:cs="仿宋"/>
          <w:sz w:val="32"/>
          <w:szCs w:val="32"/>
          <w:lang w:val="en-US" w:eastAsia="zh-CN"/>
        </w:rPr>
        <w:t>0</w:t>
      </w:r>
      <w:r>
        <w:rPr>
          <w:rFonts w:hint="eastAsia" w:ascii="仿宋" w:hAnsi="仿宋" w:eastAsia="仿宋" w:cs="仿宋"/>
          <w:sz w:val="32"/>
          <w:szCs w:val="32"/>
        </w:rPr>
        <w:t>万元，决算数为</w:t>
      </w:r>
      <w:r>
        <w:rPr>
          <w:rFonts w:hint="eastAsia" w:ascii="仿宋" w:hAnsi="仿宋" w:eastAsia="仿宋" w:cs="仿宋"/>
          <w:sz w:val="32"/>
          <w:szCs w:val="32"/>
          <w:lang w:val="en-US" w:eastAsia="zh-CN"/>
        </w:rPr>
        <w:t>0</w:t>
      </w:r>
      <w:r>
        <w:rPr>
          <w:rFonts w:hint="eastAsia" w:ascii="仿宋" w:hAnsi="仿宋" w:eastAsia="仿宋" w:cs="仿宋"/>
          <w:sz w:val="32"/>
          <w:szCs w:val="32"/>
        </w:rPr>
        <w:t>万元，完成预算的</w:t>
      </w:r>
      <w:r>
        <w:rPr>
          <w:rFonts w:hint="eastAsia" w:ascii="仿宋" w:hAnsi="仿宋" w:eastAsia="仿宋" w:cs="仿宋"/>
          <w:sz w:val="32"/>
          <w:szCs w:val="32"/>
          <w:lang w:val="en-US" w:eastAsia="zh-CN"/>
        </w:rPr>
        <w:t>0</w:t>
      </w:r>
      <w:r>
        <w:rPr>
          <w:rFonts w:hint="eastAsia" w:ascii="仿宋" w:hAnsi="仿宋" w:eastAsia="仿宋" w:cs="仿宋"/>
          <w:sz w:val="32"/>
          <w:szCs w:val="32"/>
        </w:rPr>
        <w:t>%，决算数较201</w:t>
      </w:r>
      <w:r>
        <w:rPr>
          <w:rFonts w:hint="eastAsia" w:ascii="仿宋" w:hAnsi="仿宋" w:eastAsia="仿宋" w:cs="仿宋"/>
          <w:sz w:val="32"/>
          <w:szCs w:val="32"/>
          <w:lang w:val="en-US" w:eastAsia="zh-CN"/>
        </w:rPr>
        <w:t>9</w:t>
      </w:r>
      <w:r>
        <w:rPr>
          <w:rFonts w:hint="eastAsia" w:ascii="仿宋" w:hAnsi="仿宋" w:eastAsia="仿宋" w:cs="仿宋"/>
          <w:sz w:val="32"/>
          <w:szCs w:val="32"/>
        </w:rPr>
        <w:t>年</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增加</w:t>
      </w:r>
      <w:r>
        <w:rPr>
          <w:rFonts w:hint="eastAsia" w:ascii="仿宋" w:hAnsi="仿宋" w:eastAsia="仿宋" w:cs="仿宋"/>
          <w:sz w:val="32"/>
          <w:szCs w:val="32"/>
          <w:lang w:eastAsia="zh-CN"/>
        </w:rPr>
        <w:t>）</w:t>
      </w:r>
      <w:r>
        <w:rPr>
          <w:rFonts w:hint="eastAsia" w:ascii="仿宋" w:hAnsi="仿宋" w:eastAsia="仿宋" w:cs="仿宋"/>
          <w:sz w:val="32"/>
          <w:szCs w:val="32"/>
        </w:rPr>
        <w:t>减少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val="en-US" w:eastAsia="zh-CN"/>
        </w:rPr>
        <w:t>增长（下降）0</w:t>
      </w:r>
      <w:r>
        <w:rPr>
          <w:rFonts w:hint="eastAsia" w:ascii="仿宋" w:hAnsi="仿宋" w:eastAsia="仿宋" w:cs="仿宋"/>
          <w:sz w:val="32"/>
          <w:szCs w:val="32"/>
        </w:rPr>
        <w:t>%。</w:t>
      </w:r>
    </w:p>
    <w:p>
      <w:pPr>
        <w:pStyle w:val="2"/>
        <w:ind w:firstLine="640" w:firstLineChars="200"/>
        <w:rPr>
          <w:rFonts w:hint="eastAsia"/>
          <w:lang w:val="en-US"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公务用车购置及运行维护费支出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万元，其中公务用车购置年初预算数为0万元，决算数为0万元，完成预算的0%，决算数较201</w:t>
      </w:r>
      <w:r>
        <w:rPr>
          <w:rFonts w:hint="eastAsia" w:ascii="仿宋" w:hAnsi="仿宋" w:eastAsia="仿宋" w:cs="仿宋"/>
          <w:sz w:val="32"/>
          <w:szCs w:val="32"/>
          <w:lang w:val="en-US" w:eastAsia="zh-CN"/>
        </w:rPr>
        <w:t>9</w:t>
      </w:r>
      <w:r>
        <w:rPr>
          <w:rFonts w:hint="eastAsia" w:ascii="仿宋" w:hAnsi="仿宋" w:eastAsia="仿宋" w:cs="仿宋"/>
          <w:sz w:val="32"/>
          <w:szCs w:val="32"/>
        </w:rPr>
        <w:t>年增加（减少）0万元，增长（下降）0%。公务用车运行维护费支出年初预算数为</w:t>
      </w:r>
      <w:r>
        <w:rPr>
          <w:rFonts w:hint="eastAsia" w:ascii="仿宋" w:hAnsi="仿宋" w:eastAsia="仿宋" w:cs="仿宋"/>
          <w:sz w:val="32"/>
          <w:szCs w:val="32"/>
          <w:lang w:val="en-US" w:eastAsia="zh-CN"/>
        </w:rPr>
        <w:t xml:space="preserve"> 0</w:t>
      </w:r>
      <w:r>
        <w:rPr>
          <w:rFonts w:hint="eastAsia" w:ascii="仿宋" w:hAnsi="仿宋" w:eastAsia="仿宋" w:cs="仿宋"/>
          <w:sz w:val="32"/>
          <w:szCs w:val="32"/>
        </w:rPr>
        <w:t>万元，决算数为</w:t>
      </w:r>
      <w:r>
        <w:rPr>
          <w:rFonts w:hint="eastAsia" w:ascii="仿宋" w:hAnsi="仿宋" w:eastAsia="仿宋" w:cs="仿宋"/>
          <w:sz w:val="32"/>
          <w:szCs w:val="32"/>
          <w:lang w:val="en-US" w:eastAsia="zh-CN"/>
        </w:rPr>
        <w:t>0</w:t>
      </w:r>
      <w:r>
        <w:rPr>
          <w:rFonts w:hint="eastAsia" w:ascii="仿宋" w:hAnsi="仿宋" w:eastAsia="仿宋" w:cs="仿宋"/>
          <w:sz w:val="32"/>
          <w:szCs w:val="32"/>
        </w:rPr>
        <w:t>万元，完成预算的</w:t>
      </w:r>
      <w:r>
        <w:rPr>
          <w:rFonts w:hint="eastAsia" w:ascii="仿宋" w:hAnsi="仿宋" w:eastAsia="仿宋" w:cs="仿宋"/>
          <w:sz w:val="32"/>
          <w:szCs w:val="32"/>
          <w:lang w:val="en-US" w:eastAsia="zh-CN"/>
        </w:rPr>
        <w:t>0</w:t>
      </w:r>
      <w:r>
        <w:rPr>
          <w:rFonts w:hint="eastAsia" w:ascii="仿宋" w:hAnsi="仿宋" w:eastAsia="仿宋" w:cs="仿宋"/>
          <w:sz w:val="32"/>
          <w:szCs w:val="32"/>
        </w:rPr>
        <w:t>%</w:t>
      </w:r>
      <w:r>
        <w:rPr>
          <w:rFonts w:hint="eastAsia" w:ascii="仿宋" w:hAnsi="仿宋" w:eastAsia="仿宋" w:cs="仿宋"/>
          <w:sz w:val="32"/>
          <w:szCs w:val="32"/>
          <w:lang w:eastAsia="zh-CN"/>
        </w:rPr>
        <w:t>。</w:t>
      </w:r>
    </w:p>
    <w:p>
      <w:pPr>
        <w:ind w:firstLine="630"/>
        <w:jc w:val="left"/>
        <w:rPr>
          <w:rFonts w:hint="eastAsia" w:ascii="宋体" w:hAnsi="宋体" w:eastAsia="宋体" w:cs="宋体"/>
          <w:b/>
          <w:bCs/>
          <w:sz w:val="32"/>
          <w:szCs w:val="32"/>
        </w:rPr>
      </w:pPr>
      <w:r>
        <w:rPr>
          <w:rFonts w:hint="eastAsia" w:ascii="宋体" w:hAnsi="宋体" w:eastAsia="宋体" w:cs="宋体"/>
          <w:b/>
          <w:bCs/>
          <w:sz w:val="32"/>
          <w:szCs w:val="32"/>
          <w:lang w:val="en-US" w:eastAsia="zh-CN"/>
        </w:rPr>
        <w:t>六、</w:t>
      </w:r>
      <w:r>
        <w:rPr>
          <w:rFonts w:hint="eastAsia" w:ascii="宋体" w:hAnsi="宋体" w:eastAsia="宋体" w:cs="宋体"/>
          <w:b/>
          <w:bCs/>
          <w:sz w:val="32"/>
          <w:szCs w:val="32"/>
        </w:rPr>
        <w:t>机关运行经费支出情况说明</w:t>
      </w:r>
    </w:p>
    <w:p>
      <w:pPr>
        <w:keepNext w:val="0"/>
        <w:keepLines w:val="0"/>
        <w:pageBreakBefore w:val="0"/>
        <w:kinsoku/>
        <w:wordWrap/>
        <w:overflowPunct/>
        <w:topLinePunct w:val="0"/>
        <w:bidi w:val="0"/>
        <w:snapToGrid/>
        <w:spacing w:line="550" w:lineRule="exact"/>
        <w:ind w:firstLine="643" w:firstLineChars="200"/>
        <w:jc w:val="both"/>
        <w:textAlignment w:val="auto"/>
        <w:rPr>
          <w:rFonts w:hint="eastAsia"/>
        </w:rPr>
      </w:pPr>
      <w:r>
        <w:rPr>
          <w:rFonts w:hint="eastAsia" w:ascii="仿宋_GB2312" w:hAnsi="仿宋_GB2312" w:eastAsia="仿宋_GB2312"/>
          <w:b/>
          <w:bCs/>
          <w:color w:val="auto"/>
          <w:sz w:val="32"/>
          <w:szCs w:val="32"/>
          <w:lang w:val="en-US" w:eastAsia="zh-CN"/>
        </w:rPr>
        <w:t>本单位不是</w:t>
      </w:r>
      <w:r>
        <w:rPr>
          <w:rFonts w:hint="eastAsia" w:ascii="仿宋_GB2312" w:hAnsi="仿宋_GB2312" w:eastAsia="仿宋_GB2312"/>
          <w:b/>
          <w:bCs/>
          <w:color w:val="auto"/>
          <w:sz w:val="32"/>
          <w:szCs w:val="32"/>
        </w:rPr>
        <w:t>行政单位</w:t>
      </w:r>
      <w:r>
        <w:rPr>
          <w:rFonts w:hint="eastAsia" w:ascii="仿宋_GB2312" w:hAnsi="仿宋_GB2312" w:eastAsia="仿宋_GB2312"/>
          <w:b/>
          <w:bCs/>
          <w:color w:val="auto"/>
          <w:sz w:val="32"/>
          <w:szCs w:val="32"/>
          <w:lang w:val="en-US" w:eastAsia="zh-CN"/>
        </w:rPr>
        <w:t>或</w:t>
      </w:r>
      <w:r>
        <w:rPr>
          <w:rFonts w:hint="eastAsia" w:ascii="仿宋_GB2312" w:hAnsi="仿宋_GB2312" w:eastAsia="仿宋_GB2312"/>
          <w:b/>
          <w:bCs/>
          <w:color w:val="auto"/>
          <w:sz w:val="32"/>
          <w:szCs w:val="32"/>
        </w:rPr>
        <w:t>参照公务员法管理事业单位</w:t>
      </w:r>
      <w:r>
        <w:rPr>
          <w:rFonts w:hint="eastAsia" w:ascii="仿宋_GB2312" w:hAnsi="仿宋_GB2312" w:eastAsia="仿宋_GB2312"/>
          <w:b/>
          <w:bCs/>
          <w:color w:val="auto"/>
          <w:sz w:val="32"/>
          <w:szCs w:val="32"/>
          <w:lang w:eastAsia="zh-CN"/>
        </w:rPr>
        <w:t>，</w:t>
      </w:r>
      <w:r>
        <w:rPr>
          <w:rFonts w:hint="eastAsia" w:ascii="仿宋_GB2312" w:hAnsi="仿宋_GB2312" w:eastAsia="仿宋_GB2312"/>
          <w:b/>
          <w:bCs/>
          <w:color w:val="auto"/>
          <w:sz w:val="32"/>
          <w:szCs w:val="32"/>
          <w:lang w:val="en-US" w:eastAsia="zh-CN"/>
        </w:rPr>
        <w:t>故无机关运行经费支出。</w:t>
      </w:r>
    </w:p>
    <w:p>
      <w:pPr>
        <w:ind w:firstLine="630"/>
        <w:jc w:val="left"/>
        <w:rPr>
          <w:rFonts w:hint="eastAsia" w:ascii="宋体" w:hAnsi="宋体" w:eastAsia="宋体" w:cs="宋体"/>
          <w:b/>
          <w:bCs/>
          <w:sz w:val="32"/>
          <w:szCs w:val="32"/>
        </w:rPr>
      </w:pPr>
      <w:r>
        <w:rPr>
          <w:rFonts w:hint="eastAsia" w:ascii="宋体" w:hAnsi="宋体" w:eastAsia="宋体" w:cs="宋体"/>
          <w:b/>
          <w:bCs/>
          <w:sz w:val="32"/>
          <w:szCs w:val="32"/>
          <w:lang w:val="en-US" w:eastAsia="zh-CN"/>
        </w:rPr>
        <w:t>七、</w:t>
      </w:r>
      <w:r>
        <w:rPr>
          <w:rFonts w:hint="eastAsia" w:ascii="宋体" w:hAnsi="宋体" w:eastAsia="宋体" w:cs="宋体"/>
          <w:b/>
          <w:bCs/>
          <w:sz w:val="32"/>
          <w:szCs w:val="32"/>
        </w:rPr>
        <w:t>政府采购支出情况说明</w:t>
      </w:r>
    </w:p>
    <w:p>
      <w:pPr>
        <w:pStyle w:val="8"/>
        <w:spacing w:line="60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本</w:t>
      </w:r>
      <w:r>
        <w:rPr>
          <w:rFonts w:hint="eastAsia" w:ascii="仿宋" w:hAnsi="仿宋" w:eastAsia="仿宋" w:cs="仿宋"/>
          <w:sz w:val="32"/>
          <w:szCs w:val="32"/>
          <w:lang w:val="en-US" w:eastAsia="zh-CN"/>
        </w:rPr>
        <w:t>单位</w:t>
      </w:r>
      <w:r>
        <w:rPr>
          <w:rFonts w:hint="eastAsia" w:ascii="仿宋" w:hAnsi="仿宋" w:eastAsia="仿宋" w:cs="仿宋"/>
          <w:sz w:val="32"/>
          <w:szCs w:val="32"/>
        </w:rPr>
        <w:t>20</w:t>
      </w:r>
      <w:r>
        <w:rPr>
          <w:rFonts w:hint="eastAsia" w:ascii="仿宋" w:hAnsi="仿宋" w:eastAsia="仿宋" w:cs="仿宋"/>
          <w:sz w:val="32"/>
          <w:szCs w:val="32"/>
          <w:lang w:val="en-US" w:eastAsia="zh-CN"/>
        </w:rPr>
        <w:t>20</w:t>
      </w:r>
      <w:r>
        <w:rPr>
          <w:rFonts w:hint="eastAsia" w:ascii="仿宋" w:hAnsi="仿宋" w:eastAsia="仿宋" w:cs="仿宋"/>
          <w:sz w:val="32"/>
          <w:szCs w:val="32"/>
        </w:rPr>
        <w:t>年度政府采购支出总额</w:t>
      </w:r>
      <w:r>
        <w:rPr>
          <w:rFonts w:hint="eastAsia" w:ascii="仿宋" w:hAnsi="仿宋" w:eastAsia="仿宋" w:cs="仿宋"/>
          <w:sz w:val="32"/>
          <w:szCs w:val="32"/>
          <w:lang w:val="en-US" w:eastAsia="zh-CN"/>
        </w:rPr>
        <w:t>2239.08</w:t>
      </w:r>
      <w:r>
        <w:rPr>
          <w:rFonts w:hint="eastAsia" w:ascii="仿宋" w:hAnsi="仿宋" w:eastAsia="仿宋" w:cs="仿宋"/>
          <w:sz w:val="32"/>
          <w:szCs w:val="32"/>
        </w:rPr>
        <w:t>万元，其中：政府采购货物支出</w:t>
      </w:r>
      <w:r>
        <w:rPr>
          <w:rFonts w:hint="eastAsia" w:ascii="仿宋" w:hAnsi="仿宋" w:eastAsia="仿宋" w:cs="仿宋"/>
          <w:sz w:val="32"/>
          <w:szCs w:val="32"/>
          <w:lang w:val="en-US" w:eastAsia="zh-CN"/>
        </w:rPr>
        <w:t>1239.08</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政府采购工程支出0万元，政府采购服务支出  1000.00万元。授予中小企业合同金额0万元，</w:t>
      </w:r>
      <w:r>
        <w:rPr>
          <w:rFonts w:hint="eastAsia" w:ascii="仿宋_GB2312" w:hAnsi="仿宋_GB2312" w:eastAsia="仿宋_GB2312"/>
          <w:sz w:val="32"/>
          <w:szCs w:val="32"/>
        </w:rPr>
        <w:t xml:space="preserve">占政府采购支出总额的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%，其中：授予小微企业合同金额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万元，占政府采购支出总额的 </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 xml:space="preserve"> %</w:t>
      </w:r>
      <w:r>
        <w:rPr>
          <w:rFonts w:hint="eastAsia" w:ascii="仿宋_GB2312" w:hAnsi="仿宋_GB2312" w:eastAsia="仿宋_GB2312"/>
          <w:sz w:val="32"/>
          <w:szCs w:val="32"/>
          <w:lang w:eastAsia="zh-CN"/>
        </w:rPr>
        <w:t>；</w:t>
      </w:r>
      <w:r>
        <w:rPr>
          <w:rFonts w:hint="eastAsia" w:ascii="仿宋_GB2312" w:hAnsi="仿宋_GB2312" w:eastAsia="仿宋_GB2312"/>
          <w:color w:val="auto"/>
          <w:sz w:val="32"/>
          <w:szCs w:val="32"/>
          <w:lang w:val="en-US" w:eastAsia="zh-CN"/>
        </w:rPr>
        <w:t>货物采购授予中小企业合同金额占货物支出金额的 0 %，工程采购授予中小企业合同金额占工程支出金额的 0 %，服务采购授予中小企业合同金额占服务支出金额的0 %。</w:t>
      </w:r>
      <w:r>
        <w:rPr>
          <w:rFonts w:hint="eastAsia" w:ascii="仿宋" w:hAnsi="仿宋" w:eastAsia="仿宋" w:cs="仿宋"/>
          <w:sz w:val="32"/>
          <w:szCs w:val="32"/>
        </w:rPr>
        <w:t>。</w:t>
      </w:r>
    </w:p>
    <w:p>
      <w:pPr>
        <w:ind w:firstLine="630"/>
        <w:jc w:val="left"/>
        <w:rPr>
          <w:rFonts w:hint="eastAsia" w:ascii="宋体" w:hAnsi="宋体" w:eastAsia="宋体" w:cs="宋体"/>
          <w:b/>
          <w:bCs/>
          <w:sz w:val="32"/>
          <w:szCs w:val="32"/>
        </w:rPr>
      </w:pPr>
      <w:r>
        <w:rPr>
          <w:rFonts w:hint="eastAsia" w:ascii="宋体" w:hAnsi="宋体" w:eastAsia="宋体" w:cs="宋体"/>
          <w:b/>
          <w:bCs/>
          <w:sz w:val="32"/>
          <w:szCs w:val="32"/>
          <w:lang w:val="en-US" w:eastAsia="zh-CN"/>
        </w:rPr>
        <w:t>八、</w:t>
      </w:r>
      <w:r>
        <w:rPr>
          <w:rFonts w:hint="eastAsia" w:ascii="宋体" w:hAnsi="宋体" w:eastAsia="宋体" w:cs="宋体"/>
          <w:b/>
          <w:bCs/>
          <w:sz w:val="32"/>
          <w:szCs w:val="32"/>
        </w:rPr>
        <w:t>国有资产占用情况说明。</w:t>
      </w:r>
    </w:p>
    <w:p>
      <w:pPr>
        <w:ind w:firstLine="630"/>
        <w:jc w:val="left"/>
        <w:rPr>
          <w:rFonts w:hint="eastAsia" w:ascii="宋体" w:hAnsi="宋体" w:eastAsia="宋体" w:cs="宋体"/>
          <w:b/>
          <w:bCs/>
          <w:sz w:val="32"/>
          <w:szCs w:val="32"/>
          <w:lang w:val="en-US" w:eastAsia="zh-CN"/>
        </w:rPr>
      </w:pPr>
      <w:r>
        <w:rPr>
          <w:rFonts w:hint="eastAsia" w:ascii="仿宋" w:hAnsi="仿宋" w:eastAsia="仿宋" w:cs="仿宋"/>
          <w:kern w:val="0"/>
          <w:sz w:val="32"/>
          <w:szCs w:val="32"/>
        </w:rPr>
        <w:t>截止20</w:t>
      </w:r>
      <w:r>
        <w:rPr>
          <w:rFonts w:hint="eastAsia" w:ascii="仿宋" w:hAnsi="仿宋" w:eastAsia="仿宋" w:cs="仿宋"/>
          <w:kern w:val="0"/>
          <w:sz w:val="32"/>
          <w:szCs w:val="32"/>
          <w:lang w:val="en-US" w:eastAsia="zh-CN"/>
        </w:rPr>
        <w:t>20</w:t>
      </w:r>
      <w:r>
        <w:rPr>
          <w:rFonts w:hint="eastAsia" w:ascii="仿宋" w:hAnsi="仿宋" w:eastAsia="仿宋" w:cs="仿宋"/>
          <w:kern w:val="0"/>
          <w:sz w:val="32"/>
          <w:szCs w:val="32"/>
        </w:rPr>
        <w:t>年12月31日，</w:t>
      </w:r>
      <w:r>
        <w:rPr>
          <w:rFonts w:hint="eastAsia" w:ascii="仿宋" w:hAnsi="仿宋" w:eastAsia="仿宋" w:cs="仿宋"/>
          <w:kern w:val="0"/>
          <w:sz w:val="32"/>
          <w:szCs w:val="32"/>
          <w:highlight w:val="none"/>
          <w:u w:val="none"/>
          <w:lang w:eastAsia="zh-CN"/>
        </w:rPr>
        <w:t>本单位国有资产占用情况见公开</w:t>
      </w:r>
      <w:r>
        <w:rPr>
          <w:rFonts w:hint="eastAsia" w:ascii="仿宋" w:hAnsi="仿宋" w:eastAsia="仿宋" w:cs="仿宋"/>
          <w:kern w:val="0"/>
          <w:sz w:val="32"/>
          <w:szCs w:val="32"/>
          <w:highlight w:val="none"/>
          <w:u w:val="none"/>
          <w:lang w:val="en-US" w:eastAsia="zh-CN"/>
        </w:rPr>
        <w:t>10表《国有资产占用情况表》。</w:t>
      </w:r>
      <w:r>
        <w:rPr>
          <w:rFonts w:hint="eastAsia" w:ascii="仿宋" w:hAnsi="仿宋" w:eastAsia="仿宋" w:cs="仿宋"/>
          <w:kern w:val="0"/>
          <w:sz w:val="32"/>
          <w:szCs w:val="32"/>
        </w:rPr>
        <w:t>本</w:t>
      </w:r>
      <w:r>
        <w:rPr>
          <w:rFonts w:hint="eastAsia" w:ascii="仿宋" w:hAnsi="仿宋" w:eastAsia="仿宋" w:cs="仿宋"/>
          <w:kern w:val="0"/>
          <w:sz w:val="32"/>
          <w:szCs w:val="32"/>
          <w:lang w:val="en-US" w:eastAsia="zh-CN"/>
        </w:rPr>
        <w:t>单位</w:t>
      </w:r>
      <w:r>
        <w:rPr>
          <w:rFonts w:hint="eastAsia" w:ascii="仿宋" w:hAnsi="仿宋" w:eastAsia="仿宋" w:cs="仿宋"/>
          <w:kern w:val="0"/>
          <w:sz w:val="32"/>
          <w:szCs w:val="32"/>
        </w:rPr>
        <w:t>共有车辆</w:t>
      </w:r>
      <w:r>
        <w:rPr>
          <w:rFonts w:hint="eastAsia" w:ascii="仿宋" w:hAnsi="仿宋" w:eastAsia="仿宋" w:cs="仿宋"/>
          <w:kern w:val="0"/>
          <w:sz w:val="32"/>
          <w:szCs w:val="32"/>
          <w:lang w:val="en-US" w:eastAsia="zh-CN"/>
        </w:rPr>
        <w:t>4</w:t>
      </w:r>
      <w:r>
        <w:rPr>
          <w:rFonts w:hint="eastAsia" w:ascii="仿宋" w:hAnsi="仿宋" w:eastAsia="仿宋" w:cs="仿宋"/>
          <w:kern w:val="0"/>
          <w:sz w:val="32"/>
          <w:szCs w:val="32"/>
        </w:rPr>
        <w:t>辆，其中，副部（省）级及以上领导用车0辆、主要领导干部用车</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辆、机要通信用车0辆、应急保障用车0辆、执法执勤用车</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辆、特种专业技术用车</w:t>
      </w:r>
      <w:r>
        <w:rPr>
          <w:rFonts w:hint="eastAsia" w:ascii="仿宋" w:hAnsi="仿宋" w:eastAsia="仿宋" w:cs="仿宋"/>
          <w:kern w:val="0"/>
          <w:sz w:val="32"/>
          <w:szCs w:val="32"/>
          <w:lang w:val="en-US" w:eastAsia="zh-CN"/>
        </w:rPr>
        <w:t>4</w:t>
      </w:r>
      <w:r>
        <w:rPr>
          <w:rFonts w:hint="eastAsia" w:ascii="仿宋" w:hAnsi="仿宋" w:eastAsia="仿宋" w:cs="仿宋"/>
          <w:kern w:val="0"/>
          <w:sz w:val="32"/>
          <w:szCs w:val="32"/>
        </w:rPr>
        <w:t>辆、其他用车 0辆，其他用车主要是小型轿车；单位价值50万元以上通用设备</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台（套）；单位价值100万元以上专用设备</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台（套）。</w:t>
      </w:r>
    </w:p>
    <w:p>
      <w:pPr>
        <w:ind w:firstLine="630"/>
        <w:jc w:val="left"/>
        <w:rPr>
          <w:rFonts w:hint="default" w:ascii="宋体" w:hAnsi="宋体" w:eastAsia="宋体" w:cs="宋体"/>
          <w:b/>
          <w:bCs/>
          <w:sz w:val="32"/>
          <w:szCs w:val="32"/>
          <w:lang w:val="en-US" w:eastAsia="zh-CN"/>
        </w:rPr>
      </w:pPr>
      <w:r>
        <w:rPr>
          <w:rFonts w:hint="eastAsia" w:ascii="宋体" w:hAnsi="宋体" w:eastAsia="宋体" w:cs="宋体"/>
          <w:b/>
          <w:bCs/>
          <w:sz w:val="32"/>
          <w:szCs w:val="32"/>
          <w:lang w:val="en-US" w:eastAsia="zh-CN"/>
        </w:rPr>
        <w:t>九、预算绩效情况说明</w:t>
      </w:r>
    </w:p>
    <w:p>
      <w:pPr>
        <w:pStyle w:val="2"/>
        <w:widowControl w:val="0"/>
        <w:numPr>
          <w:ilvl w:val="0"/>
          <w:numId w:val="0"/>
        </w:numPr>
        <w:jc w:val="both"/>
        <w:rPr>
          <w:rFonts w:hint="eastAsia"/>
          <w:lang w:val="en-US" w:eastAsia="zh-CN"/>
        </w:rPr>
      </w:pPr>
      <w:r>
        <w:rPr>
          <w:rFonts w:hint="eastAsia"/>
          <w:lang w:val="en-US" w:eastAsia="zh-CN"/>
        </w:rPr>
        <w:t xml:space="preserve">          无</w:t>
      </w: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numPr>
          <w:numId w:val="0"/>
        </w:numPr>
        <w:ind w:leftChars="0"/>
        <w:jc w:val="center"/>
        <w:rPr>
          <w:rFonts w:hint="default" w:ascii="仿宋" w:hAnsi="仿宋" w:eastAsia="仿宋" w:cs="仿宋"/>
          <w:b/>
          <w:bCs/>
          <w:lang w:val="en-US" w:eastAsia="zh-CN"/>
        </w:rPr>
      </w:pPr>
      <w:r>
        <w:rPr>
          <w:rFonts w:hint="eastAsia" w:ascii="宋体" w:hAnsi="宋体" w:eastAsia="宋体" w:cs="宋体"/>
          <w:b/>
          <w:bCs/>
          <w:lang w:val="en-US" w:eastAsia="zh-CN"/>
        </w:rPr>
        <w:t>第三部分 2020年度单位决算表</w:t>
      </w: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77"/>
        <w:gridCol w:w="630"/>
        <w:gridCol w:w="1500"/>
        <w:gridCol w:w="3390"/>
        <w:gridCol w:w="660"/>
        <w:gridCol w:w="12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6"/>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5000" w:type="pct"/>
            <w:gridSpan w:val="6"/>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5000" w:type="pct"/>
            <w:gridSpan w:val="6"/>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编制单位：兴国县妇幼保健计划生育服务中心                     2020年度               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7" w:hRule="atLeast"/>
        </w:trPr>
        <w:tc>
          <w:tcPr>
            <w:tcW w:w="2401"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2598" w:type="pct"/>
            <w:gridSpan w:val="3"/>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行次</w:t>
            </w:r>
          </w:p>
        </w:tc>
        <w:tc>
          <w:tcPr>
            <w:tcW w:w="73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项目（按功能分类）</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61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    次</w:t>
            </w:r>
          </w:p>
        </w:tc>
        <w:tc>
          <w:tcPr>
            <w:tcW w:w="308" w:type="pct"/>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0"/>
                <w:szCs w:val="20"/>
                <w:u w:val="none"/>
              </w:rPr>
            </w:pPr>
          </w:p>
        </w:tc>
        <w:tc>
          <w:tcPr>
            <w:tcW w:w="733"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    次</w:t>
            </w:r>
          </w:p>
        </w:tc>
        <w:tc>
          <w:tcPr>
            <w:tcW w:w="322" w:type="pct"/>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61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1,833.79</w:t>
            </w: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7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6,027.68</w:t>
            </w: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7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7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7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33.66</w:t>
            </w: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733"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7,411.05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733"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733"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733"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733"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733"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733"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733"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733"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33"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733"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733"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733"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733"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二十一、灾害防治及应急管理支出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733"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二十二、其他支出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733"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二十三、债务还本支出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73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二十四、债务付息支出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73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二十五、抗疫特别国债安排的支出</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7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7,895.13</w:t>
            </w: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7,519.13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使用非财政拨款结余</w:t>
            </w: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7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结余分配                 </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年初结转和结余</w:t>
            </w: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7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1,685.44</w:t>
            </w: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年末结转和结余                                </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1,967.19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2"/>
                <w:szCs w:val="22"/>
                <w:u w:val="none"/>
              </w:rPr>
            </w:pP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733"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58" w:type="pct"/>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2"/>
                <w:szCs w:val="22"/>
                <w:u w:val="none"/>
              </w:rPr>
            </w:pP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617"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7" w:hRule="atLeast"/>
        </w:trPr>
        <w:tc>
          <w:tcPr>
            <w:tcW w:w="1358"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30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73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9,580.57</w:t>
            </w:r>
          </w:p>
        </w:tc>
        <w:tc>
          <w:tcPr>
            <w:tcW w:w="16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3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61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9,580.57</w:t>
            </w:r>
          </w:p>
        </w:tc>
      </w:tr>
    </w:tbl>
    <w:p>
      <w:pPr>
        <w:pStyle w:val="2"/>
        <w:numPr>
          <w:ilvl w:val="0"/>
          <w:numId w:val="0"/>
        </w:numPr>
        <w:jc w:val="both"/>
        <w:rPr>
          <w:rFonts w:hint="default" w:ascii="仿宋" w:hAnsi="仿宋" w:eastAsia="仿宋" w:cs="仿宋"/>
          <w:b/>
          <w:bCs/>
          <w:lang w:val="en-US" w:eastAsia="zh-CN"/>
        </w:rPr>
      </w:pPr>
    </w:p>
    <w:tbl>
      <w:tblPr>
        <w:tblStyle w:val="6"/>
        <w:tblW w:w="1000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74"/>
        <w:gridCol w:w="334"/>
        <w:gridCol w:w="400"/>
        <w:gridCol w:w="3316"/>
        <w:gridCol w:w="1550"/>
        <w:gridCol w:w="1567"/>
        <w:gridCol w:w="1300"/>
        <w:gridCol w:w="11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008"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44"/>
                <w:szCs w:val="44"/>
                <w:u w:val="none"/>
                <w:lang w:val="en-US" w:eastAsia="zh-CN" w:bidi="ar"/>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08" w:type="dxa"/>
            <w:gridSpan w:val="8"/>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9" w:hRule="atLeast"/>
        </w:trPr>
        <w:tc>
          <w:tcPr>
            <w:tcW w:w="10008" w:type="dxa"/>
            <w:gridSpan w:val="8"/>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 xml:space="preserve">编制单位：兴国县妇幼保健计划生育服务中心  </w:t>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 xml:space="preserve"> 2020年度               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424"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55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567"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130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1167" w:type="dxa"/>
            <w:vMerge w:val="restart"/>
            <w:tcBorders>
              <w:top w:val="single" w:color="000000" w:sz="4" w:space="0"/>
              <w:left w:val="nil"/>
              <w:bottom w:val="single" w:color="000000" w:sz="4" w:space="0"/>
              <w:right w:val="single" w:color="000000" w:sz="8"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108"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支出功能分类科目编码</w:t>
            </w:r>
          </w:p>
        </w:tc>
        <w:tc>
          <w:tcPr>
            <w:tcW w:w="3316"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55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67"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67" w:type="dxa"/>
            <w:vMerge w:val="continue"/>
            <w:tcBorders>
              <w:top w:val="single" w:color="000000" w:sz="4" w:space="0"/>
              <w:left w:val="nil"/>
              <w:bottom w:val="single" w:color="000000" w:sz="4" w:space="0"/>
              <w:right w:val="single" w:color="000000" w:sz="8"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108"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31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55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67"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67" w:type="dxa"/>
            <w:vMerge w:val="continue"/>
            <w:tcBorders>
              <w:top w:val="single" w:color="000000" w:sz="4" w:space="0"/>
              <w:left w:val="nil"/>
              <w:bottom w:val="single" w:color="000000" w:sz="4" w:space="0"/>
              <w:right w:val="single" w:color="000000" w:sz="8"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108"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31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55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67"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67" w:type="dxa"/>
            <w:vMerge w:val="continue"/>
            <w:tcBorders>
              <w:top w:val="single" w:color="000000" w:sz="4" w:space="0"/>
              <w:left w:val="nil"/>
              <w:bottom w:val="single" w:color="000000" w:sz="4" w:space="0"/>
              <w:right w:val="single" w:color="000000" w:sz="8"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74" w:type="dxa"/>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334"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400"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55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0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67" w:type="dxa"/>
            <w:tcBorders>
              <w:top w:val="nil"/>
              <w:left w:val="nil"/>
              <w:bottom w:val="single" w:color="000000" w:sz="4" w:space="0"/>
              <w:right w:val="single" w:color="000000" w:sz="8"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74" w:type="dxa"/>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334"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00"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5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7,895.13</w:t>
            </w:r>
          </w:p>
        </w:tc>
        <w:tc>
          <w:tcPr>
            <w:tcW w:w="156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1,833.79</w:t>
            </w:r>
          </w:p>
        </w:tc>
        <w:tc>
          <w:tcPr>
            <w:tcW w:w="13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6,027.68</w:t>
            </w:r>
          </w:p>
        </w:tc>
        <w:tc>
          <w:tcPr>
            <w:tcW w:w="1167"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1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3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108.08</w:t>
            </w:r>
          </w:p>
        </w:tc>
        <w:tc>
          <w:tcPr>
            <w:tcW w:w="156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108.08</w:t>
            </w:r>
          </w:p>
        </w:tc>
        <w:tc>
          <w:tcPr>
            <w:tcW w:w="13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67"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3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108.08</w:t>
            </w:r>
          </w:p>
        </w:tc>
        <w:tc>
          <w:tcPr>
            <w:tcW w:w="156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108.08</w:t>
            </w:r>
          </w:p>
        </w:tc>
        <w:tc>
          <w:tcPr>
            <w:tcW w:w="13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67"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1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3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firstLine="220"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5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75.25</w:t>
            </w:r>
          </w:p>
        </w:tc>
        <w:tc>
          <w:tcPr>
            <w:tcW w:w="156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75.25</w:t>
            </w:r>
          </w:p>
        </w:tc>
        <w:tc>
          <w:tcPr>
            <w:tcW w:w="13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67"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1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3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ind w:firstLine="220" w:firstLineChars="1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5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32.83</w:t>
            </w:r>
          </w:p>
        </w:tc>
        <w:tc>
          <w:tcPr>
            <w:tcW w:w="156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32.83</w:t>
            </w:r>
          </w:p>
        </w:tc>
        <w:tc>
          <w:tcPr>
            <w:tcW w:w="13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67"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3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5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7,787.05</w:t>
            </w:r>
          </w:p>
        </w:tc>
        <w:tc>
          <w:tcPr>
            <w:tcW w:w="156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1,725.71</w:t>
            </w:r>
          </w:p>
        </w:tc>
        <w:tc>
          <w:tcPr>
            <w:tcW w:w="13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6,027.68</w:t>
            </w:r>
          </w:p>
        </w:tc>
        <w:tc>
          <w:tcPr>
            <w:tcW w:w="1167"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3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15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7,611.97</w:t>
            </w:r>
          </w:p>
        </w:tc>
        <w:tc>
          <w:tcPr>
            <w:tcW w:w="156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1,550.63</w:t>
            </w:r>
          </w:p>
        </w:tc>
        <w:tc>
          <w:tcPr>
            <w:tcW w:w="13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6,027.68</w:t>
            </w:r>
          </w:p>
        </w:tc>
        <w:tc>
          <w:tcPr>
            <w:tcW w:w="1167"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2100403</w:t>
            </w:r>
          </w:p>
        </w:tc>
        <w:tc>
          <w:tcPr>
            <w:tcW w:w="3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妇幼保健机构</w:t>
            </w:r>
          </w:p>
        </w:tc>
        <w:tc>
          <w:tcPr>
            <w:tcW w:w="15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7,030.64</w:t>
            </w:r>
          </w:p>
        </w:tc>
        <w:tc>
          <w:tcPr>
            <w:tcW w:w="156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969.31</w:t>
            </w:r>
          </w:p>
        </w:tc>
        <w:tc>
          <w:tcPr>
            <w:tcW w:w="13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6,027.68</w:t>
            </w:r>
          </w:p>
        </w:tc>
        <w:tc>
          <w:tcPr>
            <w:tcW w:w="1167"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1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2100408</w:t>
            </w:r>
          </w:p>
        </w:tc>
        <w:tc>
          <w:tcPr>
            <w:tcW w:w="3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基本公共卫生服务</w:t>
            </w:r>
          </w:p>
        </w:tc>
        <w:tc>
          <w:tcPr>
            <w:tcW w:w="15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539.24</w:t>
            </w:r>
          </w:p>
        </w:tc>
        <w:tc>
          <w:tcPr>
            <w:tcW w:w="156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539.24</w:t>
            </w:r>
          </w:p>
        </w:tc>
        <w:tc>
          <w:tcPr>
            <w:tcW w:w="13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67"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1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3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15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42.09</w:t>
            </w:r>
          </w:p>
        </w:tc>
        <w:tc>
          <w:tcPr>
            <w:tcW w:w="156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42.09</w:t>
            </w:r>
          </w:p>
        </w:tc>
        <w:tc>
          <w:tcPr>
            <w:tcW w:w="13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67"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1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w:t>
            </w:r>
          </w:p>
        </w:tc>
        <w:tc>
          <w:tcPr>
            <w:tcW w:w="3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计划生育事务</w:t>
            </w:r>
          </w:p>
        </w:tc>
        <w:tc>
          <w:tcPr>
            <w:tcW w:w="15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125.92</w:t>
            </w:r>
          </w:p>
        </w:tc>
        <w:tc>
          <w:tcPr>
            <w:tcW w:w="156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125.92</w:t>
            </w:r>
          </w:p>
        </w:tc>
        <w:tc>
          <w:tcPr>
            <w:tcW w:w="13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67"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1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2100717</w:t>
            </w:r>
          </w:p>
        </w:tc>
        <w:tc>
          <w:tcPr>
            <w:tcW w:w="3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15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125.92</w:t>
            </w:r>
          </w:p>
        </w:tc>
        <w:tc>
          <w:tcPr>
            <w:tcW w:w="156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125.92</w:t>
            </w:r>
          </w:p>
        </w:tc>
        <w:tc>
          <w:tcPr>
            <w:tcW w:w="13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67"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1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3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5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49.16</w:t>
            </w:r>
          </w:p>
        </w:tc>
        <w:tc>
          <w:tcPr>
            <w:tcW w:w="156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49.16</w:t>
            </w:r>
          </w:p>
        </w:tc>
        <w:tc>
          <w:tcPr>
            <w:tcW w:w="13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67"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1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2101102</w:t>
            </w:r>
          </w:p>
        </w:tc>
        <w:tc>
          <w:tcPr>
            <w:tcW w:w="3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15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47.11</w:t>
            </w:r>
          </w:p>
        </w:tc>
        <w:tc>
          <w:tcPr>
            <w:tcW w:w="156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47.11</w:t>
            </w:r>
          </w:p>
        </w:tc>
        <w:tc>
          <w:tcPr>
            <w:tcW w:w="13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67"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1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2101103</w:t>
            </w:r>
          </w:p>
        </w:tc>
        <w:tc>
          <w:tcPr>
            <w:tcW w:w="331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w:t>
            </w:r>
          </w:p>
        </w:tc>
        <w:tc>
          <w:tcPr>
            <w:tcW w:w="15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156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13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67" w:type="dxa"/>
            <w:tcBorders>
              <w:top w:val="nil"/>
              <w:left w:val="nil"/>
              <w:bottom w:val="single" w:color="000000" w:sz="4" w:space="0"/>
              <w:right w:val="single" w:color="000000" w:sz="8"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0008" w:type="dxa"/>
            <w:gridSpan w:val="8"/>
            <w:tcBorders>
              <w:top w:val="single" w:color="000000" w:sz="4" w:space="0"/>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0"/>
                <w:szCs w:val="20"/>
                <w:u w:val="none"/>
                <w:lang w:val="en-US" w:eastAsia="zh-CN" w:bidi="ar"/>
              </w:rPr>
              <w:t>注：本表反映单位本年度取得的各项收入情况</w:t>
            </w:r>
          </w:p>
        </w:tc>
      </w:tr>
    </w:tbl>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tbl>
      <w:tblPr>
        <w:tblStyle w:val="6"/>
        <w:tblW w:w="999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4"/>
        <w:gridCol w:w="450"/>
        <w:gridCol w:w="517"/>
        <w:gridCol w:w="4000"/>
        <w:gridCol w:w="1583"/>
        <w:gridCol w:w="1400"/>
        <w:gridCol w:w="15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991" w:type="dxa"/>
            <w:gridSpan w:val="7"/>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991" w:type="dxa"/>
            <w:gridSpan w:val="7"/>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w:t>
            </w:r>
            <w:r>
              <w:rPr>
                <w:rStyle w:val="10"/>
                <w:rFonts w:eastAsia="宋体"/>
                <w:lang w:val="en-US" w:eastAsia="zh-CN" w:bidi="ar"/>
              </w:rPr>
              <w:t>03</w:t>
            </w:r>
            <w:r>
              <w:rPr>
                <w:rStyle w:val="12"/>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991" w:type="dxa"/>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编制单位：兴国县妇幼保健计划生育服务中心             2020年度                    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491"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1583"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40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517"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91"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支出功能分类科目编码</w:t>
            </w:r>
          </w:p>
        </w:tc>
        <w:tc>
          <w:tcPr>
            <w:tcW w:w="4000"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58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17"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491"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000"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58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17"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91"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000"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58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17"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24" w:type="dxa"/>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450"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517"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40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5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1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24" w:type="dxa"/>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50"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517"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0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5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7,519.13</w:t>
            </w:r>
          </w:p>
        </w:tc>
        <w:tc>
          <w:tcPr>
            <w:tcW w:w="14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7,219.99</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91"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108.08</w:t>
            </w:r>
          </w:p>
        </w:tc>
        <w:tc>
          <w:tcPr>
            <w:tcW w:w="14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108.08</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491"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108.08</w:t>
            </w:r>
          </w:p>
        </w:tc>
        <w:tc>
          <w:tcPr>
            <w:tcW w:w="14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108.08</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491"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5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75.25</w:t>
            </w:r>
          </w:p>
        </w:tc>
        <w:tc>
          <w:tcPr>
            <w:tcW w:w="14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75.25</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491"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机关事业单位职业年金缴费支出</w:t>
            </w:r>
          </w:p>
        </w:tc>
        <w:tc>
          <w:tcPr>
            <w:tcW w:w="15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32.83</w:t>
            </w:r>
          </w:p>
        </w:tc>
        <w:tc>
          <w:tcPr>
            <w:tcW w:w="14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32.83</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491"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5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7,411.05</w:t>
            </w:r>
          </w:p>
        </w:tc>
        <w:tc>
          <w:tcPr>
            <w:tcW w:w="14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7,111.91</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491"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15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7,235.97</w:t>
            </w:r>
          </w:p>
        </w:tc>
        <w:tc>
          <w:tcPr>
            <w:tcW w:w="14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6,936.84</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91"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2100403</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妇幼保健机构</w:t>
            </w:r>
          </w:p>
        </w:tc>
        <w:tc>
          <w:tcPr>
            <w:tcW w:w="15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6,936.84</w:t>
            </w:r>
          </w:p>
        </w:tc>
        <w:tc>
          <w:tcPr>
            <w:tcW w:w="14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6,936.84</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91"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2100408</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基本公共卫生服务</w:t>
            </w:r>
          </w:p>
        </w:tc>
        <w:tc>
          <w:tcPr>
            <w:tcW w:w="15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257.05</w:t>
            </w:r>
          </w:p>
        </w:tc>
        <w:tc>
          <w:tcPr>
            <w:tcW w:w="14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91"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15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42.09</w:t>
            </w:r>
          </w:p>
        </w:tc>
        <w:tc>
          <w:tcPr>
            <w:tcW w:w="14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91"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计划生育事务</w:t>
            </w:r>
          </w:p>
        </w:tc>
        <w:tc>
          <w:tcPr>
            <w:tcW w:w="15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125.92</w:t>
            </w:r>
          </w:p>
        </w:tc>
        <w:tc>
          <w:tcPr>
            <w:tcW w:w="14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125.92</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91"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2100717</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15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125.92</w:t>
            </w:r>
          </w:p>
        </w:tc>
        <w:tc>
          <w:tcPr>
            <w:tcW w:w="14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125.92</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91"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5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49.16</w:t>
            </w:r>
          </w:p>
        </w:tc>
        <w:tc>
          <w:tcPr>
            <w:tcW w:w="14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49.16</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91"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2101102</w:t>
            </w:r>
          </w:p>
        </w:tc>
        <w:tc>
          <w:tcPr>
            <w:tcW w:w="40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158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47.11</w:t>
            </w:r>
          </w:p>
        </w:tc>
        <w:tc>
          <w:tcPr>
            <w:tcW w:w="14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47.11</w:t>
            </w:r>
          </w:p>
        </w:tc>
        <w:tc>
          <w:tcPr>
            <w:tcW w:w="151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491" w:type="dxa"/>
            <w:gridSpan w:val="3"/>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2101103</w:t>
            </w:r>
          </w:p>
        </w:tc>
        <w:tc>
          <w:tcPr>
            <w:tcW w:w="4000"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w:t>
            </w:r>
          </w:p>
        </w:tc>
        <w:tc>
          <w:tcPr>
            <w:tcW w:w="1583" w:type="dxa"/>
            <w:tcBorders>
              <w:top w:val="nil"/>
              <w:left w:val="nil"/>
              <w:bottom w:val="nil"/>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1400" w:type="dxa"/>
            <w:tcBorders>
              <w:top w:val="nil"/>
              <w:left w:val="nil"/>
              <w:bottom w:val="nil"/>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1517" w:type="dxa"/>
            <w:tcBorders>
              <w:top w:val="nil"/>
              <w:left w:val="nil"/>
              <w:bottom w:val="nil"/>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9991" w:type="dxa"/>
            <w:gridSpan w:val="7"/>
            <w:tcBorders>
              <w:top w:val="single" w:color="000000"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tbl>
      <w:tblPr>
        <w:tblStyle w:val="6"/>
        <w:tblW w:w="1010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08"/>
        <w:gridCol w:w="500"/>
        <w:gridCol w:w="1200"/>
        <w:gridCol w:w="3316"/>
        <w:gridCol w:w="500"/>
        <w:gridCol w:w="1150"/>
        <w:gridCol w:w="11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0108" w:type="dxa"/>
            <w:gridSpan w:val="7"/>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36"/>
                <w:szCs w:val="36"/>
                <w:u w:val="none"/>
                <w:lang w:val="en-US" w:eastAsia="zh-CN" w:bidi="ar"/>
              </w:rPr>
              <w:t>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0108" w:type="dxa"/>
            <w:gridSpan w:val="7"/>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w:t>
            </w:r>
            <w:r>
              <w:rPr>
                <w:rFonts w:ascii="Arial" w:hAnsi="Arial" w:eastAsia="宋体" w:cs="Arial"/>
                <w:i w:val="0"/>
                <w:iCs w:val="0"/>
                <w:color w:val="000000"/>
                <w:kern w:val="0"/>
                <w:sz w:val="20"/>
                <w:szCs w:val="20"/>
                <w:u w:val="none"/>
                <w:lang w:val="en-US" w:eastAsia="zh-CN" w:bidi="ar"/>
              </w:rPr>
              <w:t>04</w:t>
            </w:r>
            <w:r>
              <w:rPr>
                <w:rStyle w:val="13"/>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0108" w:type="dxa"/>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编制单位：兴国县妇幼保健计划生育服务中心                2020年度                  金额单位：万元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008"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6100" w:type="dxa"/>
            <w:gridSpan w:val="4"/>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50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200"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3316"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项目（按功能分类）</w:t>
            </w:r>
          </w:p>
        </w:tc>
        <w:tc>
          <w:tcPr>
            <w:tcW w:w="50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2284"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8" w:hRule="atLeast"/>
        </w:trPr>
        <w:tc>
          <w:tcPr>
            <w:tcW w:w="2308" w:type="dxa"/>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500"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00"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331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500"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5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134"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    次</w:t>
            </w:r>
          </w:p>
        </w:tc>
        <w:tc>
          <w:tcPr>
            <w:tcW w:w="500" w:type="dxa"/>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    次</w:t>
            </w:r>
          </w:p>
        </w:tc>
        <w:tc>
          <w:tcPr>
            <w:tcW w:w="500" w:type="dxa"/>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15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1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1,833.79</w:t>
            </w: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108.08</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1,443.96</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1,443.96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二十一、灾害防治及应急管理支出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二十二、其他支出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200"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二十三、债务还本支出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二十四、债务付息支出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二十五、抗疫特别国债安排的支出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2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1,833.79</w:t>
            </w: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1,552.04</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1,552.04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2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1,685.44</w:t>
            </w:r>
          </w:p>
        </w:tc>
        <w:tc>
          <w:tcPr>
            <w:tcW w:w="331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1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1,967.19</w:t>
            </w:r>
          </w:p>
        </w:tc>
        <w:tc>
          <w:tcPr>
            <w:tcW w:w="113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1,967.19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2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1,685.44</w:t>
            </w:r>
          </w:p>
        </w:tc>
        <w:tc>
          <w:tcPr>
            <w:tcW w:w="3316"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15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34" w:type="dxa"/>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2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16" w:type="dxa"/>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15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 w:hRule="atLeast"/>
        </w:trPr>
        <w:tc>
          <w:tcPr>
            <w:tcW w:w="2308"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2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16" w:type="dxa"/>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15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3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 w:hRule="atLeast"/>
        </w:trPr>
        <w:tc>
          <w:tcPr>
            <w:tcW w:w="2308" w:type="dxa"/>
            <w:tcBorders>
              <w:top w:val="nil"/>
              <w:left w:val="single" w:color="000000" w:sz="4" w:space="0"/>
              <w:bottom w:val="nil"/>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00" w:type="dxa"/>
            <w:tcBorders>
              <w:top w:val="nil"/>
              <w:left w:val="nil"/>
              <w:bottom w:val="nil"/>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200" w:type="dxa"/>
            <w:tcBorders>
              <w:top w:val="nil"/>
              <w:left w:val="nil"/>
              <w:bottom w:val="nil"/>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3,519.23</w:t>
            </w:r>
          </w:p>
        </w:tc>
        <w:tc>
          <w:tcPr>
            <w:tcW w:w="3316" w:type="dxa"/>
            <w:tcBorders>
              <w:top w:val="nil"/>
              <w:left w:val="nil"/>
              <w:bottom w:val="nil"/>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00" w:type="dxa"/>
            <w:tcBorders>
              <w:top w:val="nil"/>
              <w:left w:val="nil"/>
              <w:bottom w:val="nil"/>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150" w:type="dxa"/>
            <w:tcBorders>
              <w:top w:val="nil"/>
              <w:left w:val="nil"/>
              <w:bottom w:val="nil"/>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3,519.23</w:t>
            </w:r>
          </w:p>
        </w:tc>
        <w:tc>
          <w:tcPr>
            <w:tcW w:w="1134" w:type="dxa"/>
            <w:tcBorders>
              <w:top w:val="nil"/>
              <w:left w:val="nil"/>
              <w:bottom w:val="nil"/>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3,519.23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10108" w:type="dxa"/>
            <w:gridSpan w:val="7"/>
            <w:tcBorders>
              <w:top w:val="single" w:color="000000"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注：本表反映单位本年度一般公共预算财政拨款和政府性基金预算财政拨款的总收支和年末结转结余情况。</w:t>
            </w:r>
          </w:p>
        </w:tc>
      </w:tr>
    </w:tbl>
    <w:p>
      <w:pPr>
        <w:pStyle w:val="2"/>
        <w:numPr>
          <w:ilvl w:val="0"/>
          <w:numId w:val="0"/>
        </w:numPr>
        <w:jc w:val="both"/>
        <w:rPr>
          <w:rFonts w:hint="default" w:ascii="仿宋" w:hAnsi="仿宋" w:eastAsia="仿宋" w:cs="仿宋"/>
          <w:b/>
          <w:bCs/>
          <w:lang w:val="en-US" w:eastAsia="zh-CN"/>
        </w:rPr>
      </w:pPr>
    </w:p>
    <w:tbl>
      <w:tblPr>
        <w:tblStyle w:val="6"/>
        <w:tblW w:w="1002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6"/>
        <w:gridCol w:w="436"/>
        <w:gridCol w:w="436"/>
        <w:gridCol w:w="3956"/>
        <w:gridCol w:w="1627"/>
        <w:gridCol w:w="1533"/>
        <w:gridCol w:w="16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024" w:type="dxa"/>
            <w:gridSpan w:val="7"/>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0024" w:type="dxa"/>
            <w:gridSpan w:val="7"/>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0024" w:type="dxa"/>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编制单位：兴国县妇幼保健计划生育服务中心                 2020年度                金额单位：万元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5264"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1627" w:type="dxa"/>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533" w:type="dxa"/>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600" w:type="dxa"/>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08"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支出功能分类科目编码</w:t>
            </w:r>
          </w:p>
        </w:tc>
        <w:tc>
          <w:tcPr>
            <w:tcW w:w="3956"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627"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533"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600"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7" w:hRule="atLeast"/>
        </w:trPr>
        <w:tc>
          <w:tcPr>
            <w:tcW w:w="1308"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95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627"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533"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600"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08"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95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627"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533"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600"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36" w:type="dxa"/>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436"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436"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395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62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3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36" w:type="dxa"/>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3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3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395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6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1,552.04</w:t>
            </w:r>
          </w:p>
        </w:tc>
        <w:tc>
          <w:tcPr>
            <w:tcW w:w="153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1,252.91</w:t>
            </w:r>
          </w:p>
        </w:tc>
        <w:tc>
          <w:tcPr>
            <w:tcW w:w="16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6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108.08</w:t>
            </w:r>
          </w:p>
        </w:tc>
        <w:tc>
          <w:tcPr>
            <w:tcW w:w="153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108.08</w:t>
            </w:r>
          </w:p>
        </w:tc>
        <w:tc>
          <w:tcPr>
            <w:tcW w:w="16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6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108.08</w:t>
            </w:r>
          </w:p>
        </w:tc>
        <w:tc>
          <w:tcPr>
            <w:tcW w:w="153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108.08</w:t>
            </w:r>
          </w:p>
        </w:tc>
        <w:tc>
          <w:tcPr>
            <w:tcW w:w="16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6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75.25</w:t>
            </w:r>
          </w:p>
        </w:tc>
        <w:tc>
          <w:tcPr>
            <w:tcW w:w="153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75.25</w:t>
            </w:r>
          </w:p>
        </w:tc>
        <w:tc>
          <w:tcPr>
            <w:tcW w:w="16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机关事业单位职业年金缴费支出</w:t>
            </w:r>
          </w:p>
        </w:tc>
        <w:tc>
          <w:tcPr>
            <w:tcW w:w="16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32.83</w:t>
            </w:r>
          </w:p>
        </w:tc>
        <w:tc>
          <w:tcPr>
            <w:tcW w:w="153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32.83</w:t>
            </w:r>
          </w:p>
        </w:tc>
        <w:tc>
          <w:tcPr>
            <w:tcW w:w="16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6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1,443.96</w:t>
            </w:r>
          </w:p>
        </w:tc>
        <w:tc>
          <w:tcPr>
            <w:tcW w:w="153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1,144.83</w:t>
            </w:r>
          </w:p>
        </w:tc>
        <w:tc>
          <w:tcPr>
            <w:tcW w:w="16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16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1,268.88</w:t>
            </w:r>
          </w:p>
        </w:tc>
        <w:tc>
          <w:tcPr>
            <w:tcW w:w="153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969.75</w:t>
            </w:r>
          </w:p>
        </w:tc>
        <w:tc>
          <w:tcPr>
            <w:tcW w:w="16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2100403</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妇幼保健机构</w:t>
            </w:r>
          </w:p>
        </w:tc>
        <w:tc>
          <w:tcPr>
            <w:tcW w:w="16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969.75</w:t>
            </w:r>
          </w:p>
        </w:tc>
        <w:tc>
          <w:tcPr>
            <w:tcW w:w="153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969.75</w:t>
            </w:r>
          </w:p>
        </w:tc>
        <w:tc>
          <w:tcPr>
            <w:tcW w:w="16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2100408</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基本公共卫生服务</w:t>
            </w:r>
          </w:p>
        </w:tc>
        <w:tc>
          <w:tcPr>
            <w:tcW w:w="16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257.05</w:t>
            </w:r>
          </w:p>
        </w:tc>
        <w:tc>
          <w:tcPr>
            <w:tcW w:w="153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257.05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16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42.09</w:t>
            </w:r>
          </w:p>
        </w:tc>
        <w:tc>
          <w:tcPr>
            <w:tcW w:w="153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计划生育事务</w:t>
            </w:r>
          </w:p>
        </w:tc>
        <w:tc>
          <w:tcPr>
            <w:tcW w:w="16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125.92</w:t>
            </w:r>
          </w:p>
        </w:tc>
        <w:tc>
          <w:tcPr>
            <w:tcW w:w="153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125.92</w:t>
            </w:r>
          </w:p>
        </w:tc>
        <w:tc>
          <w:tcPr>
            <w:tcW w:w="16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2100717</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16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125.92</w:t>
            </w:r>
          </w:p>
        </w:tc>
        <w:tc>
          <w:tcPr>
            <w:tcW w:w="153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125.92</w:t>
            </w:r>
          </w:p>
        </w:tc>
        <w:tc>
          <w:tcPr>
            <w:tcW w:w="16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6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49.16</w:t>
            </w:r>
          </w:p>
        </w:tc>
        <w:tc>
          <w:tcPr>
            <w:tcW w:w="153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49.16</w:t>
            </w:r>
          </w:p>
        </w:tc>
        <w:tc>
          <w:tcPr>
            <w:tcW w:w="16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2101102</w:t>
            </w:r>
          </w:p>
        </w:tc>
        <w:tc>
          <w:tcPr>
            <w:tcW w:w="395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1627"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47.11</w:t>
            </w:r>
          </w:p>
        </w:tc>
        <w:tc>
          <w:tcPr>
            <w:tcW w:w="153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47.11</w:t>
            </w:r>
          </w:p>
        </w:tc>
        <w:tc>
          <w:tcPr>
            <w:tcW w:w="16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08" w:type="dxa"/>
            <w:gridSpan w:val="3"/>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2101103</w:t>
            </w:r>
          </w:p>
        </w:tc>
        <w:tc>
          <w:tcPr>
            <w:tcW w:w="3956" w:type="dxa"/>
            <w:tcBorders>
              <w:top w:val="nil"/>
              <w:left w:val="nil"/>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w:t>
            </w:r>
          </w:p>
        </w:tc>
        <w:tc>
          <w:tcPr>
            <w:tcW w:w="1627" w:type="dxa"/>
            <w:tcBorders>
              <w:top w:val="nil"/>
              <w:left w:val="nil"/>
              <w:bottom w:val="nil"/>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1533" w:type="dxa"/>
            <w:tcBorders>
              <w:top w:val="nil"/>
              <w:left w:val="nil"/>
              <w:bottom w:val="nil"/>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1600" w:type="dxa"/>
            <w:tcBorders>
              <w:top w:val="nil"/>
              <w:left w:val="nil"/>
              <w:bottom w:val="nil"/>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trPr>
        <w:tc>
          <w:tcPr>
            <w:tcW w:w="10024" w:type="dxa"/>
            <w:gridSpan w:val="7"/>
            <w:tcBorders>
              <w:top w:val="single" w:color="000000" w:sz="4" w:space="0"/>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tbl>
      <w:tblPr>
        <w:tblStyle w:val="6"/>
        <w:tblW w:w="999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0"/>
        <w:gridCol w:w="1710"/>
        <w:gridCol w:w="928"/>
        <w:gridCol w:w="783"/>
        <w:gridCol w:w="1217"/>
        <w:gridCol w:w="900"/>
        <w:gridCol w:w="766"/>
        <w:gridCol w:w="1867"/>
        <w:gridCol w:w="9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991" w:type="dxa"/>
            <w:gridSpan w:val="9"/>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44"/>
                <w:szCs w:val="44"/>
                <w:u w:val="none"/>
                <w:lang w:val="en-US" w:eastAsia="zh-CN" w:bidi="ar"/>
              </w:rPr>
              <w:t>一般公共预算财政拨款基本支出决算表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9991" w:type="dxa"/>
            <w:gridSpan w:val="9"/>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公开06表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991" w:type="dxa"/>
            <w:gridSpan w:val="9"/>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编制单位：兴国县妇幼保健计划生育服务中心                   2020年度               金额单位：万元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508"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6483" w:type="dxa"/>
            <w:gridSpan w:val="6"/>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870"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经济分类科目编码</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928"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783"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经济分类科目编码</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90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76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经济分类科目编码</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95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301</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工资福利支出</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682.62</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302</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商品和服务支出</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570.29</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307</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债务利息及费用支出</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484.67</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40.72</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30703</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国内债务发行费用</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30704</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国外债务发行费用</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310</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资本性支出</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75.25</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32.83</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47.11</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公务员医疗补助缴款</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303</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对个人和家庭的补助</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310111</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564.89</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生活补贴</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312</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对企业补助</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31201</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资本金注入</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31203</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政府投资基金股权投资</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代缴社会保险费</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31204</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费用补贴</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17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其他对个人和家庭的补助支出</w:t>
            </w:r>
          </w:p>
        </w:tc>
        <w:tc>
          <w:tcPr>
            <w:tcW w:w="92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31205</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利息补贴</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710" w:type="dxa"/>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2"/>
                <w:szCs w:val="22"/>
                <w:u w:val="none"/>
              </w:rPr>
            </w:pPr>
          </w:p>
        </w:tc>
        <w:tc>
          <w:tcPr>
            <w:tcW w:w="92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8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121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90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31299</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其他对企业补助</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710" w:type="dxa"/>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2"/>
                <w:szCs w:val="22"/>
                <w:u w:val="none"/>
              </w:rPr>
            </w:pPr>
          </w:p>
        </w:tc>
        <w:tc>
          <w:tcPr>
            <w:tcW w:w="92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83" w:type="dxa"/>
            <w:tcBorders>
              <w:top w:val="nil"/>
              <w:left w:val="nil"/>
              <w:bottom w:val="single" w:color="000000" w:sz="4" w:space="0"/>
              <w:right w:val="single" w:color="000000" w:sz="4" w:space="0"/>
            </w:tcBorders>
            <w:shd w:val="clear" w:color="FFFFFF" w:fill="C0C0C0"/>
            <w:noWrap/>
            <w:vAlign w:val="bottom"/>
          </w:tcPr>
          <w:p>
            <w:pPr>
              <w:jc w:val="left"/>
              <w:rPr>
                <w:rFonts w:hint="eastAsia" w:ascii="宋体" w:hAnsi="宋体" w:eastAsia="宋体" w:cs="宋体"/>
                <w:i w:val="0"/>
                <w:iCs w:val="0"/>
                <w:color w:val="000000"/>
                <w:sz w:val="22"/>
                <w:szCs w:val="22"/>
                <w:u w:val="none"/>
              </w:rPr>
            </w:pPr>
          </w:p>
        </w:tc>
        <w:tc>
          <w:tcPr>
            <w:tcW w:w="1217" w:type="dxa"/>
            <w:tcBorders>
              <w:top w:val="nil"/>
              <w:left w:val="nil"/>
              <w:bottom w:val="single" w:color="000000" w:sz="4" w:space="0"/>
              <w:right w:val="single" w:color="000000" w:sz="4" w:space="0"/>
            </w:tcBorders>
            <w:shd w:val="clear" w:color="FFFFFF" w:fill="C0C0C0"/>
            <w:noWrap/>
            <w:vAlign w:val="bottom"/>
          </w:tcPr>
          <w:p>
            <w:pPr>
              <w:jc w:val="left"/>
              <w:rPr>
                <w:rFonts w:hint="eastAsia" w:ascii="宋体" w:hAnsi="宋体" w:eastAsia="宋体" w:cs="宋体"/>
                <w:i w:val="0"/>
                <w:iCs w:val="0"/>
                <w:color w:val="000000"/>
                <w:sz w:val="22"/>
                <w:szCs w:val="22"/>
                <w:u w:val="none"/>
              </w:rPr>
            </w:pPr>
          </w:p>
        </w:tc>
        <w:tc>
          <w:tcPr>
            <w:tcW w:w="9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399</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其他支出</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710" w:type="dxa"/>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2"/>
                <w:szCs w:val="22"/>
                <w:u w:val="none"/>
              </w:rPr>
            </w:pPr>
          </w:p>
        </w:tc>
        <w:tc>
          <w:tcPr>
            <w:tcW w:w="92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83" w:type="dxa"/>
            <w:tcBorders>
              <w:top w:val="nil"/>
              <w:left w:val="nil"/>
              <w:bottom w:val="single" w:color="000000" w:sz="4" w:space="0"/>
              <w:right w:val="single" w:color="000000" w:sz="4" w:space="0"/>
            </w:tcBorders>
            <w:shd w:val="clear" w:color="FFFFFF" w:fill="C0C0C0"/>
            <w:noWrap/>
            <w:vAlign w:val="bottom"/>
          </w:tcPr>
          <w:p>
            <w:pPr>
              <w:jc w:val="left"/>
              <w:rPr>
                <w:rFonts w:hint="eastAsia" w:ascii="宋体" w:hAnsi="宋体" w:eastAsia="宋体" w:cs="宋体"/>
                <w:i w:val="0"/>
                <w:iCs w:val="0"/>
                <w:color w:val="000000"/>
                <w:sz w:val="22"/>
                <w:szCs w:val="22"/>
                <w:u w:val="none"/>
              </w:rPr>
            </w:pPr>
          </w:p>
        </w:tc>
        <w:tc>
          <w:tcPr>
            <w:tcW w:w="1217" w:type="dxa"/>
            <w:tcBorders>
              <w:top w:val="nil"/>
              <w:left w:val="nil"/>
              <w:bottom w:val="single" w:color="000000" w:sz="4" w:space="0"/>
              <w:right w:val="single" w:color="000000" w:sz="4" w:space="0"/>
            </w:tcBorders>
            <w:shd w:val="clear" w:color="FFFFFF" w:fill="C0C0C0"/>
            <w:noWrap/>
            <w:vAlign w:val="bottom"/>
          </w:tcPr>
          <w:p>
            <w:pPr>
              <w:jc w:val="left"/>
              <w:rPr>
                <w:rFonts w:hint="eastAsia" w:ascii="宋体" w:hAnsi="宋体" w:eastAsia="宋体" w:cs="宋体"/>
                <w:i w:val="0"/>
                <w:iCs w:val="0"/>
                <w:color w:val="000000"/>
                <w:sz w:val="22"/>
                <w:szCs w:val="22"/>
                <w:u w:val="none"/>
              </w:rPr>
            </w:pPr>
          </w:p>
        </w:tc>
        <w:tc>
          <w:tcPr>
            <w:tcW w:w="9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39906</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赠与</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bottom"/>
          </w:tcPr>
          <w:p>
            <w:pPr>
              <w:jc w:val="left"/>
              <w:rPr>
                <w:rFonts w:hint="eastAsia" w:ascii="宋体" w:hAnsi="宋体" w:eastAsia="宋体" w:cs="宋体"/>
                <w:i w:val="0"/>
                <w:iCs w:val="0"/>
                <w:color w:val="000000"/>
                <w:sz w:val="22"/>
                <w:szCs w:val="22"/>
                <w:u w:val="none"/>
              </w:rPr>
            </w:pPr>
          </w:p>
        </w:tc>
        <w:tc>
          <w:tcPr>
            <w:tcW w:w="1710" w:type="dxa"/>
            <w:tcBorders>
              <w:top w:val="nil"/>
              <w:left w:val="nil"/>
              <w:bottom w:val="single" w:color="000000" w:sz="4" w:space="0"/>
              <w:right w:val="single" w:color="000000" w:sz="4" w:space="0"/>
            </w:tcBorders>
            <w:shd w:val="clear" w:color="FFFFFF" w:fill="C0C0C0"/>
            <w:noWrap/>
            <w:vAlign w:val="bottom"/>
          </w:tcPr>
          <w:p>
            <w:pPr>
              <w:jc w:val="left"/>
              <w:rPr>
                <w:rFonts w:hint="eastAsia" w:ascii="宋体" w:hAnsi="宋体" w:eastAsia="宋体" w:cs="宋体"/>
                <w:i w:val="0"/>
                <w:iCs w:val="0"/>
                <w:color w:val="000000"/>
                <w:sz w:val="22"/>
                <w:szCs w:val="22"/>
                <w:u w:val="none"/>
              </w:rPr>
            </w:pPr>
          </w:p>
        </w:tc>
        <w:tc>
          <w:tcPr>
            <w:tcW w:w="92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83" w:type="dxa"/>
            <w:tcBorders>
              <w:top w:val="nil"/>
              <w:left w:val="nil"/>
              <w:bottom w:val="single" w:color="000000" w:sz="4" w:space="0"/>
              <w:right w:val="single" w:color="000000" w:sz="4" w:space="0"/>
            </w:tcBorders>
            <w:shd w:val="clear" w:color="FFFFFF" w:fill="C0C0C0"/>
            <w:noWrap/>
            <w:vAlign w:val="bottom"/>
          </w:tcPr>
          <w:p>
            <w:pPr>
              <w:jc w:val="left"/>
              <w:rPr>
                <w:rFonts w:hint="eastAsia" w:ascii="宋体" w:hAnsi="宋体" w:eastAsia="宋体" w:cs="宋体"/>
                <w:i w:val="0"/>
                <w:iCs w:val="0"/>
                <w:color w:val="000000"/>
                <w:sz w:val="22"/>
                <w:szCs w:val="22"/>
                <w:u w:val="none"/>
              </w:rPr>
            </w:pPr>
          </w:p>
        </w:tc>
        <w:tc>
          <w:tcPr>
            <w:tcW w:w="1217" w:type="dxa"/>
            <w:tcBorders>
              <w:top w:val="nil"/>
              <w:left w:val="nil"/>
              <w:bottom w:val="single" w:color="000000" w:sz="4" w:space="0"/>
              <w:right w:val="single" w:color="000000" w:sz="4" w:space="0"/>
            </w:tcBorders>
            <w:shd w:val="clear" w:color="FFFFFF" w:fill="C0C0C0"/>
            <w:noWrap/>
            <w:vAlign w:val="bottom"/>
          </w:tcPr>
          <w:p>
            <w:pPr>
              <w:jc w:val="left"/>
              <w:rPr>
                <w:rFonts w:hint="eastAsia" w:ascii="宋体" w:hAnsi="宋体" w:eastAsia="宋体" w:cs="宋体"/>
                <w:i w:val="0"/>
                <w:iCs w:val="0"/>
                <w:color w:val="000000"/>
                <w:sz w:val="22"/>
                <w:szCs w:val="22"/>
                <w:u w:val="none"/>
              </w:rPr>
            </w:pPr>
          </w:p>
        </w:tc>
        <w:tc>
          <w:tcPr>
            <w:tcW w:w="9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710" w:type="dxa"/>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2"/>
                <w:szCs w:val="22"/>
                <w:u w:val="none"/>
              </w:rPr>
            </w:pPr>
          </w:p>
        </w:tc>
        <w:tc>
          <w:tcPr>
            <w:tcW w:w="92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83" w:type="dxa"/>
            <w:tcBorders>
              <w:top w:val="nil"/>
              <w:left w:val="nil"/>
              <w:bottom w:val="single" w:color="000000" w:sz="4" w:space="0"/>
              <w:right w:val="single" w:color="000000" w:sz="4" w:space="0"/>
            </w:tcBorders>
            <w:shd w:val="clear" w:color="FFFFFF" w:fill="C0C0C0"/>
            <w:noWrap/>
            <w:vAlign w:val="bottom"/>
          </w:tcPr>
          <w:p>
            <w:pPr>
              <w:jc w:val="left"/>
              <w:rPr>
                <w:rFonts w:hint="eastAsia" w:ascii="宋体" w:hAnsi="宋体" w:eastAsia="宋体" w:cs="宋体"/>
                <w:i w:val="0"/>
                <w:iCs w:val="0"/>
                <w:color w:val="000000"/>
                <w:sz w:val="22"/>
                <w:szCs w:val="22"/>
                <w:u w:val="none"/>
              </w:rPr>
            </w:pPr>
          </w:p>
        </w:tc>
        <w:tc>
          <w:tcPr>
            <w:tcW w:w="1217" w:type="dxa"/>
            <w:tcBorders>
              <w:top w:val="nil"/>
              <w:left w:val="nil"/>
              <w:bottom w:val="single" w:color="000000" w:sz="4" w:space="0"/>
              <w:right w:val="single" w:color="000000" w:sz="4" w:space="0"/>
            </w:tcBorders>
            <w:shd w:val="clear" w:color="FFFFFF" w:fill="C0C0C0"/>
            <w:noWrap/>
            <w:vAlign w:val="bottom"/>
          </w:tcPr>
          <w:p>
            <w:pPr>
              <w:jc w:val="left"/>
              <w:rPr>
                <w:rFonts w:hint="eastAsia" w:ascii="宋体" w:hAnsi="宋体" w:eastAsia="宋体" w:cs="宋体"/>
                <w:i w:val="0"/>
                <w:iCs w:val="0"/>
                <w:color w:val="000000"/>
                <w:sz w:val="22"/>
                <w:szCs w:val="22"/>
                <w:u w:val="none"/>
              </w:rPr>
            </w:pPr>
          </w:p>
        </w:tc>
        <w:tc>
          <w:tcPr>
            <w:tcW w:w="9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870"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710" w:type="dxa"/>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2"/>
                <w:szCs w:val="22"/>
                <w:u w:val="none"/>
              </w:rPr>
            </w:pPr>
          </w:p>
        </w:tc>
        <w:tc>
          <w:tcPr>
            <w:tcW w:w="92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83" w:type="dxa"/>
            <w:tcBorders>
              <w:top w:val="nil"/>
              <w:left w:val="nil"/>
              <w:bottom w:val="single" w:color="000000" w:sz="4" w:space="0"/>
              <w:right w:val="single" w:color="000000" w:sz="4" w:space="0"/>
            </w:tcBorders>
            <w:shd w:val="clear" w:color="FFFFFF" w:fill="C0C0C0"/>
            <w:noWrap/>
            <w:vAlign w:val="bottom"/>
          </w:tcPr>
          <w:p>
            <w:pPr>
              <w:jc w:val="left"/>
              <w:rPr>
                <w:rFonts w:hint="eastAsia" w:ascii="宋体" w:hAnsi="宋体" w:eastAsia="宋体" w:cs="宋体"/>
                <w:i w:val="0"/>
                <w:iCs w:val="0"/>
                <w:color w:val="000000"/>
                <w:sz w:val="22"/>
                <w:szCs w:val="22"/>
                <w:u w:val="none"/>
              </w:rPr>
            </w:pPr>
          </w:p>
        </w:tc>
        <w:tc>
          <w:tcPr>
            <w:tcW w:w="1217" w:type="dxa"/>
            <w:tcBorders>
              <w:top w:val="nil"/>
              <w:left w:val="nil"/>
              <w:bottom w:val="single" w:color="000000" w:sz="4" w:space="0"/>
              <w:right w:val="single" w:color="000000" w:sz="4" w:space="0"/>
            </w:tcBorders>
            <w:shd w:val="clear" w:color="FFFFFF" w:fill="C0C0C0"/>
            <w:noWrap/>
            <w:vAlign w:val="bottom"/>
          </w:tcPr>
          <w:p>
            <w:pPr>
              <w:jc w:val="left"/>
              <w:rPr>
                <w:rFonts w:hint="eastAsia" w:ascii="宋体" w:hAnsi="宋体" w:eastAsia="宋体" w:cs="宋体"/>
                <w:i w:val="0"/>
                <w:iCs w:val="0"/>
                <w:color w:val="000000"/>
                <w:sz w:val="22"/>
                <w:szCs w:val="22"/>
                <w:u w:val="none"/>
              </w:rPr>
            </w:pPr>
          </w:p>
        </w:tc>
        <w:tc>
          <w:tcPr>
            <w:tcW w:w="9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6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1867"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95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2580" w:type="dxa"/>
            <w:gridSpan w:val="2"/>
            <w:tcBorders>
              <w:top w:val="nil"/>
              <w:left w:val="single" w:color="000000" w:sz="4" w:space="0"/>
              <w:bottom w:val="nil"/>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928" w:type="dxa"/>
            <w:tcBorders>
              <w:top w:val="nil"/>
              <w:left w:val="nil"/>
              <w:bottom w:val="nil"/>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682.62</w:t>
            </w:r>
          </w:p>
        </w:tc>
        <w:tc>
          <w:tcPr>
            <w:tcW w:w="5533" w:type="dxa"/>
            <w:gridSpan w:val="5"/>
            <w:tcBorders>
              <w:top w:val="nil"/>
              <w:left w:val="nil"/>
              <w:bottom w:val="nil"/>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公用支出合计</w:t>
            </w:r>
          </w:p>
        </w:tc>
        <w:tc>
          <w:tcPr>
            <w:tcW w:w="950" w:type="dxa"/>
            <w:tcBorders>
              <w:top w:val="nil"/>
              <w:left w:val="nil"/>
              <w:bottom w:val="nil"/>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570.29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trPr>
        <w:tc>
          <w:tcPr>
            <w:tcW w:w="9991" w:type="dxa"/>
            <w:gridSpan w:val="9"/>
            <w:tcBorders>
              <w:top w:val="single" w:color="000000" w:sz="4" w:space="0"/>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bl>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97"/>
        <w:gridCol w:w="1016"/>
        <w:gridCol w:w="2042"/>
        <w:gridCol w:w="13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5000" w:type="pct"/>
            <w:gridSpan w:val="4"/>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一般公共预算财政拨款“三公”经费支出决算表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4"/>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编制单位：兴国县妇幼保健计划生育服务中心             2020年度             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2837" w:type="pct"/>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497" w:type="pc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999" w:type="pc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年初预算数</w:t>
            </w:r>
          </w:p>
        </w:tc>
        <w:tc>
          <w:tcPr>
            <w:tcW w:w="665" w:type="pc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497" w:type="pct"/>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99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665"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一、“三公”经费支出</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99"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66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1.因公出国（境）费</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99"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66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2.公务用车购置及运行维护费</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99"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66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（1）公务用车购置费</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99"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66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（2）公务用车运行维护费</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999"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66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3.公务接待费</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999"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66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（1）国内接待费</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9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66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其中：外事接待费</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66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（2）国（境）外接待费</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9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66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二、相关统计数</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9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6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1.因公出国（境）团组数（个）</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9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66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2.因公出国（境）人次数（人）</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9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66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3.公务用车购置数（辆）</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9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66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4.公务用车保有量（辆）</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9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66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5.国内公务接待批次（个）</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66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其中：外事接待批次（个）</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9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66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6.国内公务接待人次（人）</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9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66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837"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其中：外事接待人次（人）</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9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66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837" w:type="pct"/>
            <w:tcBorders>
              <w:top w:val="nil"/>
              <w:left w:val="single" w:color="000000" w:sz="4" w:space="0"/>
              <w:bottom w:val="nil"/>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7.国（境）外公务接待批次（个）</w:t>
            </w:r>
          </w:p>
        </w:tc>
        <w:tc>
          <w:tcPr>
            <w:tcW w:w="497" w:type="pct"/>
            <w:tcBorders>
              <w:top w:val="nil"/>
              <w:left w:val="nil"/>
              <w:bottom w:val="nil"/>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999"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665" w:type="pct"/>
            <w:tcBorders>
              <w:top w:val="nil"/>
              <w:left w:val="nil"/>
              <w:bottom w:val="nil"/>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837" w:type="pct"/>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8.国（境）外公务接待人次（人）</w:t>
            </w:r>
          </w:p>
        </w:tc>
        <w:tc>
          <w:tcPr>
            <w:tcW w:w="497" w:type="pct"/>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4"/>
            <w:vMerge w:val="restart"/>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注：本表反映部门本年度“三公”经费支出预决算情况。其中，预算数为“三公”经费年初预算数，决算数是包括当年一般公共预算财政拨款和以前年度结转资金安排的实际支出。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3" w:hRule="atLeast"/>
        </w:trPr>
        <w:tc>
          <w:tcPr>
            <w:tcW w:w="5000" w:type="pct"/>
            <w:gridSpan w:val="4"/>
            <w:vMerge w:val="continue"/>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sz w:val="22"/>
                <w:szCs w:val="22"/>
                <w:u w:val="none"/>
              </w:rPr>
            </w:pPr>
          </w:p>
        </w:tc>
      </w:tr>
    </w:tbl>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tbl>
      <w:tblPr>
        <w:tblStyle w:val="6"/>
        <w:tblW w:w="97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6"/>
        <w:gridCol w:w="436"/>
        <w:gridCol w:w="436"/>
        <w:gridCol w:w="1096"/>
        <w:gridCol w:w="1650"/>
        <w:gridCol w:w="1096"/>
        <w:gridCol w:w="656"/>
        <w:gridCol w:w="1096"/>
        <w:gridCol w:w="1096"/>
        <w:gridCol w:w="18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9720" w:type="dxa"/>
            <w:gridSpan w:val="10"/>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gridSpan w:val="10"/>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gridSpan w:val="10"/>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编制单位：兴国县妇幼保健计划生育服务中心             2020年度            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7"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165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0" w:type="auto"/>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0" w:type="auto"/>
            <w:gridSpan w:val="3"/>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1845"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65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84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0"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65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84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50"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65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84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trPr>
        <w:tc>
          <w:tcPr>
            <w:tcW w:w="0" w:type="auto"/>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8" w:hRule="atLeast"/>
        </w:trPr>
        <w:tc>
          <w:tcPr>
            <w:tcW w:w="0" w:type="auto"/>
            <w:gridSpan w:val="3"/>
            <w:tcBorders>
              <w:top w:val="nil"/>
              <w:left w:val="single" w:color="000000" w:sz="4" w:space="0"/>
              <w:bottom w:val="nil"/>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nil"/>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nil"/>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nil"/>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nil"/>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nil"/>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nil"/>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nil"/>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trPr>
        <w:tc>
          <w:tcPr>
            <w:tcW w:w="9720" w:type="dxa"/>
            <w:gridSpan w:val="10"/>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bl>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tbl>
      <w:tblPr>
        <w:tblStyle w:val="6"/>
        <w:tblW w:w="96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7"/>
        <w:gridCol w:w="727"/>
        <w:gridCol w:w="727"/>
        <w:gridCol w:w="1829"/>
        <w:gridCol w:w="1094"/>
        <w:gridCol w:w="1829"/>
        <w:gridCol w:w="26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630" w:type="dxa"/>
            <w:gridSpan w:val="7"/>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32"/>
                <w:szCs w:val="32"/>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3" w:hRule="atLeast"/>
        </w:trPr>
        <w:tc>
          <w:tcPr>
            <w:tcW w:w="0" w:type="auto"/>
            <w:gridSpan w:val="7"/>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0" w:type="auto"/>
            <w:gridSpan w:val="6"/>
            <w:tcBorders>
              <w:top w:val="nil"/>
              <w:left w:val="nil"/>
              <w:bottom w:val="single" w:color="000000" w:sz="4" w:space="0"/>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编制单位：兴国县妇幼保健计划生育服务中心         2020年度</w:t>
            </w:r>
          </w:p>
        </w:tc>
        <w:tc>
          <w:tcPr>
            <w:tcW w:w="0" w:type="auto"/>
            <w:tcBorders>
              <w:top w:val="nil"/>
              <w:left w:val="nil"/>
              <w:bottom w:val="single" w:color="000000" w:sz="4" w:space="0"/>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7"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vMerge w:val="restart"/>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0" w:type="auto"/>
            <w:vMerge w:val="restart"/>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530" w:type="dxa"/>
            <w:gridSpan w:val="3"/>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支出功能分类科目编码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530" w:type="dxa"/>
            <w:gridSpan w:val="3"/>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0" w:type="auto"/>
            <w:vMerge w:val="restart"/>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0" w:type="auto"/>
            <w:vMerge w:val="restart"/>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说明：当此表数据为空时，即本部门无国有资本经营预算财政拨款支出。</w:t>
            </w:r>
          </w:p>
        </w:tc>
      </w:tr>
    </w:tbl>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tbl>
      <w:tblPr>
        <w:tblStyle w:val="6"/>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39"/>
        <w:gridCol w:w="1016"/>
        <w:gridCol w:w="13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5000" w:type="pct"/>
            <w:gridSpan w:val="3"/>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国有资产占用情况表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3"/>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公开10表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3"/>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编制单位：兴国县妇幼保健计划生育服务中心           2020年度             单位：台、辆、套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7" w:hRule="atLeast"/>
        </w:trPr>
        <w:tc>
          <w:tcPr>
            <w:tcW w:w="3836" w:type="pct"/>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497" w:type="pc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665" w:type="pc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3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一、车辆数合计(台、辆)</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6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3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1.副部（省）级及以上领导用车</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3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2.主要领导干部用车</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6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3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3.机要通信用车</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6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3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4.应急保障用车</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83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5.执法执勤用车</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3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6.特种专业技术用车</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3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7.离退休干部用车</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836"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8.其他用车</w:t>
            </w:r>
          </w:p>
        </w:tc>
        <w:tc>
          <w:tcPr>
            <w:tcW w:w="49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66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36" w:type="pct"/>
            <w:tcBorders>
              <w:top w:val="nil"/>
              <w:left w:val="single" w:color="000000" w:sz="4" w:space="0"/>
              <w:bottom w:val="nil"/>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二、单价50万元（含）以上通用设备（台，套）</w:t>
            </w:r>
          </w:p>
        </w:tc>
        <w:tc>
          <w:tcPr>
            <w:tcW w:w="497" w:type="pct"/>
            <w:tcBorders>
              <w:top w:val="nil"/>
              <w:left w:val="nil"/>
              <w:bottom w:val="nil"/>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65" w:type="pct"/>
            <w:tcBorders>
              <w:top w:val="nil"/>
              <w:left w:val="nil"/>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836" w:type="pct"/>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三、单价100万元（含）以上专用设备（台，套）</w:t>
            </w:r>
          </w:p>
        </w:tc>
        <w:tc>
          <w:tcPr>
            <w:tcW w:w="497" w:type="pct"/>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6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5000" w:type="pct"/>
            <w:gridSpan w:val="3"/>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注：本表反映截止2020年12月31日，单位占用的国有资产情况。</w:t>
            </w:r>
          </w:p>
        </w:tc>
      </w:tr>
    </w:tbl>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bookmarkStart w:id="0" w:name="_GoBack"/>
      <w:bookmarkEnd w:id="0"/>
    </w:p>
    <w:p>
      <w:pPr>
        <w:widowControl/>
        <w:numPr>
          <w:ilvl w:val="0"/>
          <w:numId w:val="0"/>
        </w:numPr>
        <w:spacing w:line="600" w:lineRule="exact"/>
        <w:ind w:leftChars="0"/>
        <w:jc w:val="both"/>
        <w:rPr>
          <w:rFonts w:hint="eastAsia" w:ascii="宋体" w:hAnsi="宋体"/>
          <w:b/>
          <w:sz w:val="32"/>
          <w:szCs w:val="32"/>
          <w:lang w:val="en-US" w:eastAsia="zh-CN"/>
        </w:rPr>
      </w:pPr>
    </w:p>
    <w:p>
      <w:pPr>
        <w:widowControl/>
        <w:numPr>
          <w:ilvl w:val="0"/>
          <w:numId w:val="0"/>
        </w:numPr>
        <w:spacing w:line="600" w:lineRule="exact"/>
        <w:ind w:leftChars="0"/>
        <w:jc w:val="center"/>
        <w:rPr>
          <w:rFonts w:hint="eastAsia"/>
          <w:sz w:val="32"/>
          <w:szCs w:val="32"/>
        </w:rPr>
      </w:pPr>
      <w:r>
        <w:rPr>
          <w:rFonts w:hint="eastAsia" w:ascii="宋体" w:hAnsi="宋体"/>
          <w:b/>
          <w:sz w:val="32"/>
          <w:szCs w:val="32"/>
          <w:lang w:val="en-US" w:eastAsia="zh-CN"/>
        </w:rPr>
        <w:t xml:space="preserve">第四部分  </w:t>
      </w:r>
      <w:r>
        <w:rPr>
          <w:rFonts w:hint="eastAsia" w:ascii="宋体" w:hAnsi="宋体"/>
          <w:b/>
          <w:sz w:val="32"/>
          <w:szCs w:val="32"/>
        </w:rPr>
        <w:t>名词解释</w:t>
      </w:r>
    </w:p>
    <w:p>
      <w:pPr>
        <w:widowControl/>
        <w:spacing w:line="580" w:lineRule="exact"/>
        <w:ind w:firstLine="585"/>
        <w:jc w:val="left"/>
        <w:rPr>
          <w:rFonts w:hint="eastAsia" w:ascii="仿宋" w:hAnsi="仿宋" w:eastAsia="仿宋" w:cs="仿宋"/>
          <w:kern w:val="0"/>
          <w:sz w:val="32"/>
          <w:szCs w:val="32"/>
        </w:rPr>
      </w:pPr>
      <w:r>
        <w:rPr>
          <w:rFonts w:hint="eastAsia" w:ascii="仿宋" w:hAnsi="仿宋" w:eastAsia="仿宋" w:cs="仿宋"/>
          <w:kern w:val="0"/>
          <w:sz w:val="32"/>
          <w:szCs w:val="32"/>
        </w:rPr>
        <w:t>名词解释应以财务会计制度、政府收支分类科目以及部门预算管理等规定为基本说明，可在此基础上结合部门实际情况适当细化。“三公”经费支出和机关运行经费支出口径必需予以说明。</w:t>
      </w:r>
    </w:p>
    <w:p>
      <w:pPr>
        <w:ind w:firstLine="604" w:firstLineChars="189"/>
        <w:rPr>
          <w:rFonts w:hint="eastAsia" w:ascii="仿宋" w:hAnsi="仿宋" w:eastAsia="仿宋" w:cs="仿宋"/>
          <w:sz w:val="32"/>
          <w:szCs w:val="32"/>
        </w:rPr>
      </w:pPr>
      <w:r>
        <w:rPr>
          <w:rFonts w:hint="eastAsia" w:ascii="仿宋" w:hAnsi="仿宋" w:eastAsia="仿宋" w:cs="仿宋"/>
          <w:sz w:val="32"/>
          <w:szCs w:val="32"/>
          <w:lang w:val="en-US" w:eastAsia="zh-CN"/>
        </w:rPr>
        <w:t>一、</w:t>
      </w:r>
      <w:r>
        <w:rPr>
          <w:rFonts w:hint="eastAsia" w:ascii="仿宋" w:hAnsi="仿宋" w:eastAsia="仿宋" w:cs="仿宋"/>
          <w:sz w:val="32"/>
          <w:szCs w:val="32"/>
        </w:rPr>
        <w:t>财政拨款：指县本级财政当年拨付的资金。</w:t>
      </w:r>
    </w:p>
    <w:p>
      <w:pPr>
        <w:ind w:firstLine="604" w:firstLineChars="189"/>
        <w:rPr>
          <w:rFonts w:hint="eastAsia" w:ascii="仿宋" w:hAnsi="仿宋" w:eastAsia="仿宋" w:cs="仿宋"/>
          <w:sz w:val="32"/>
          <w:szCs w:val="32"/>
        </w:rPr>
      </w:pPr>
      <w:r>
        <w:rPr>
          <w:rFonts w:hint="eastAsia" w:ascii="仿宋" w:hAnsi="仿宋" w:eastAsia="仿宋" w:cs="仿宋"/>
          <w:sz w:val="32"/>
          <w:szCs w:val="32"/>
          <w:lang w:val="en-US" w:eastAsia="zh-CN"/>
        </w:rPr>
        <w:t>二、</w:t>
      </w:r>
      <w:r>
        <w:rPr>
          <w:rFonts w:hint="eastAsia" w:ascii="仿宋" w:hAnsi="仿宋" w:eastAsia="仿宋" w:cs="仿宋"/>
          <w:sz w:val="32"/>
          <w:szCs w:val="32"/>
        </w:rPr>
        <w:t>事业收入：指事业单位开展专业业务活动及辅助活动</w:t>
      </w:r>
    </w:p>
    <w:p>
      <w:pPr>
        <w:rPr>
          <w:rFonts w:hint="eastAsia" w:ascii="仿宋" w:hAnsi="仿宋" w:eastAsia="仿宋" w:cs="仿宋"/>
          <w:sz w:val="32"/>
          <w:szCs w:val="32"/>
        </w:rPr>
      </w:pPr>
      <w:r>
        <w:rPr>
          <w:rFonts w:hint="eastAsia" w:ascii="仿宋" w:hAnsi="仿宋" w:eastAsia="仿宋" w:cs="仿宋"/>
          <w:sz w:val="32"/>
          <w:szCs w:val="32"/>
        </w:rPr>
        <w:t>取得的收入。</w:t>
      </w:r>
    </w:p>
    <w:p>
      <w:pPr>
        <w:ind w:firstLine="604" w:firstLineChars="189"/>
        <w:rPr>
          <w:rFonts w:hint="eastAsia" w:ascii="仿宋" w:hAnsi="仿宋" w:eastAsia="仿宋" w:cs="仿宋"/>
          <w:sz w:val="32"/>
          <w:szCs w:val="32"/>
        </w:rPr>
      </w:pPr>
      <w:r>
        <w:rPr>
          <w:rFonts w:hint="eastAsia" w:ascii="仿宋" w:hAnsi="仿宋" w:eastAsia="仿宋" w:cs="仿宋"/>
          <w:sz w:val="32"/>
          <w:szCs w:val="32"/>
          <w:lang w:val="en-US" w:eastAsia="zh-CN"/>
        </w:rPr>
        <w:t>三、</w:t>
      </w:r>
      <w:r>
        <w:rPr>
          <w:rFonts w:hint="eastAsia" w:ascii="仿宋" w:hAnsi="仿宋" w:eastAsia="仿宋" w:cs="仿宋"/>
          <w:sz w:val="32"/>
          <w:szCs w:val="32"/>
        </w:rPr>
        <w:t>事业单位经营收入：指事业单位在专业业务活动及辅</w:t>
      </w:r>
    </w:p>
    <w:p>
      <w:pPr>
        <w:rPr>
          <w:rFonts w:hint="eastAsia" w:ascii="仿宋" w:hAnsi="仿宋" w:eastAsia="仿宋" w:cs="仿宋"/>
          <w:sz w:val="32"/>
          <w:szCs w:val="32"/>
        </w:rPr>
      </w:pPr>
      <w:r>
        <w:rPr>
          <w:rFonts w:hint="eastAsia" w:ascii="仿宋" w:hAnsi="仿宋" w:eastAsia="仿宋" w:cs="仿宋"/>
          <w:sz w:val="32"/>
          <w:szCs w:val="32"/>
        </w:rPr>
        <w:t>助活动之外开展非独立核算经营活动取得的收入。</w:t>
      </w:r>
    </w:p>
    <w:p>
      <w:pPr>
        <w:ind w:firstLine="604" w:firstLineChars="189"/>
        <w:rPr>
          <w:rFonts w:hint="eastAsia" w:ascii="仿宋" w:hAnsi="仿宋" w:eastAsia="仿宋" w:cs="仿宋"/>
          <w:sz w:val="32"/>
          <w:szCs w:val="32"/>
        </w:rPr>
      </w:pPr>
      <w:r>
        <w:rPr>
          <w:rFonts w:hint="eastAsia" w:ascii="仿宋" w:hAnsi="仿宋" w:eastAsia="仿宋" w:cs="仿宋"/>
          <w:sz w:val="32"/>
          <w:szCs w:val="32"/>
          <w:lang w:val="en-US" w:eastAsia="zh-CN"/>
        </w:rPr>
        <w:t>四、</w:t>
      </w:r>
      <w:r>
        <w:rPr>
          <w:rFonts w:hint="eastAsia" w:ascii="仿宋" w:hAnsi="仿宋" w:eastAsia="仿宋" w:cs="仿宋"/>
          <w:sz w:val="32"/>
          <w:szCs w:val="32"/>
        </w:rPr>
        <w:t>其他收入：指除财政拨款、事业收入、事业单位经营</w:t>
      </w:r>
    </w:p>
    <w:p>
      <w:pPr>
        <w:rPr>
          <w:rFonts w:hint="eastAsia" w:ascii="仿宋" w:hAnsi="仿宋" w:eastAsia="仿宋" w:cs="仿宋"/>
          <w:sz w:val="32"/>
          <w:szCs w:val="32"/>
        </w:rPr>
      </w:pPr>
      <w:r>
        <w:rPr>
          <w:rFonts w:hint="eastAsia" w:ascii="仿宋" w:hAnsi="仿宋" w:eastAsia="仿宋" w:cs="仿宋"/>
          <w:sz w:val="32"/>
          <w:szCs w:val="32"/>
        </w:rPr>
        <w:t>收入等以外的各项收入。</w:t>
      </w:r>
    </w:p>
    <w:p>
      <w:pPr>
        <w:ind w:firstLine="604" w:firstLineChars="189"/>
        <w:rPr>
          <w:rFonts w:hint="eastAsia" w:ascii="仿宋" w:hAnsi="仿宋" w:eastAsia="仿宋" w:cs="仿宋"/>
          <w:sz w:val="32"/>
          <w:szCs w:val="32"/>
        </w:rPr>
      </w:pPr>
      <w:r>
        <w:rPr>
          <w:rFonts w:hint="eastAsia" w:ascii="仿宋" w:hAnsi="仿宋" w:eastAsia="仿宋" w:cs="仿宋"/>
          <w:sz w:val="32"/>
          <w:szCs w:val="32"/>
          <w:lang w:val="en-US" w:eastAsia="zh-CN"/>
        </w:rPr>
        <w:t>五、</w:t>
      </w:r>
      <w:r>
        <w:rPr>
          <w:rFonts w:hint="eastAsia" w:ascii="仿宋" w:hAnsi="仿宋" w:eastAsia="仿宋" w:cs="仿宋"/>
          <w:sz w:val="32"/>
          <w:szCs w:val="32"/>
        </w:rPr>
        <w:t>附属单位上缴收入：反映事业单位附属的独立核算单</w:t>
      </w:r>
    </w:p>
    <w:p>
      <w:pPr>
        <w:rPr>
          <w:rFonts w:hint="eastAsia" w:ascii="仿宋" w:hAnsi="仿宋" w:eastAsia="仿宋" w:cs="仿宋"/>
          <w:sz w:val="32"/>
          <w:szCs w:val="32"/>
        </w:rPr>
      </w:pPr>
      <w:r>
        <w:rPr>
          <w:rFonts w:hint="eastAsia" w:ascii="仿宋" w:hAnsi="仿宋" w:eastAsia="仿宋" w:cs="仿宋"/>
          <w:sz w:val="32"/>
          <w:szCs w:val="32"/>
        </w:rPr>
        <w:t>位按规定标准或比例缴纳的各项收入。包括附属的事业单位上缴</w:t>
      </w:r>
    </w:p>
    <w:p>
      <w:pPr>
        <w:rPr>
          <w:rFonts w:hint="eastAsia" w:ascii="仿宋" w:hAnsi="仿宋" w:eastAsia="仿宋" w:cs="仿宋"/>
          <w:sz w:val="32"/>
          <w:szCs w:val="32"/>
        </w:rPr>
      </w:pPr>
      <w:r>
        <w:rPr>
          <w:rFonts w:hint="eastAsia" w:ascii="仿宋" w:hAnsi="仿宋" w:eastAsia="仿宋" w:cs="仿宋"/>
          <w:sz w:val="32"/>
          <w:szCs w:val="32"/>
        </w:rPr>
        <w:t>的收入和附属的企业上缴的利润等。</w:t>
      </w:r>
    </w:p>
    <w:p>
      <w:pPr>
        <w:ind w:firstLine="604" w:firstLineChars="189"/>
        <w:rPr>
          <w:rFonts w:hint="eastAsia" w:ascii="仿宋" w:hAnsi="仿宋" w:eastAsia="仿宋" w:cs="仿宋"/>
          <w:sz w:val="32"/>
          <w:szCs w:val="32"/>
        </w:rPr>
      </w:pPr>
      <w:r>
        <w:rPr>
          <w:rFonts w:hint="eastAsia" w:ascii="仿宋" w:hAnsi="仿宋" w:eastAsia="仿宋" w:cs="仿宋"/>
          <w:sz w:val="32"/>
          <w:szCs w:val="32"/>
          <w:lang w:val="en-US" w:eastAsia="zh-CN"/>
        </w:rPr>
        <w:t>六、</w:t>
      </w:r>
      <w:r>
        <w:rPr>
          <w:rFonts w:hint="eastAsia" w:ascii="仿宋" w:hAnsi="仿宋" w:eastAsia="仿宋" w:cs="仿宋"/>
          <w:sz w:val="32"/>
          <w:szCs w:val="32"/>
        </w:rPr>
        <w:t>上级补助收入：反映事业单位从主管部门和上级单位</w:t>
      </w:r>
    </w:p>
    <w:p>
      <w:pPr>
        <w:rPr>
          <w:rFonts w:hint="eastAsia" w:ascii="仿宋" w:hAnsi="仿宋" w:eastAsia="仿宋" w:cs="仿宋"/>
          <w:sz w:val="32"/>
          <w:szCs w:val="32"/>
        </w:rPr>
      </w:pPr>
      <w:r>
        <w:rPr>
          <w:rFonts w:hint="eastAsia" w:ascii="仿宋" w:hAnsi="仿宋" w:eastAsia="仿宋" w:cs="仿宋"/>
          <w:sz w:val="32"/>
          <w:szCs w:val="32"/>
        </w:rPr>
        <w:t>取得的非财政补助收入。</w:t>
      </w:r>
    </w:p>
    <w:p>
      <w:pPr>
        <w:ind w:firstLine="604" w:firstLineChars="189"/>
        <w:rPr>
          <w:rFonts w:hint="eastAsia" w:ascii="仿宋" w:hAnsi="仿宋" w:eastAsia="仿宋" w:cs="仿宋"/>
          <w:sz w:val="32"/>
          <w:szCs w:val="32"/>
        </w:rPr>
      </w:pPr>
      <w:r>
        <w:rPr>
          <w:rFonts w:hint="eastAsia" w:ascii="仿宋" w:hAnsi="仿宋" w:eastAsia="仿宋" w:cs="仿宋"/>
          <w:sz w:val="32"/>
          <w:szCs w:val="32"/>
          <w:lang w:val="en-US" w:eastAsia="zh-CN"/>
        </w:rPr>
        <w:t>七、</w:t>
      </w:r>
      <w:r>
        <w:rPr>
          <w:rFonts w:hint="eastAsia" w:ascii="仿宋" w:hAnsi="仿宋" w:eastAsia="仿宋" w:cs="仿宋"/>
          <w:sz w:val="32"/>
          <w:szCs w:val="32"/>
        </w:rPr>
        <w:t>使用非财政拨款结余：填列历年滚存的非限定用途的</w:t>
      </w:r>
    </w:p>
    <w:p>
      <w:pPr>
        <w:jc w:val="left"/>
        <w:rPr>
          <w:rFonts w:hint="eastAsia" w:ascii="仿宋" w:hAnsi="仿宋" w:eastAsia="仿宋" w:cs="仿宋"/>
          <w:sz w:val="32"/>
          <w:szCs w:val="32"/>
        </w:rPr>
      </w:pPr>
      <w:r>
        <w:rPr>
          <w:rFonts w:hint="eastAsia" w:ascii="仿宋" w:hAnsi="仿宋" w:eastAsia="仿宋" w:cs="仿宋"/>
          <w:sz w:val="32"/>
          <w:szCs w:val="32"/>
        </w:rPr>
        <w:t>非统计财政拨款结余弥补</w:t>
      </w:r>
      <w:r>
        <w:rPr>
          <w:rFonts w:hint="eastAsia" w:ascii="仿宋" w:hAnsi="仿宋" w:eastAsia="仿宋" w:cs="仿宋"/>
          <w:sz w:val="32"/>
          <w:szCs w:val="32"/>
          <w:lang w:val="en-US" w:eastAsia="zh-CN"/>
        </w:rPr>
        <w:t>2020</w:t>
      </w:r>
      <w:r>
        <w:rPr>
          <w:rFonts w:hint="eastAsia" w:ascii="仿宋" w:hAnsi="仿宋" w:eastAsia="仿宋" w:cs="仿宋"/>
          <w:sz w:val="32"/>
          <w:szCs w:val="32"/>
        </w:rPr>
        <w:t>年收支差额的数额。</w:t>
      </w:r>
    </w:p>
    <w:p>
      <w:pPr>
        <w:ind w:firstLine="604" w:firstLineChars="189"/>
        <w:jc w:val="left"/>
        <w:rPr>
          <w:rFonts w:hint="eastAsia" w:ascii="仿宋" w:hAnsi="仿宋" w:eastAsia="仿宋" w:cs="仿宋"/>
          <w:sz w:val="32"/>
          <w:szCs w:val="32"/>
        </w:rPr>
      </w:pPr>
      <w:r>
        <w:rPr>
          <w:rFonts w:hint="eastAsia" w:ascii="仿宋" w:hAnsi="仿宋" w:eastAsia="仿宋" w:cs="仿宋"/>
          <w:sz w:val="32"/>
          <w:szCs w:val="32"/>
          <w:lang w:val="en-US" w:eastAsia="zh-CN"/>
        </w:rPr>
        <w:t>八、</w:t>
      </w:r>
      <w:r>
        <w:rPr>
          <w:rFonts w:hint="eastAsia" w:ascii="仿宋" w:hAnsi="仿宋" w:eastAsia="仿宋" w:cs="仿宋"/>
          <w:sz w:val="32"/>
          <w:szCs w:val="32"/>
        </w:rPr>
        <w:t>上年结转和结余：填列</w:t>
      </w:r>
      <w:r>
        <w:rPr>
          <w:rFonts w:hint="eastAsia" w:ascii="仿宋" w:hAnsi="仿宋" w:eastAsia="仿宋" w:cs="仿宋"/>
          <w:sz w:val="32"/>
          <w:szCs w:val="32"/>
          <w:lang w:val="en-US" w:eastAsia="zh-CN"/>
        </w:rPr>
        <w:t>2020</w:t>
      </w:r>
      <w:r>
        <w:rPr>
          <w:rFonts w:hint="eastAsia" w:ascii="仿宋" w:hAnsi="仿宋" w:eastAsia="仿宋" w:cs="仿宋"/>
          <w:sz w:val="32"/>
          <w:szCs w:val="32"/>
        </w:rPr>
        <w:t>年全部结转和结余的资金数，包括当年结转结余资金和历年滚存结转结余资金。</w:t>
      </w:r>
    </w:p>
    <w:p>
      <w:pPr>
        <w:widowControl/>
        <w:numPr>
          <w:ilvl w:val="0"/>
          <w:numId w:val="0"/>
        </w:numPr>
        <w:spacing w:line="580" w:lineRule="exact"/>
        <w:ind w:leftChars="0" w:firstLine="640" w:firstLineChars="200"/>
        <w:jc w:val="left"/>
        <w:rPr>
          <w:rFonts w:hint="eastAsia" w:ascii="仿宋" w:hAnsi="仿宋" w:eastAsia="仿宋"/>
          <w:kern w:val="0"/>
          <w:sz w:val="32"/>
          <w:szCs w:val="32"/>
        </w:rPr>
      </w:pPr>
      <w:r>
        <w:rPr>
          <w:rFonts w:hint="eastAsia" w:ascii="仿宋" w:hAnsi="仿宋" w:eastAsia="仿宋"/>
          <w:kern w:val="0"/>
          <w:sz w:val="32"/>
          <w:szCs w:val="32"/>
          <w:lang w:val="en-US" w:eastAsia="zh-CN"/>
        </w:rPr>
        <w:t>九、</w:t>
      </w:r>
      <w:r>
        <w:rPr>
          <w:rFonts w:hint="eastAsia" w:ascii="仿宋" w:hAnsi="仿宋" w:eastAsia="仿宋"/>
          <w:kern w:val="0"/>
          <w:sz w:val="32"/>
          <w:szCs w:val="32"/>
        </w:rPr>
        <w:t>三公经费支出包含因公出国费、公务用车购置及运行费用、公务接待费，公开决算中的三公经费开支仅指财政拨款支出数。</w:t>
      </w:r>
    </w:p>
    <w:p>
      <w:pPr>
        <w:widowControl/>
        <w:numPr>
          <w:ilvl w:val="0"/>
          <w:numId w:val="0"/>
        </w:numPr>
        <w:spacing w:line="580" w:lineRule="exact"/>
        <w:ind w:leftChars="0" w:firstLine="640" w:firstLineChars="200"/>
        <w:jc w:val="left"/>
        <w:rPr>
          <w:rFonts w:hint="eastAsia" w:ascii="仿宋" w:hAnsi="仿宋" w:eastAsia="仿宋" w:cs="仿宋"/>
          <w:b/>
          <w:bCs/>
          <w:sz w:val="32"/>
          <w:szCs w:val="32"/>
          <w:lang w:val="en-US" w:eastAsia="zh-CN"/>
        </w:rPr>
      </w:pPr>
      <w:r>
        <w:rPr>
          <w:rFonts w:hint="eastAsia" w:ascii="仿宋" w:hAnsi="仿宋" w:eastAsia="仿宋"/>
          <w:kern w:val="0"/>
          <w:sz w:val="32"/>
          <w:szCs w:val="32"/>
          <w:lang w:val="en-US" w:eastAsia="zh-CN"/>
        </w:rPr>
        <w:t>十、</w:t>
      </w:r>
      <w:r>
        <w:rPr>
          <w:rFonts w:hint="eastAsia" w:ascii="仿宋" w:hAnsi="仿宋" w:eastAsia="仿宋"/>
          <w:kern w:val="0"/>
          <w:sz w:val="32"/>
          <w:szCs w:val="32"/>
        </w:rPr>
        <w:t>机关运行经费支出包括办公经费、水费、电费、差旅费等日常</w:t>
      </w:r>
      <w:r>
        <w:rPr>
          <w:rFonts w:hint="eastAsia" w:ascii="仿宋" w:hAnsi="仿宋" w:eastAsia="仿宋"/>
          <w:kern w:val="0"/>
          <w:sz w:val="32"/>
          <w:szCs w:val="32"/>
          <w:lang w:val="en-US" w:eastAsia="zh-CN"/>
        </w:rPr>
        <w:t>公</w:t>
      </w:r>
      <w:r>
        <w:rPr>
          <w:rFonts w:hint="eastAsia" w:ascii="仿宋" w:hAnsi="仿宋" w:eastAsia="仿宋"/>
          <w:kern w:val="0"/>
          <w:sz w:val="32"/>
          <w:szCs w:val="32"/>
        </w:rPr>
        <w:t>用经费支出，公开决算中的运行经费开支仅指财政拨款支出数。</w:t>
      </w:r>
    </w:p>
    <w:sectPr>
      <w:pgSz w:w="11906" w:h="16838"/>
      <w:pgMar w:top="1043" w:right="952" w:bottom="1043" w:left="9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72EB79"/>
    <w:multiLevelType w:val="singleLevel"/>
    <w:tmpl w:val="1472EB79"/>
    <w:lvl w:ilvl="0" w:tentative="0">
      <w:start w:val="1"/>
      <w:numFmt w:val="chineseCounting"/>
      <w:suff w:val="space"/>
      <w:lvlText w:val="第%1部分"/>
      <w:lvlJc w:val="left"/>
      <w:rPr>
        <w:rFonts w:hint="eastAsia"/>
      </w:rPr>
    </w:lvl>
  </w:abstractNum>
  <w:abstractNum w:abstractNumId="1">
    <w:nsid w:val="1FBCC69D"/>
    <w:multiLevelType w:val="singleLevel"/>
    <w:tmpl w:val="1FBCC69D"/>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1NGU5ZDNlODY2YmYzYTVjMTVhNmMyMGMzMTg2ZGUifQ=="/>
  </w:docVars>
  <w:rsids>
    <w:rsidRoot w:val="735F49A8"/>
    <w:rsid w:val="007651DC"/>
    <w:rsid w:val="01472FBB"/>
    <w:rsid w:val="01A721DE"/>
    <w:rsid w:val="01ED24C5"/>
    <w:rsid w:val="02013CF8"/>
    <w:rsid w:val="02AD22FC"/>
    <w:rsid w:val="02D75113"/>
    <w:rsid w:val="045201D6"/>
    <w:rsid w:val="048F2274"/>
    <w:rsid w:val="04BD0CBC"/>
    <w:rsid w:val="04FA68C4"/>
    <w:rsid w:val="08410778"/>
    <w:rsid w:val="086D0535"/>
    <w:rsid w:val="09864BCA"/>
    <w:rsid w:val="098A52EA"/>
    <w:rsid w:val="09F71624"/>
    <w:rsid w:val="0A8A1165"/>
    <w:rsid w:val="0ABB08A3"/>
    <w:rsid w:val="0B553326"/>
    <w:rsid w:val="0B5E0D0E"/>
    <w:rsid w:val="0B8532AA"/>
    <w:rsid w:val="0BCD6AE0"/>
    <w:rsid w:val="0BE04A65"/>
    <w:rsid w:val="0C3A2F00"/>
    <w:rsid w:val="0C6311F3"/>
    <w:rsid w:val="0CEB5CFA"/>
    <w:rsid w:val="0D061C13"/>
    <w:rsid w:val="0D0C2ECF"/>
    <w:rsid w:val="0D153E20"/>
    <w:rsid w:val="0D9A65A6"/>
    <w:rsid w:val="0E35013A"/>
    <w:rsid w:val="0F5C7256"/>
    <w:rsid w:val="0F8676D2"/>
    <w:rsid w:val="104B26C9"/>
    <w:rsid w:val="108219EF"/>
    <w:rsid w:val="11C42733"/>
    <w:rsid w:val="1351449B"/>
    <w:rsid w:val="13B038A0"/>
    <w:rsid w:val="149450AF"/>
    <w:rsid w:val="14CF6BBF"/>
    <w:rsid w:val="157E3A44"/>
    <w:rsid w:val="161746CA"/>
    <w:rsid w:val="168846DB"/>
    <w:rsid w:val="17357C67"/>
    <w:rsid w:val="179C798E"/>
    <w:rsid w:val="17AA4A46"/>
    <w:rsid w:val="184D16D2"/>
    <w:rsid w:val="18690593"/>
    <w:rsid w:val="187E7FE4"/>
    <w:rsid w:val="189A574F"/>
    <w:rsid w:val="18A35425"/>
    <w:rsid w:val="19744878"/>
    <w:rsid w:val="1A0B5559"/>
    <w:rsid w:val="1A69180B"/>
    <w:rsid w:val="1A78230D"/>
    <w:rsid w:val="1B6C2290"/>
    <w:rsid w:val="1BFD3E49"/>
    <w:rsid w:val="1E9A5A69"/>
    <w:rsid w:val="1EE90FB5"/>
    <w:rsid w:val="1F241754"/>
    <w:rsid w:val="1F5E03BA"/>
    <w:rsid w:val="200B5C61"/>
    <w:rsid w:val="201103BB"/>
    <w:rsid w:val="201320E9"/>
    <w:rsid w:val="207B7731"/>
    <w:rsid w:val="20F16975"/>
    <w:rsid w:val="212E5E1B"/>
    <w:rsid w:val="213B214E"/>
    <w:rsid w:val="22C422A6"/>
    <w:rsid w:val="22D60519"/>
    <w:rsid w:val="231C4E67"/>
    <w:rsid w:val="23B24235"/>
    <w:rsid w:val="244D2189"/>
    <w:rsid w:val="24A10247"/>
    <w:rsid w:val="24F36BB7"/>
    <w:rsid w:val="254B6F9C"/>
    <w:rsid w:val="25AC630E"/>
    <w:rsid w:val="25D34FA5"/>
    <w:rsid w:val="26676D9D"/>
    <w:rsid w:val="27177294"/>
    <w:rsid w:val="2742617D"/>
    <w:rsid w:val="279C0E97"/>
    <w:rsid w:val="27C859B8"/>
    <w:rsid w:val="281E7025"/>
    <w:rsid w:val="28B60A8F"/>
    <w:rsid w:val="2917638F"/>
    <w:rsid w:val="2936406B"/>
    <w:rsid w:val="29E21459"/>
    <w:rsid w:val="2AC625D8"/>
    <w:rsid w:val="2C00655C"/>
    <w:rsid w:val="2C307DE6"/>
    <w:rsid w:val="2C575892"/>
    <w:rsid w:val="2C745D7F"/>
    <w:rsid w:val="2CD64578"/>
    <w:rsid w:val="2D943A59"/>
    <w:rsid w:val="2ECB6A58"/>
    <w:rsid w:val="2EE473ED"/>
    <w:rsid w:val="2FAE12EC"/>
    <w:rsid w:val="2FBC45F2"/>
    <w:rsid w:val="300D273B"/>
    <w:rsid w:val="30BC6E09"/>
    <w:rsid w:val="30C73C13"/>
    <w:rsid w:val="30CC5A15"/>
    <w:rsid w:val="30E660CB"/>
    <w:rsid w:val="31152A0C"/>
    <w:rsid w:val="318C4409"/>
    <w:rsid w:val="32684925"/>
    <w:rsid w:val="33A12D31"/>
    <w:rsid w:val="33D70E90"/>
    <w:rsid w:val="33FC1B27"/>
    <w:rsid w:val="34C11E92"/>
    <w:rsid w:val="351E0E08"/>
    <w:rsid w:val="35517C70"/>
    <w:rsid w:val="365B25FA"/>
    <w:rsid w:val="369D4FDB"/>
    <w:rsid w:val="3729538F"/>
    <w:rsid w:val="37A43B49"/>
    <w:rsid w:val="38651CCB"/>
    <w:rsid w:val="3A414A86"/>
    <w:rsid w:val="3C710825"/>
    <w:rsid w:val="3CF11D7F"/>
    <w:rsid w:val="3D117EAA"/>
    <w:rsid w:val="3E135438"/>
    <w:rsid w:val="401A263F"/>
    <w:rsid w:val="40743782"/>
    <w:rsid w:val="407B1229"/>
    <w:rsid w:val="40EB6EE9"/>
    <w:rsid w:val="413D67AB"/>
    <w:rsid w:val="414508EB"/>
    <w:rsid w:val="42B938F7"/>
    <w:rsid w:val="42C404D2"/>
    <w:rsid w:val="42C972FA"/>
    <w:rsid w:val="43EA5F7A"/>
    <w:rsid w:val="44974D76"/>
    <w:rsid w:val="45263FF5"/>
    <w:rsid w:val="453446CB"/>
    <w:rsid w:val="453670C2"/>
    <w:rsid w:val="460421F7"/>
    <w:rsid w:val="480212E4"/>
    <w:rsid w:val="49032ACF"/>
    <w:rsid w:val="49304712"/>
    <w:rsid w:val="4AAF051C"/>
    <w:rsid w:val="4B6A7B71"/>
    <w:rsid w:val="4C3934C9"/>
    <w:rsid w:val="4C401CA9"/>
    <w:rsid w:val="4C46513D"/>
    <w:rsid w:val="4C52557C"/>
    <w:rsid w:val="4D301AAB"/>
    <w:rsid w:val="4D3F08E5"/>
    <w:rsid w:val="4E656129"/>
    <w:rsid w:val="4E7A0A44"/>
    <w:rsid w:val="4ECD2FA1"/>
    <w:rsid w:val="4FC0383E"/>
    <w:rsid w:val="4FF2162E"/>
    <w:rsid w:val="50265B21"/>
    <w:rsid w:val="50F91E13"/>
    <w:rsid w:val="52366D2A"/>
    <w:rsid w:val="52B01BB0"/>
    <w:rsid w:val="53FD1E0E"/>
    <w:rsid w:val="54A823CE"/>
    <w:rsid w:val="54B15A3C"/>
    <w:rsid w:val="54D2203E"/>
    <w:rsid w:val="55176EE0"/>
    <w:rsid w:val="5562466E"/>
    <w:rsid w:val="561F5757"/>
    <w:rsid w:val="572D5C52"/>
    <w:rsid w:val="5823621C"/>
    <w:rsid w:val="58245916"/>
    <w:rsid w:val="58D77C23"/>
    <w:rsid w:val="58EC1631"/>
    <w:rsid w:val="5BC95B7B"/>
    <w:rsid w:val="5BEE486C"/>
    <w:rsid w:val="5D170C3C"/>
    <w:rsid w:val="5DA179F2"/>
    <w:rsid w:val="5EAC56AE"/>
    <w:rsid w:val="60F670B5"/>
    <w:rsid w:val="61936583"/>
    <w:rsid w:val="61E11A30"/>
    <w:rsid w:val="61EB0BE3"/>
    <w:rsid w:val="633A597E"/>
    <w:rsid w:val="635332EF"/>
    <w:rsid w:val="636C18B0"/>
    <w:rsid w:val="63D27965"/>
    <w:rsid w:val="658D4F55"/>
    <w:rsid w:val="65DD4DDA"/>
    <w:rsid w:val="67CF3D11"/>
    <w:rsid w:val="69703C1C"/>
    <w:rsid w:val="69B61AD7"/>
    <w:rsid w:val="69F63126"/>
    <w:rsid w:val="6AF723A7"/>
    <w:rsid w:val="6C3C3AA0"/>
    <w:rsid w:val="6C794961"/>
    <w:rsid w:val="6D6F1D34"/>
    <w:rsid w:val="6D9B4673"/>
    <w:rsid w:val="6E5630BE"/>
    <w:rsid w:val="6EC95A07"/>
    <w:rsid w:val="6F176B74"/>
    <w:rsid w:val="6F72024E"/>
    <w:rsid w:val="6F8F0E00"/>
    <w:rsid w:val="70E84470"/>
    <w:rsid w:val="711C226E"/>
    <w:rsid w:val="71244F3B"/>
    <w:rsid w:val="715C245D"/>
    <w:rsid w:val="716902DA"/>
    <w:rsid w:val="71834994"/>
    <w:rsid w:val="71AB08E3"/>
    <w:rsid w:val="722325B8"/>
    <w:rsid w:val="735F49A8"/>
    <w:rsid w:val="73B82E9C"/>
    <w:rsid w:val="746F2FAE"/>
    <w:rsid w:val="7537331D"/>
    <w:rsid w:val="764C12B9"/>
    <w:rsid w:val="769413F2"/>
    <w:rsid w:val="77B03472"/>
    <w:rsid w:val="77F43EF6"/>
    <w:rsid w:val="78132FFA"/>
    <w:rsid w:val="78764344"/>
    <w:rsid w:val="7A1D1427"/>
    <w:rsid w:val="7D5E6963"/>
    <w:rsid w:val="7D73302A"/>
    <w:rsid w:val="7D91026F"/>
    <w:rsid w:val="7E7A73C7"/>
    <w:rsid w:val="7F3464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paragraph" w:customStyle="1" w:styleId="8">
    <w:name w:val="p0"/>
    <w:basedOn w:val="1"/>
    <w:qFormat/>
    <w:uiPriority w:val="0"/>
    <w:pPr>
      <w:widowControl/>
    </w:pPr>
    <w:rPr>
      <w:kern w:val="0"/>
      <w:szCs w:val="21"/>
    </w:rPr>
  </w:style>
  <w:style w:type="character" w:customStyle="1" w:styleId="9">
    <w:name w:val="font81"/>
    <w:basedOn w:val="7"/>
    <w:qFormat/>
    <w:uiPriority w:val="0"/>
    <w:rPr>
      <w:rFonts w:ascii="Arial" w:hAnsi="Arial" w:cs="Arial"/>
      <w:color w:val="000000"/>
      <w:sz w:val="22"/>
      <w:szCs w:val="22"/>
      <w:u w:val="none"/>
    </w:rPr>
  </w:style>
  <w:style w:type="character" w:customStyle="1" w:styleId="10">
    <w:name w:val="font51"/>
    <w:basedOn w:val="7"/>
    <w:qFormat/>
    <w:uiPriority w:val="0"/>
    <w:rPr>
      <w:rFonts w:hint="eastAsia" w:ascii="宋体" w:hAnsi="宋体" w:eastAsia="宋体" w:cs="宋体"/>
      <w:color w:val="000000"/>
      <w:sz w:val="22"/>
      <w:szCs w:val="22"/>
      <w:u w:val="none"/>
    </w:rPr>
  </w:style>
  <w:style w:type="character" w:customStyle="1" w:styleId="11">
    <w:name w:val="font41"/>
    <w:basedOn w:val="7"/>
    <w:qFormat/>
    <w:uiPriority w:val="0"/>
    <w:rPr>
      <w:rFonts w:hint="eastAsia" w:ascii="宋体" w:hAnsi="宋体" w:eastAsia="宋体" w:cs="宋体"/>
      <w:color w:val="000000"/>
      <w:sz w:val="22"/>
      <w:szCs w:val="22"/>
      <w:u w:val="none"/>
    </w:rPr>
  </w:style>
  <w:style w:type="character" w:customStyle="1" w:styleId="12">
    <w:name w:val="font31"/>
    <w:basedOn w:val="7"/>
    <w:qFormat/>
    <w:uiPriority w:val="0"/>
    <w:rPr>
      <w:rFonts w:hint="eastAsia" w:ascii="宋体" w:hAnsi="宋体" w:eastAsia="宋体" w:cs="宋体"/>
      <w:color w:val="000000"/>
      <w:sz w:val="20"/>
      <w:szCs w:val="20"/>
      <w:u w:val="none"/>
    </w:rPr>
  </w:style>
  <w:style w:type="character" w:customStyle="1" w:styleId="13">
    <w:name w:val="font11"/>
    <w:basedOn w:val="7"/>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7149</Words>
  <Characters>9569</Characters>
  <Lines>0</Lines>
  <Paragraphs>0</Paragraphs>
  <TotalTime>1</TotalTime>
  <ScaleCrop>false</ScaleCrop>
  <LinksUpToDate>false</LinksUpToDate>
  <CharactersWithSpaces>10303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2021-04-27T06:10:00Z</dcterms:created>
  <dc:creator>lqh</dc:creator>
  <cp:lastModifiedBy>° 距、___ 離.仅此</cp:lastModifiedBy>
  <cp:lastPrinted>2022-05-13T03:29:00Z</cp:lastPrinted>
  <dcterms:modified xsi:type="dcterms:W3CDTF">2022-09-24T07:40:36Z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CACE4F7C13834595B1FC779476F58EFF</vt:lpwstr>
  </property>
</Properties>
</file>