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兴国县妇幼保健院2019年度部门决算</w:t>
      </w:r>
    </w:p>
    <w:p>
      <w:pPr>
        <w:numPr>
          <w:ilvl w:val="0"/>
          <w:numId w:val="1"/>
        </w:numPr>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兴国县妇幼保健院部门概况</w:t>
      </w:r>
    </w:p>
    <w:p>
      <w:pPr>
        <w:numPr>
          <w:ilvl w:val="0"/>
          <w:numId w:val="2"/>
        </w:num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单位主要职能</w:t>
      </w:r>
    </w:p>
    <w:p>
      <w:pPr>
        <w:keepNext w:val="0"/>
        <w:keepLines w:val="0"/>
        <w:widowControl/>
        <w:suppressLineNumbers w:val="0"/>
        <w:spacing w:before="0" w:beforeAutospacing="0" w:after="0" w:afterAutospacing="0" w:line="480" w:lineRule="auto"/>
        <w:ind w:right="0" w:firstLine="640" w:firstLineChars="200"/>
        <w:jc w:val="left"/>
        <w:rPr>
          <w:rFonts w:hint="eastAsia" w:ascii="仿宋" w:hAnsi="仿宋" w:eastAsia="仿宋" w:cs="仿宋"/>
          <w:kern w:val="0"/>
          <w:sz w:val="32"/>
          <w:szCs w:val="32"/>
          <w:lang w:val="en-US" w:eastAsia="zh-CN" w:bidi="ar"/>
        </w:rPr>
      </w:pPr>
      <w:r>
        <w:rPr>
          <w:rFonts w:hint="eastAsia" w:ascii="仿宋" w:hAnsi="仿宋" w:eastAsia="仿宋" w:cs="仿宋"/>
          <w:b w:val="0"/>
          <w:bCs w:val="0"/>
          <w:sz w:val="32"/>
          <w:szCs w:val="32"/>
          <w:lang w:val="en-US" w:eastAsia="zh-CN"/>
        </w:rPr>
        <w:t>兴国县妇幼保健院</w:t>
      </w:r>
      <w:r>
        <w:rPr>
          <w:rFonts w:hint="eastAsia" w:ascii="仿宋" w:hAnsi="仿宋" w:eastAsia="仿宋" w:cs="仿宋"/>
          <w:kern w:val="0"/>
          <w:sz w:val="32"/>
          <w:szCs w:val="32"/>
          <w:lang w:val="en-US" w:eastAsia="zh-CN" w:bidi="ar"/>
        </w:rPr>
        <w:t>是一所集医疗、保健、妇女儿童健康教育、生殖健康服务和教学科研为一体的江西省“二级甲等”妇幼保健专科医院。宗旨和业务范围：为妇女儿童身体健康保健服务、负责妇女保健、儿童保健、妇女病筛查、遗传病筛查、产前诊断与接生、高危孕产妇筛查、监测与监护高危新生儿筛查、治疗与监护儿童疾病防治、妇幼卫生监测与信息管理、妇幼卫生保健人员培训、妇幼保健科学研究计划生育技术服务、妇幼保健咨询等。主要职责有：</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切实履行公共卫生职责，开展与妇女儿童健康密切相关的基本医疗服务。</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完成各级政府和卫生行政部门下达的指令性任务。</w:t>
      </w:r>
      <w:r>
        <w:rPr>
          <w:rFonts w:hint="eastAsia" w:ascii="仿宋" w:hAnsi="仿宋" w:eastAsia="仿宋" w:cs="仿宋"/>
          <w:sz w:val="32"/>
          <w:szCs w:val="32"/>
          <w:lang w:val="en-US" w:eastAsia="zh-CN"/>
        </w:rPr>
        <w:t xml:space="preserve"> </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掌握本辖区妇女儿童健康状况及影响因素，协助卫生行政部门制定本辖区妇幼卫生工作的相关政策、技术规范及各项规章制度。</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受卫生行政部门委托对本辖区各级各类医疗保健机构开展的妇幼卫生服务进行检查、考核与评价。</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负责指导和开展本辖区的妇幼保健健康教育与健康促进工作；组织实施本辖区母婴保健技术培训，对基层医疗保健机构开展业务指导，并提供技术支持。</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负责本辖区孕产妇死亡、婴儿及5岁以下儿童死亡、出生缺陷监测、妇幼卫生服务及技术管理等信息的收集、统计、分析、质量控制和汇总上报。</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开展妇女保健服务，包括青春期保健、婚前和孕前保健、孕产期保健、更年期保健、老年期保健。重点加强心理卫生咨询、营养指导、计划生育技术服务、生殖道感染/性传播疾病等妇女常见病防治。</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开展儿童保健服务，包括胎儿期、新生儿期、婴幼儿期、学龄前期及学龄期保健，受卫生行政部门委托对托幼园所卫生保健进行管理和业务指导。重点加强儿童早期综合发展、营养与喂养指导、生长发育监测、心理行为咨询、儿童疾病综合管理等儿童保健服务。</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开展妇幼卫生、生殖健康的应用性科学研究并组织推广适宜技术。</w:t>
      </w:r>
    </w:p>
    <w:p>
      <w:pPr>
        <w:pStyle w:val="5"/>
        <w:widowControl w:val="0"/>
        <w:numPr>
          <w:ilvl w:val="0"/>
          <w:numId w:val="3"/>
        </w:numPr>
        <w:adjustRightInd w:val="0"/>
        <w:snapToGrid w:val="0"/>
        <w:spacing w:before="0" w:beforeAutospacing="0" w:after="0" w:afterAutospacing="0" w:line="5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提供以下基本医疗服务，包括妇女儿童常见疾病诊治、计划生育技术服务、产前筛查、新生儿疾病筛查、助产技术服务、产前诊断、产科并发症处理、新生儿危重症抢救和治疗等。</w:t>
      </w:r>
    </w:p>
    <w:p>
      <w:pPr>
        <w:numPr>
          <w:ilvl w:val="0"/>
          <w:numId w:val="2"/>
        </w:numPr>
        <w:ind w:left="0" w:leftChars="0" w:firstLine="0" w:firstLineChars="0"/>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单位基本情况</w:t>
      </w:r>
    </w:p>
    <w:p>
      <w:pPr>
        <w:keepNext w:val="0"/>
        <w:keepLines w:val="0"/>
        <w:widowControl/>
        <w:suppressLineNumbers w:val="0"/>
        <w:spacing w:before="0" w:beforeAutospacing="0" w:after="0" w:afterAutospacing="0" w:line="480" w:lineRule="auto"/>
        <w:ind w:left="0" w:right="0" w:firstLine="480"/>
        <w:jc w:val="left"/>
        <w:rPr>
          <w:rFonts w:hint="eastAsia" w:ascii="仿宋" w:hAnsi="仿宋" w:eastAsia="仿宋" w:cs="仿宋"/>
          <w:kern w:val="0"/>
          <w:sz w:val="32"/>
          <w:szCs w:val="32"/>
          <w:lang w:val="en-US" w:eastAsia="zh-CN" w:bidi="ar"/>
        </w:rPr>
      </w:pPr>
      <w:r>
        <w:rPr>
          <w:rFonts w:hint="eastAsia" w:ascii="仿宋" w:hAnsi="仿宋" w:eastAsia="仿宋" w:cs="仿宋"/>
          <w:sz w:val="32"/>
          <w:szCs w:val="32"/>
          <w:lang w:val="en-US" w:eastAsia="zh-CN"/>
        </w:rPr>
        <w:t xml:space="preserve"> </w:t>
      </w:r>
      <w:r>
        <w:rPr>
          <w:rFonts w:hint="eastAsia" w:ascii="仿宋" w:hAnsi="仿宋" w:eastAsia="仿宋" w:cs="仿宋"/>
          <w:kern w:val="0"/>
          <w:sz w:val="32"/>
          <w:szCs w:val="32"/>
          <w:lang w:val="en-US" w:eastAsia="zh-CN" w:bidi="ar"/>
        </w:rPr>
        <w:t>本单位年末现有职工313人，其中事业编制人数151人；卫技人员258人，现编制床位105张。</w:t>
      </w: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rPr>
          <w:rFonts w:hint="eastAsia" w:ascii="仿宋" w:hAnsi="仿宋" w:eastAsia="仿宋" w:cs="仿宋"/>
          <w:kern w:val="0"/>
          <w:sz w:val="32"/>
          <w:szCs w:val="32"/>
          <w:lang w:val="en-US" w:eastAsia="zh-CN" w:bidi="ar"/>
        </w:rPr>
      </w:pPr>
    </w:p>
    <w:p>
      <w:pPr>
        <w:pStyle w:val="2"/>
        <w:numPr>
          <w:ilvl w:val="0"/>
          <w:numId w:val="1"/>
        </w:numPr>
        <w:ind w:left="0" w:leftChars="0" w:firstLine="0" w:firstLineChars="0"/>
        <w:jc w:val="center"/>
        <w:rPr>
          <w:rFonts w:hint="eastAsia" w:ascii="宋体" w:hAnsi="宋体" w:eastAsia="宋体" w:cs="宋体"/>
          <w:b/>
          <w:bCs/>
          <w:lang w:val="en-US" w:eastAsia="zh-CN"/>
        </w:rPr>
      </w:pPr>
      <w:r>
        <w:rPr>
          <w:rFonts w:hint="eastAsia" w:ascii="宋体" w:hAnsi="宋体" w:eastAsia="宋体" w:cs="宋体"/>
          <w:b/>
          <w:bCs/>
          <w:lang w:val="en-US" w:eastAsia="zh-CN"/>
        </w:rPr>
        <w:t xml:space="preserve"> 2019年度单位决算表</w:t>
      </w:r>
    </w:p>
    <w:tbl>
      <w:tblPr>
        <w:tblStyle w:val="6"/>
        <w:tblW w:w="9983" w:type="dxa"/>
        <w:tblInd w:w="0" w:type="dxa"/>
        <w:shd w:val="clear" w:color="auto" w:fill="auto"/>
        <w:tblLayout w:type="fixed"/>
        <w:tblCellMar>
          <w:top w:w="0" w:type="dxa"/>
          <w:left w:w="108" w:type="dxa"/>
          <w:bottom w:w="0" w:type="dxa"/>
          <w:right w:w="108" w:type="dxa"/>
        </w:tblCellMar>
      </w:tblPr>
      <w:tblGrid>
        <w:gridCol w:w="361"/>
        <w:gridCol w:w="361"/>
        <w:gridCol w:w="361"/>
        <w:gridCol w:w="1385"/>
        <w:gridCol w:w="479"/>
        <w:gridCol w:w="1231"/>
        <w:gridCol w:w="570"/>
        <w:gridCol w:w="1125"/>
        <w:gridCol w:w="780"/>
        <w:gridCol w:w="1124"/>
        <w:gridCol w:w="500"/>
        <w:gridCol w:w="101"/>
        <w:gridCol w:w="1575"/>
        <w:gridCol w:w="30"/>
      </w:tblGrid>
      <w:tr>
        <w:tblPrEx>
          <w:tblCellMar>
            <w:top w:w="0" w:type="dxa"/>
            <w:left w:w="108" w:type="dxa"/>
            <w:bottom w:w="0" w:type="dxa"/>
            <w:right w:w="108" w:type="dxa"/>
          </w:tblCellMar>
        </w:tblPrEx>
        <w:trPr>
          <w:trHeight w:val="429" w:hRule="atLeast"/>
        </w:trPr>
        <w:tc>
          <w:tcPr>
            <w:tcW w:w="9983" w:type="dxa"/>
            <w:gridSpan w:val="14"/>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2"/>
                <w:szCs w:val="32"/>
                <w:u w:val="none"/>
                <w:lang w:val="en-US" w:eastAsia="zh-CN" w:bidi="ar"/>
              </w:rPr>
              <w:t>收入支出决算总表</w:t>
            </w:r>
          </w:p>
        </w:tc>
      </w:tr>
      <w:tr>
        <w:tblPrEx>
          <w:shd w:val="clear" w:color="auto" w:fill="auto"/>
          <w:tblCellMar>
            <w:top w:w="0" w:type="dxa"/>
            <w:left w:w="108" w:type="dxa"/>
            <w:bottom w:w="0" w:type="dxa"/>
            <w:right w:w="108" w:type="dxa"/>
          </w:tblCellMar>
        </w:tblPrEx>
        <w:trPr>
          <w:trHeight w:val="255" w:hRule="atLeast"/>
        </w:trPr>
        <w:tc>
          <w:tcPr>
            <w:tcW w:w="9983" w:type="dxa"/>
            <w:gridSpan w:val="14"/>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金额单位：元</w:t>
            </w:r>
          </w:p>
        </w:tc>
      </w:tr>
      <w:tr>
        <w:tblPrEx>
          <w:tblCellMar>
            <w:top w:w="0" w:type="dxa"/>
            <w:left w:w="108" w:type="dxa"/>
            <w:bottom w:w="0" w:type="dxa"/>
            <w:right w:w="108" w:type="dxa"/>
          </w:tblCellMar>
        </w:tblPrEx>
        <w:trPr>
          <w:trHeight w:val="255" w:hRule="atLeast"/>
        </w:trPr>
        <w:tc>
          <w:tcPr>
            <w:tcW w:w="9983" w:type="dxa"/>
            <w:gridSpan w:val="14"/>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编制单位：兴国县妇幼保健和计划生育服务中心   2019年度                 公开01表</w:t>
            </w:r>
          </w:p>
        </w:tc>
      </w:tr>
      <w:tr>
        <w:tblPrEx>
          <w:tblCellMar>
            <w:top w:w="0" w:type="dxa"/>
            <w:left w:w="108" w:type="dxa"/>
            <w:bottom w:w="0" w:type="dxa"/>
            <w:right w:w="108" w:type="dxa"/>
          </w:tblCellMar>
        </w:tblPrEx>
        <w:trPr>
          <w:trHeight w:val="308" w:hRule="atLeast"/>
        </w:trPr>
        <w:tc>
          <w:tcPr>
            <w:tcW w:w="4748" w:type="dxa"/>
            <w:gridSpan w:val="7"/>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5235" w:type="dxa"/>
            <w:gridSpan w:val="7"/>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shd w:val="clear" w:color="auto" w:fill="auto"/>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801"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项目（按功能分类）</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706"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    次</w:t>
            </w:r>
          </w:p>
        </w:tc>
        <w:tc>
          <w:tcPr>
            <w:tcW w:w="479" w:type="dxa"/>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01"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    次</w:t>
            </w:r>
          </w:p>
        </w:tc>
        <w:tc>
          <w:tcPr>
            <w:tcW w:w="500" w:type="dxa"/>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706"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0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25,828,587.20</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0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三、上级补助收入</w:t>
            </w: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80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四、事业收入</w:t>
            </w: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80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62,444,878.76</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五、经营收入</w:t>
            </w: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80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六、附属单位上缴收入</w:t>
            </w: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80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七、其他收入</w:t>
            </w: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80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434,776.50</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72,208,488.80</w:t>
            </w:r>
          </w:p>
        </w:tc>
      </w:tr>
      <w:tr>
        <w:tblPrEx>
          <w:shd w:val="clear" w:color="auto" w:fill="auto"/>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十四、资源勘探信息等支出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二十一、灾害防治及应急管理支出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二十二、其他支出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二十三、债务还本支出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二十四、债务付息支出</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706" w:type="dxa"/>
            <w:gridSpan w:val="3"/>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80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88,708,242.46</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72,826,312.80</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用事业基金弥补收支差额</w:t>
            </w: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80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结余分配                 </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3,121,755.13</w:t>
            </w:r>
          </w:p>
        </w:tc>
      </w:tr>
      <w:tr>
        <w:tblPrEx>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年初结转和结余</w:t>
            </w: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80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4,094,269.17</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年末结转和结余                                </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16,854,443.70</w:t>
            </w:r>
          </w:p>
        </w:tc>
      </w:tr>
      <w:tr>
        <w:tblPrEx>
          <w:shd w:val="clear" w:color="auto" w:fill="auto"/>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801" w:type="dxa"/>
            <w:gridSpan w:val="2"/>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706" w:type="dxa"/>
            <w:gridSpan w:val="3"/>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2468"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47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801"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92,802,511.63</w:t>
            </w:r>
          </w:p>
        </w:tc>
        <w:tc>
          <w:tcPr>
            <w:tcW w:w="3029"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0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706"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92,802,511.63</w:t>
            </w:r>
          </w:p>
        </w:tc>
      </w:tr>
      <w:tr>
        <w:tblPrEx>
          <w:tblCellMar>
            <w:top w:w="0" w:type="dxa"/>
            <w:left w:w="108" w:type="dxa"/>
            <w:bottom w:w="0" w:type="dxa"/>
            <w:right w:w="108" w:type="dxa"/>
          </w:tblCellMar>
        </w:tblPrEx>
        <w:trPr>
          <w:trHeight w:val="308" w:hRule="atLeast"/>
        </w:trPr>
        <w:tc>
          <w:tcPr>
            <w:tcW w:w="9983" w:type="dxa"/>
            <w:gridSpan w:val="14"/>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注：本表反映部门本年度的总收支和年末结转结余情况。</w:t>
            </w:r>
          </w:p>
        </w:tc>
      </w:tr>
      <w:tr>
        <w:tblPrEx>
          <w:tblCellMar>
            <w:top w:w="0" w:type="dxa"/>
            <w:left w:w="108" w:type="dxa"/>
            <w:bottom w:w="0" w:type="dxa"/>
            <w:right w:w="108" w:type="dxa"/>
          </w:tblCellMar>
        </w:tblPrEx>
        <w:trPr>
          <w:gridAfter w:val="1"/>
          <w:wAfter w:w="30" w:type="dxa"/>
          <w:trHeight w:val="540" w:hRule="atLeast"/>
        </w:trPr>
        <w:tc>
          <w:tcPr>
            <w:tcW w:w="9953" w:type="dxa"/>
            <w:gridSpan w:val="13"/>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2"/>
                <w:szCs w:val="32"/>
                <w:u w:val="none"/>
                <w:lang w:val="en-US" w:eastAsia="zh-CN" w:bidi="ar"/>
              </w:rPr>
              <w:t>收入决算表</w:t>
            </w:r>
          </w:p>
        </w:tc>
      </w:tr>
      <w:tr>
        <w:tblPrEx>
          <w:tblCellMar>
            <w:top w:w="0" w:type="dxa"/>
            <w:left w:w="108" w:type="dxa"/>
            <w:bottom w:w="0" w:type="dxa"/>
            <w:right w:w="108" w:type="dxa"/>
          </w:tblCellMar>
        </w:tblPrEx>
        <w:trPr>
          <w:gridAfter w:val="1"/>
          <w:wAfter w:w="30" w:type="dxa"/>
          <w:trHeight w:val="255" w:hRule="atLeast"/>
        </w:trPr>
        <w:tc>
          <w:tcPr>
            <w:tcW w:w="9953" w:type="dxa"/>
            <w:gridSpan w:val="13"/>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金额单位：元</w:t>
            </w:r>
          </w:p>
        </w:tc>
      </w:tr>
      <w:tr>
        <w:tblPrEx>
          <w:tblCellMar>
            <w:top w:w="0" w:type="dxa"/>
            <w:left w:w="108" w:type="dxa"/>
            <w:bottom w:w="0" w:type="dxa"/>
            <w:right w:w="108" w:type="dxa"/>
          </w:tblCellMar>
        </w:tblPrEx>
        <w:trPr>
          <w:gridAfter w:val="1"/>
          <w:wAfter w:w="30" w:type="dxa"/>
          <w:trHeight w:val="255" w:hRule="atLeast"/>
        </w:trPr>
        <w:tc>
          <w:tcPr>
            <w:tcW w:w="9953" w:type="dxa"/>
            <w:gridSpan w:val="13"/>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编制单位：兴国县妇幼保健和计划生育服务中心        2019年度            公开02表</w:t>
            </w:r>
          </w:p>
        </w:tc>
      </w:tr>
      <w:tr>
        <w:tblPrEx>
          <w:tblCellMar>
            <w:top w:w="0" w:type="dxa"/>
            <w:left w:w="108" w:type="dxa"/>
            <w:bottom w:w="0" w:type="dxa"/>
            <w:right w:w="108" w:type="dxa"/>
          </w:tblCellMar>
        </w:tblPrEx>
        <w:trPr>
          <w:gridAfter w:val="1"/>
          <w:wAfter w:w="30" w:type="dxa"/>
          <w:trHeight w:val="347" w:hRule="atLeast"/>
        </w:trPr>
        <w:tc>
          <w:tcPr>
            <w:tcW w:w="2468"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1710" w:type="dxa"/>
            <w:gridSpan w:val="2"/>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695" w:type="dxa"/>
            <w:gridSpan w:val="2"/>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780"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725" w:type="dxa"/>
            <w:gridSpan w:val="3"/>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575"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CellMar>
            <w:top w:w="0" w:type="dxa"/>
            <w:left w:w="108" w:type="dxa"/>
            <w:bottom w:w="0" w:type="dxa"/>
            <w:right w:w="108" w:type="dxa"/>
          </w:tblCellMar>
        </w:tblPrEx>
        <w:trPr>
          <w:gridAfter w:val="1"/>
          <w:wAfter w:w="30" w:type="dxa"/>
          <w:trHeight w:val="308" w:hRule="atLeast"/>
        </w:trPr>
        <w:tc>
          <w:tcPr>
            <w:tcW w:w="1083"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1385"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710" w:type="dxa"/>
            <w:gridSpan w:val="2"/>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95" w:type="dxa"/>
            <w:gridSpan w:val="2"/>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725" w:type="dxa"/>
            <w:gridSpan w:val="3"/>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75"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30" w:type="dxa"/>
          <w:trHeight w:val="308" w:hRule="atLeast"/>
        </w:trPr>
        <w:tc>
          <w:tcPr>
            <w:tcW w:w="1083"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85"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710" w:type="dxa"/>
            <w:gridSpan w:val="2"/>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95" w:type="dxa"/>
            <w:gridSpan w:val="2"/>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725" w:type="dxa"/>
            <w:gridSpan w:val="3"/>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75"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30" w:type="dxa"/>
          <w:trHeight w:val="308" w:hRule="atLeast"/>
        </w:trPr>
        <w:tc>
          <w:tcPr>
            <w:tcW w:w="1083"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85"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710" w:type="dxa"/>
            <w:gridSpan w:val="2"/>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95" w:type="dxa"/>
            <w:gridSpan w:val="2"/>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780"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725" w:type="dxa"/>
            <w:gridSpan w:val="3"/>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75"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30" w:type="dxa"/>
          <w:trHeight w:val="308" w:hRule="atLeast"/>
        </w:trPr>
        <w:tc>
          <w:tcPr>
            <w:tcW w:w="361"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361"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361"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38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710"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95" w:type="dxa"/>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8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725" w:type="dxa"/>
            <w:gridSpan w:val="3"/>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7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r>
      <w:tr>
        <w:tblPrEx>
          <w:tblCellMar>
            <w:top w:w="0" w:type="dxa"/>
            <w:left w:w="108" w:type="dxa"/>
            <w:bottom w:w="0" w:type="dxa"/>
            <w:right w:w="108" w:type="dxa"/>
          </w:tblCellMar>
        </w:tblPrEx>
        <w:trPr>
          <w:gridAfter w:val="1"/>
          <w:wAfter w:w="30" w:type="dxa"/>
          <w:trHeight w:val="323" w:hRule="atLeast"/>
        </w:trPr>
        <w:tc>
          <w:tcPr>
            <w:tcW w:w="361"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61"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61"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38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88,708,242.46</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25,828,587.20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62,444,878.76</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434,776.50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行政事业单位离退休</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88,090,418.46</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25,210,763.20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62,444,878.76</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434,776.50</w:t>
            </w:r>
          </w:p>
        </w:tc>
      </w:tr>
      <w:tr>
        <w:tblPrEx>
          <w:shd w:val="clear" w:color="auto" w:fill="auto"/>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公立医院</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2,337,549.00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2,337,549.00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2100201</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综合医院</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2100206</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妇产医院</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41,666.00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41,666.00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2100299</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其他公立医院支出</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2,145,883.00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2,145,883.00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基层医疗卫生机构</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2100399</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其他基层医疗卫生机构支出</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83,522,449.46</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20,642,794.20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62,444,878.76</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434,776.50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2100403</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妇幼保健机构</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80,143,894.46</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17,264,239.20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62,444,878.76</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434,776.50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基本公共卫生服务</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2,338,555.00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2,338,555.00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重大公共卫生专项</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1,040,000.00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1,040,000.00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1,677,720.00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1,677,720.00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1,677,720.00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1,677,720.00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财政对基本医疗保险基金的补助</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2101201</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财政对职工基本医疗保险基金的补助</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1083"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3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710"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169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78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725" w:type="dxa"/>
            <w:gridSpan w:val="3"/>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gridAfter w:val="1"/>
          <w:wAfter w:w="30" w:type="dxa"/>
          <w:trHeight w:val="308" w:hRule="atLeast"/>
        </w:trPr>
        <w:tc>
          <w:tcPr>
            <w:tcW w:w="9953" w:type="dxa"/>
            <w:gridSpan w:val="1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注：本表反映部门本年度取得的各项收入情况。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5084" w:type="pct"/>
        <w:tblInd w:w="0" w:type="dxa"/>
        <w:shd w:val="clear" w:color="auto" w:fill="auto"/>
        <w:tblLayout w:type="fixed"/>
        <w:tblCellMar>
          <w:top w:w="0" w:type="dxa"/>
          <w:left w:w="108" w:type="dxa"/>
          <w:bottom w:w="0" w:type="dxa"/>
          <w:right w:w="108" w:type="dxa"/>
        </w:tblCellMar>
      </w:tblPr>
      <w:tblGrid>
        <w:gridCol w:w="445"/>
        <w:gridCol w:w="446"/>
        <w:gridCol w:w="450"/>
        <w:gridCol w:w="3006"/>
        <w:gridCol w:w="2121"/>
        <w:gridCol w:w="1999"/>
        <w:gridCol w:w="1692"/>
      </w:tblGrid>
      <w:tr>
        <w:tblPrEx>
          <w:tblCellMar>
            <w:top w:w="0" w:type="dxa"/>
            <w:left w:w="108" w:type="dxa"/>
            <w:bottom w:w="0" w:type="dxa"/>
            <w:right w:w="108" w:type="dxa"/>
          </w:tblCellMar>
        </w:tblPrEx>
        <w:trPr>
          <w:trHeight w:val="540" w:hRule="atLeast"/>
        </w:trPr>
        <w:tc>
          <w:tcPr>
            <w:tcW w:w="5000" w:type="pct"/>
            <w:gridSpan w:val="7"/>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2"/>
                <w:szCs w:val="32"/>
                <w:u w:val="none"/>
                <w:lang w:val="en-US" w:eastAsia="zh-CN" w:bidi="ar"/>
              </w:rPr>
              <w:t>支出决算表</w:t>
            </w:r>
          </w:p>
        </w:tc>
      </w:tr>
      <w:tr>
        <w:tblPrEx>
          <w:tblCellMar>
            <w:top w:w="0" w:type="dxa"/>
            <w:left w:w="108" w:type="dxa"/>
            <w:bottom w:w="0" w:type="dxa"/>
            <w:right w:w="108" w:type="dxa"/>
          </w:tblCellMar>
        </w:tblPrEx>
        <w:trPr>
          <w:trHeight w:val="255" w:hRule="atLeast"/>
        </w:trPr>
        <w:tc>
          <w:tcPr>
            <w:tcW w:w="5000" w:type="pct"/>
            <w:gridSpan w:val="7"/>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r>
        <w:tblPrEx>
          <w:tblCellMar>
            <w:top w:w="0" w:type="dxa"/>
            <w:left w:w="108" w:type="dxa"/>
            <w:bottom w:w="0" w:type="dxa"/>
            <w:right w:w="108" w:type="dxa"/>
          </w:tblCellMar>
        </w:tblPrEx>
        <w:trPr>
          <w:trHeight w:val="255" w:hRule="atLeast"/>
        </w:trPr>
        <w:tc>
          <w:tcPr>
            <w:tcW w:w="5000" w:type="pct"/>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default" w:ascii="Arial" w:hAnsi="Arial" w:cs="Arial"/>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编制单位：兴国县妇幼保健和计划生育服务中心    2019年度          公开03表</w:t>
            </w:r>
          </w:p>
        </w:tc>
      </w:tr>
      <w:tr>
        <w:tblPrEx>
          <w:shd w:val="clear" w:color="auto" w:fill="auto"/>
          <w:tblCellMar>
            <w:top w:w="0" w:type="dxa"/>
            <w:left w:w="108" w:type="dxa"/>
            <w:bottom w:w="0" w:type="dxa"/>
            <w:right w:w="108" w:type="dxa"/>
          </w:tblCellMar>
        </w:tblPrEx>
        <w:trPr>
          <w:trHeight w:val="308" w:hRule="atLeast"/>
        </w:trPr>
        <w:tc>
          <w:tcPr>
            <w:tcW w:w="2139"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1043"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983"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832" w:type="pct"/>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CellMar>
            <w:top w:w="0" w:type="dxa"/>
            <w:left w:w="108" w:type="dxa"/>
            <w:bottom w:w="0" w:type="dxa"/>
            <w:right w:w="108" w:type="dxa"/>
          </w:tblCellMar>
        </w:tblPrEx>
        <w:trPr>
          <w:trHeight w:val="308" w:hRule="atLeast"/>
        </w:trPr>
        <w:tc>
          <w:tcPr>
            <w:tcW w:w="659"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1479"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04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8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32"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59"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79"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04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8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32"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59"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79"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04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83"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32" w:type="pct"/>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218" w:type="pct"/>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219"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221"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47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043"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83"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32"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CellMar>
            <w:top w:w="0" w:type="dxa"/>
            <w:left w:w="108" w:type="dxa"/>
            <w:bottom w:w="0" w:type="dxa"/>
            <w:right w:w="108" w:type="dxa"/>
          </w:tblCellMar>
        </w:tblPrEx>
        <w:trPr>
          <w:trHeight w:val="308" w:hRule="atLeast"/>
        </w:trPr>
        <w:tc>
          <w:tcPr>
            <w:tcW w:w="218" w:type="pct"/>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19"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21"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7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72,826,312.80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66,102,967.11</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6,723,345.69</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行政事业单位离退休</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72,208,488.80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65,485,143.11</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6,723,345.69</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公立医院</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2,337,549.00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2,337,549.00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2100201</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综合医院</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150,000.00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2100206</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妇产医院</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41,666.00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41,666.00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2100299</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其他公立医院支出</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2,145,883.00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2,145,883.00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基层医疗卫生机构</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2100399</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其他基层医疗卫生机构支出</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67,640,519.80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60,917,174.11</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6,723,345.69</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2100403</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妇幼保健机构</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60,917,174.11</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60,917,174.11</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基本公共卫生服务</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5,466,660.90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5,466,660.90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重大公共卫生专项</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1,256,684.79</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1,256,684.79</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1,677,720.00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1,677,720.00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1,677,720.00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1,677,720.00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财政对基本医疗保险基金的补助</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2101201</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财政对职工基本医疗保险基金的补助</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659"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47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04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983"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83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5000" w:type="pct"/>
            <w:gridSpan w:val="7"/>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注：本表反映部门本年度各项支出情况。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5295" w:type="pct"/>
        <w:tblInd w:w="0" w:type="dxa"/>
        <w:shd w:val="clear" w:color="auto" w:fill="auto"/>
        <w:tblLayout w:type="fixed"/>
        <w:tblCellMar>
          <w:top w:w="0" w:type="dxa"/>
          <w:left w:w="108" w:type="dxa"/>
          <w:bottom w:w="0" w:type="dxa"/>
          <w:right w:w="108" w:type="dxa"/>
        </w:tblCellMar>
      </w:tblPr>
      <w:tblGrid>
        <w:gridCol w:w="1886"/>
        <w:gridCol w:w="534"/>
        <w:gridCol w:w="1829"/>
        <w:gridCol w:w="1878"/>
        <w:gridCol w:w="809"/>
        <w:gridCol w:w="1829"/>
        <w:gridCol w:w="1813"/>
      </w:tblGrid>
      <w:tr>
        <w:tblPrEx>
          <w:tblCellMar>
            <w:top w:w="0" w:type="dxa"/>
            <w:left w:w="108" w:type="dxa"/>
            <w:bottom w:w="0" w:type="dxa"/>
            <w:right w:w="108" w:type="dxa"/>
          </w:tblCellMar>
        </w:tblPrEx>
        <w:trPr>
          <w:trHeight w:val="540" w:hRule="atLeast"/>
        </w:trPr>
        <w:tc>
          <w:tcPr>
            <w:tcW w:w="5000" w:type="pct"/>
            <w:gridSpan w:val="7"/>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b w:val="0"/>
                <w:bCs w:val="0"/>
                <w:i w:val="0"/>
                <w:iCs w:val="0"/>
                <w:color w:val="000000"/>
                <w:kern w:val="0"/>
                <w:sz w:val="32"/>
                <w:szCs w:val="32"/>
                <w:u w:val="none"/>
                <w:lang w:val="en-US" w:eastAsia="zh-CN" w:bidi="ar"/>
              </w:rPr>
              <w:t>财政拨款收入支出决算表</w:t>
            </w:r>
          </w:p>
        </w:tc>
      </w:tr>
      <w:tr>
        <w:tblPrEx>
          <w:tblCellMar>
            <w:top w:w="0" w:type="dxa"/>
            <w:left w:w="108" w:type="dxa"/>
            <w:bottom w:w="0" w:type="dxa"/>
            <w:right w:w="108" w:type="dxa"/>
          </w:tblCellMar>
        </w:tblPrEx>
        <w:trPr>
          <w:trHeight w:val="255" w:hRule="atLeast"/>
        </w:trPr>
        <w:tc>
          <w:tcPr>
            <w:tcW w:w="5000" w:type="pct"/>
            <w:gridSpan w:val="7"/>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金额单位：元</w:t>
            </w:r>
          </w:p>
        </w:tc>
      </w:tr>
      <w:tr>
        <w:tblPrEx>
          <w:tblCellMar>
            <w:top w:w="0" w:type="dxa"/>
            <w:left w:w="108" w:type="dxa"/>
            <w:bottom w:w="0" w:type="dxa"/>
            <w:right w:w="108" w:type="dxa"/>
          </w:tblCellMar>
        </w:tblPrEx>
        <w:trPr>
          <w:trHeight w:val="255" w:hRule="atLeast"/>
        </w:trPr>
        <w:tc>
          <w:tcPr>
            <w:tcW w:w="5000" w:type="pct"/>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编制单位：兴国县妇幼保健和计划生育服务中心             2019年度           公开04表</w:t>
            </w:r>
          </w:p>
        </w:tc>
      </w:tr>
      <w:tr>
        <w:tblPrEx>
          <w:tblCellMar>
            <w:top w:w="0" w:type="dxa"/>
            <w:left w:w="108" w:type="dxa"/>
            <w:bottom w:w="0" w:type="dxa"/>
            <w:right w:w="108" w:type="dxa"/>
          </w:tblCellMar>
        </w:tblPrEx>
        <w:trPr>
          <w:trHeight w:val="308" w:hRule="atLeast"/>
        </w:trPr>
        <w:tc>
          <w:tcPr>
            <w:tcW w:w="2008"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2991" w:type="pct"/>
            <w:gridSpan w:val="4"/>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tblCellMar>
            <w:top w:w="0" w:type="dxa"/>
            <w:left w:w="108" w:type="dxa"/>
            <w:bottom w:w="0" w:type="dxa"/>
            <w:right w:w="108" w:type="dxa"/>
          </w:tblCellMar>
        </w:tblPrEx>
        <w:trPr>
          <w:trHeight w:val="308" w:hRule="atLeast"/>
        </w:trPr>
        <w:tc>
          <w:tcPr>
            <w:tcW w:w="891" w:type="pct"/>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252"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864"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887"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项目（按功能分类）</w:t>
            </w:r>
          </w:p>
        </w:tc>
        <w:tc>
          <w:tcPr>
            <w:tcW w:w="382"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721" w:type="pct"/>
            <w:gridSpan w:val="2"/>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CellMar>
            <w:top w:w="0" w:type="dxa"/>
            <w:left w:w="108" w:type="dxa"/>
            <w:bottom w:w="0" w:type="dxa"/>
            <w:right w:w="108" w:type="dxa"/>
          </w:tblCellMar>
        </w:tblPrEx>
        <w:trPr>
          <w:trHeight w:val="585" w:hRule="atLeast"/>
        </w:trPr>
        <w:tc>
          <w:tcPr>
            <w:tcW w:w="891" w:type="pct"/>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52"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64"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87"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82"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64"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85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    次</w:t>
            </w:r>
          </w:p>
        </w:tc>
        <w:tc>
          <w:tcPr>
            <w:tcW w:w="252"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6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    次</w:t>
            </w:r>
          </w:p>
        </w:tc>
        <w:tc>
          <w:tcPr>
            <w:tcW w:w="382" w:type="pct"/>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64"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5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25,828,587.20</w:t>
            </w: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12,450,588.67</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12,450,588.67</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十四、资源勘探信息等支出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r>
      <w:tr>
        <w:tblPrEx>
          <w:shd w:val="clear" w:color="auto" w:fill="auto"/>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二十一、灾害防治及应急管理支出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二十二、其他支出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二十三、债务还本支出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二十四、债务付息支出</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87"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56"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25,828,587.20</w:t>
            </w: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13,068,412.67</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13,068,412.67</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4,094,269.17</w:t>
            </w: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16,854,443.70</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16,854,443.70</w:t>
            </w: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4,094,269.17</w:t>
            </w:r>
          </w:p>
        </w:tc>
        <w:tc>
          <w:tcPr>
            <w:tcW w:w="887"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56"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864"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856"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891"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25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29,922,856.37</w:t>
            </w: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38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864"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29,922,856.37</w:t>
            </w:r>
          </w:p>
        </w:tc>
        <w:tc>
          <w:tcPr>
            <w:tcW w:w="85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29,922,856.37</w:t>
            </w:r>
          </w:p>
        </w:tc>
      </w:tr>
      <w:tr>
        <w:tblPrEx>
          <w:tblCellMar>
            <w:top w:w="0" w:type="dxa"/>
            <w:left w:w="108" w:type="dxa"/>
            <w:bottom w:w="0" w:type="dxa"/>
            <w:right w:w="108" w:type="dxa"/>
          </w:tblCellMar>
        </w:tblPrEx>
        <w:trPr>
          <w:trHeight w:val="308" w:hRule="atLeast"/>
        </w:trPr>
        <w:tc>
          <w:tcPr>
            <w:tcW w:w="5000" w:type="pct"/>
            <w:gridSpan w:val="7"/>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注：本表反映部门本年度一般公共预算财政拨款和政府性基金预算财政拨款的总收支和年末结转结余情况。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5000" w:type="pct"/>
        <w:tblInd w:w="0" w:type="dxa"/>
        <w:shd w:val="clear" w:color="auto" w:fill="auto"/>
        <w:tblLayout w:type="fixed"/>
        <w:tblCellMar>
          <w:top w:w="0" w:type="dxa"/>
          <w:left w:w="108" w:type="dxa"/>
          <w:bottom w:w="0" w:type="dxa"/>
          <w:right w:w="108" w:type="dxa"/>
        </w:tblCellMar>
      </w:tblPr>
      <w:tblGrid>
        <w:gridCol w:w="449"/>
        <w:gridCol w:w="449"/>
        <w:gridCol w:w="450"/>
        <w:gridCol w:w="3387"/>
        <w:gridCol w:w="1798"/>
        <w:gridCol w:w="1684"/>
        <w:gridCol w:w="1773"/>
      </w:tblGrid>
      <w:tr>
        <w:tblPrEx>
          <w:shd w:val="clear" w:color="auto" w:fill="auto"/>
          <w:tblCellMar>
            <w:top w:w="0" w:type="dxa"/>
            <w:left w:w="108" w:type="dxa"/>
            <w:bottom w:w="0" w:type="dxa"/>
            <w:right w:w="108" w:type="dxa"/>
          </w:tblCellMar>
        </w:tblPrEx>
        <w:trPr>
          <w:trHeight w:val="540" w:hRule="atLeast"/>
        </w:trPr>
        <w:tc>
          <w:tcPr>
            <w:tcW w:w="5000" w:type="pct"/>
            <w:gridSpan w:val="7"/>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2"/>
                <w:szCs w:val="32"/>
                <w:u w:val="none"/>
                <w:lang w:val="en-US" w:eastAsia="zh-CN" w:bidi="ar"/>
              </w:rPr>
              <w:t>一般公共预算财政拨款支出决算表</w:t>
            </w:r>
          </w:p>
        </w:tc>
      </w:tr>
      <w:tr>
        <w:tblPrEx>
          <w:tblCellMar>
            <w:top w:w="0" w:type="dxa"/>
            <w:left w:w="108" w:type="dxa"/>
            <w:bottom w:w="0" w:type="dxa"/>
            <w:right w:w="108" w:type="dxa"/>
          </w:tblCellMar>
        </w:tblPrEx>
        <w:trPr>
          <w:trHeight w:val="255" w:hRule="atLeast"/>
        </w:trPr>
        <w:tc>
          <w:tcPr>
            <w:tcW w:w="5000" w:type="pct"/>
            <w:gridSpan w:val="7"/>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金额单位：元</w:t>
            </w:r>
          </w:p>
        </w:tc>
      </w:tr>
      <w:tr>
        <w:tblPrEx>
          <w:tblCellMar>
            <w:top w:w="0" w:type="dxa"/>
            <w:left w:w="108" w:type="dxa"/>
            <w:bottom w:w="0" w:type="dxa"/>
            <w:right w:w="108" w:type="dxa"/>
          </w:tblCellMar>
        </w:tblPrEx>
        <w:trPr>
          <w:trHeight w:val="255" w:hRule="atLeast"/>
        </w:trPr>
        <w:tc>
          <w:tcPr>
            <w:tcW w:w="5000" w:type="pct"/>
            <w:gridSpan w:val="7"/>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编制单位：兴国县妇幼保健和计划生育服务中心       2019年度                   公开05表 </w:t>
            </w:r>
          </w:p>
        </w:tc>
      </w:tr>
      <w:tr>
        <w:tblPrEx>
          <w:tblCellMar>
            <w:top w:w="0" w:type="dxa"/>
            <w:left w:w="108" w:type="dxa"/>
            <w:bottom w:w="0" w:type="dxa"/>
            <w:right w:w="108" w:type="dxa"/>
          </w:tblCellMar>
        </w:tblPrEx>
        <w:trPr>
          <w:trHeight w:val="308" w:hRule="atLeast"/>
        </w:trPr>
        <w:tc>
          <w:tcPr>
            <w:tcW w:w="2369"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899" w:type="pct"/>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842" w:type="pct"/>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887" w:type="pct"/>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shd w:val="clear" w:color="auto" w:fill="auto"/>
          <w:tblCellMar>
            <w:top w:w="0" w:type="dxa"/>
            <w:left w:w="108" w:type="dxa"/>
            <w:bottom w:w="0" w:type="dxa"/>
            <w:right w:w="108" w:type="dxa"/>
          </w:tblCellMar>
        </w:tblPrEx>
        <w:trPr>
          <w:trHeight w:val="308" w:hRule="atLeast"/>
        </w:trPr>
        <w:tc>
          <w:tcPr>
            <w:tcW w:w="674"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1695"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899"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42"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87"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74"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95"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99"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42"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87"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674"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95"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99"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42"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887"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308" w:hRule="atLeast"/>
        </w:trPr>
        <w:tc>
          <w:tcPr>
            <w:tcW w:w="224" w:type="pct"/>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224"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225"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695"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899"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4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87"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CellMar>
            <w:top w:w="0" w:type="dxa"/>
            <w:left w:w="108" w:type="dxa"/>
            <w:bottom w:w="0" w:type="dxa"/>
            <w:right w:w="108" w:type="dxa"/>
          </w:tblCellMar>
        </w:tblPrEx>
        <w:trPr>
          <w:trHeight w:val="308" w:hRule="atLeast"/>
        </w:trPr>
        <w:tc>
          <w:tcPr>
            <w:tcW w:w="224" w:type="pct"/>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24"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25"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95"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13,068,412.67</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6,345,066.98</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6,723,345.69</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行政事业单位离退休</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374,400.00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12,450,588.67</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5,727,242.98</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6,723,345.69</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公立医院</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2,337,549.00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2,337,549.00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2100201</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综合医院</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150,000.00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150,000.00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2100206</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妇产医院</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41,666.00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41,666.00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2100299</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其他公立医院支出</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2,145,883.00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2,145,883.00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基层医疗卫生机构</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2100399</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其他基层医疗卫生机构支出</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24,300.00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7,882,619.67</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1,159,273.98</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6,723,345.69</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2100403</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妇幼保健机构</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1,159,273.98</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1,159,273.98</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2100408</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基本公共卫生服务</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5,466,660.90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5,466,660.90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重大公共卫生专项</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1,256,684.79</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1,256,684.79</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计划生育事务</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1,677,720.00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1,677,720.00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2100717</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1,677,720.00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1,677,720.00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2101102</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事业单位医疗</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财政对基本医疗保险基金的补助</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2101201</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财政对职工基本医疗保险基金的补助</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264,200.00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674" w:type="pct"/>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695"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899"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84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243,424.00</w:t>
            </w:r>
          </w:p>
        </w:tc>
        <w:tc>
          <w:tcPr>
            <w:tcW w:w="887"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5000" w:type="pct"/>
            <w:gridSpan w:val="7"/>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注：本表反映部门本年度一般公共预算财政拨款支出情况。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5295" w:type="pct"/>
        <w:tblInd w:w="0" w:type="dxa"/>
        <w:shd w:val="clear" w:color="auto" w:fill="auto"/>
        <w:tblLayout w:type="fixed"/>
        <w:tblCellMar>
          <w:top w:w="0" w:type="dxa"/>
          <w:left w:w="108" w:type="dxa"/>
          <w:bottom w:w="0" w:type="dxa"/>
          <w:right w:w="108" w:type="dxa"/>
        </w:tblCellMar>
      </w:tblPr>
      <w:tblGrid>
        <w:gridCol w:w="834"/>
        <w:gridCol w:w="1292"/>
        <w:gridCol w:w="1606"/>
        <w:gridCol w:w="826"/>
        <w:gridCol w:w="987"/>
        <w:gridCol w:w="1538"/>
        <w:gridCol w:w="826"/>
        <w:gridCol w:w="1036"/>
        <w:gridCol w:w="1635"/>
      </w:tblGrid>
      <w:tr>
        <w:tblPrEx>
          <w:shd w:val="clear" w:color="auto" w:fill="auto"/>
          <w:tblCellMar>
            <w:top w:w="0" w:type="dxa"/>
            <w:left w:w="108" w:type="dxa"/>
            <w:bottom w:w="0" w:type="dxa"/>
            <w:right w:w="108" w:type="dxa"/>
          </w:tblCellMar>
        </w:tblPrEx>
        <w:trPr>
          <w:trHeight w:val="540" w:hRule="atLeast"/>
        </w:trPr>
        <w:tc>
          <w:tcPr>
            <w:tcW w:w="5000" w:type="pct"/>
            <w:gridSpan w:val="9"/>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2"/>
                <w:szCs w:val="32"/>
                <w:u w:val="none"/>
                <w:lang w:val="en-US" w:eastAsia="zh-CN" w:bidi="ar"/>
              </w:rPr>
              <w:t>一般公共预算财政拨款基本支出决算表</w:t>
            </w:r>
          </w:p>
        </w:tc>
      </w:tr>
      <w:tr>
        <w:tblPrEx>
          <w:tblCellMar>
            <w:top w:w="0" w:type="dxa"/>
            <w:left w:w="108" w:type="dxa"/>
            <w:bottom w:w="0" w:type="dxa"/>
            <w:right w:w="108" w:type="dxa"/>
          </w:tblCellMar>
        </w:tblPrEx>
        <w:trPr>
          <w:trHeight w:val="255" w:hRule="atLeast"/>
        </w:trPr>
        <w:tc>
          <w:tcPr>
            <w:tcW w:w="5000" w:type="pct"/>
            <w:gridSpan w:val="9"/>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金额单位：元</w:t>
            </w:r>
          </w:p>
        </w:tc>
      </w:tr>
      <w:tr>
        <w:tblPrEx>
          <w:shd w:val="clear" w:color="auto" w:fill="auto"/>
          <w:tblCellMar>
            <w:top w:w="0" w:type="dxa"/>
            <w:left w:w="108" w:type="dxa"/>
            <w:bottom w:w="0" w:type="dxa"/>
            <w:right w:w="108" w:type="dxa"/>
          </w:tblCellMar>
        </w:tblPrEx>
        <w:trPr>
          <w:trHeight w:val="255" w:hRule="atLeast"/>
        </w:trPr>
        <w:tc>
          <w:tcPr>
            <w:tcW w:w="5000" w:type="pct"/>
            <w:gridSpan w:val="9"/>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编制单位：兴国县妇幼保健和计划生育服务中心     2019年度    公开06表</w:t>
            </w:r>
          </w:p>
        </w:tc>
      </w:tr>
      <w:tr>
        <w:tblPrEx>
          <w:tblCellMar>
            <w:top w:w="0" w:type="dxa"/>
            <w:left w:w="108" w:type="dxa"/>
            <w:bottom w:w="0" w:type="dxa"/>
            <w:right w:w="108" w:type="dxa"/>
          </w:tblCellMar>
        </w:tblPrEx>
        <w:trPr>
          <w:trHeight w:val="308" w:hRule="atLeast"/>
        </w:trPr>
        <w:tc>
          <w:tcPr>
            <w:tcW w:w="1763"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3236" w:type="pct"/>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经济分类科目编码</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758"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p>
        </w:tc>
        <w:tc>
          <w:tcPr>
            <w:tcW w:w="39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经济分类科目编码</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726"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p>
        </w:tc>
        <w:tc>
          <w:tcPr>
            <w:tcW w:w="39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经济分类科目编码</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科目名称</w:t>
            </w:r>
          </w:p>
        </w:tc>
        <w:tc>
          <w:tcPr>
            <w:tcW w:w="77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w:t>
            </w:r>
          </w:p>
        </w:tc>
      </w:tr>
      <w:tr>
        <w:tblPrEx>
          <w:tblCellMar>
            <w:top w:w="0" w:type="dxa"/>
            <w:left w:w="108" w:type="dxa"/>
            <w:bottom w:w="0" w:type="dxa"/>
            <w:right w:w="108" w:type="dxa"/>
          </w:tblCellMar>
        </w:tblPrEx>
        <w:trPr>
          <w:trHeight w:val="1833"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301</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工资福利支出</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3,973,217.98</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302</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商品和服务支出</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2,371,849.00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307</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债务利息及费用支出</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30101</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基本工资</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2,826,993.98</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30201</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办公费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30701</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国内债务付息</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30102</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津贴补贴</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30202</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印刷费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30702</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国外债务付息</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30103</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奖金</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30203</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咨询费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30703</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国内债务发行费用</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30106</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伙食补助费</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30204</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手续费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30704</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国外债务发行费用</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30107</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绩效工资</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30205</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水费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310</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资本性支出</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30108</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机关事业单位基本养老保险缴费</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374,400.00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30206</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电费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31001</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房屋建筑物购建</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30109</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职业年金缴费</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30207</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邮电费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31002</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办公设备购置</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30110</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职工基本医疗保险缴费</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528,400.00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30208</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取暖费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31003</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专用设备购置</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30111</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公务员医疗补助缴款</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30209</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物业管理费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31005</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基础设施建设</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30112</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其他社会保障缴费</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30211</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差旅费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31006</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大型修缮</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30113</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住房公积金</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243,424.00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30212</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因公出国（境）费用</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31007</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信息网络及软件购置更新</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30114</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医疗费</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30213</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维修（护）费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31008</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物资储备</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30199</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其他工资福利支出</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30214</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租赁费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31009</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土地补偿</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303</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对个人和家庭的补助</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30215</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会议费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31010</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安置补助</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30301</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离休费</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30216</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培训费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310111</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地上附着物和青苗补偿</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30302</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退休费</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30217</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公务接待费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31012</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拆迁补偿</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30303</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退职（役）费</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30218</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专用材料费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2,361,849.00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31013</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公务用车购置</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30304</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抚恤金</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30224</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被装购置费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31019</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其他交通工具购置</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30305</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生活补贴</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30225</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专用燃料费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31021</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文物和陈列品购置</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30306</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救济费</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30226</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劳务费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31022</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无形资产购置</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30307</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医疗费补助</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30227</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委托业务费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31099</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其他资本性支出</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30308</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助学金</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30228</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工会经费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312</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对企业补助</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30309</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奖励金</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30229</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福利费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31201</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资本金注入</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30310</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个人农业生产补贴</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30231</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公务用车运行维护费</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31203</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政府投资基金股权投资</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30399</w:t>
            </w:r>
          </w:p>
        </w:tc>
        <w:tc>
          <w:tcPr>
            <w:tcW w:w="610"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其他对个人和家庭的补助支出</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30239</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其他交通费用</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31204</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费用补贴</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610"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75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30240</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税金及附加费用</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31205</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利息补贴</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610"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75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30299</w:t>
            </w:r>
          </w:p>
        </w:tc>
        <w:tc>
          <w:tcPr>
            <w:tcW w:w="466"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其他商品和服务支出</w:t>
            </w:r>
          </w:p>
        </w:tc>
        <w:tc>
          <w:tcPr>
            <w:tcW w:w="726"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31299</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其他对企业补助</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610"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75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90"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466"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72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399</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其他支出</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shd w:val="clear" w:color="auto" w:fill="auto"/>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610"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75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90"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466"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72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39906</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赠与</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610"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75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90"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466"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72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39907</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国家赔偿费用支出</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610"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75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90"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466"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72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39908</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对民间非营利组织和群众性自治组织补贴</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394" w:type="pct"/>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610"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758"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90" w:type="pct"/>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466" w:type="pct"/>
            <w:tcBorders>
              <w:top w:val="nil"/>
              <w:left w:val="nil"/>
              <w:bottom w:val="single" w:color="000000" w:sz="4" w:space="0"/>
              <w:right w:val="single" w:color="000000" w:sz="4" w:space="0"/>
            </w:tcBorders>
            <w:shd w:val="clear" w:color="FFFFFF" w:fill="C0C0C0"/>
            <w:vAlign w:val="center"/>
          </w:tcPr>
          <w:p>
            <w:pPr>
              <w:jc w:val="left"/>
              <w:rPr>
                <w:rFonts w:hint="eastAsia" w:ascii="宋体" w:hAnsi="宋体" w:eastAsia="宋体" w:cs="宋体"/>
                <w:i w:val="0"/>
                <w:iCs w:val="0"/>
                <w:color w:val="000000"/>
                <w:sz w:val="20"/>
                <w:szCs w:val="20"/>
                <w:u w:val="none"/>
              </w:rPr>
            </w:pPr>
          </w:p>
        </w:tc>
        <w:tc>
          <w:tcPr>
            <w:tcW w:w="726"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9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39999</w:t>
            </w:r>
          </w:p>
        </w:tc>
        <w:tc>
          <w:tcPr>
            <w:tcW w:w="489" w:type="pc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其他支出</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0.00</w:t>
            </w:r>
          </w:p>
        </w:tc>
      </w:tr>
      <w:tr>
        <w:tblPrEx>
          <w:tblCellMar>
            <w:top w:w="0" w:type="dxa"/>
            <w:left w:w="108" w:type="dxa"/>
            <w:bottom w:w="0" w:type="dxa"/>
            <w:right w:w="108" w:type="dxa"/>
          </w:tblCellMar>
        </w:tblPrEx>
        <w:trPr>
          <w:trHeight w:val="662" w:hRule="atLeast"/>
        </w:trPr>
        <w:tc>
          <w:tcPr>
            <w:tcW w:w="1004" w:type="pct"/>
            <w:gridSpan w:val="2"/>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人员经费合计</w:t>
            </w:r>
          </w:p>
        </w:tc>
        <w:tc>
          <w:tcPr>
            <w:tcW w:w="758"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3,973,217.98</w:t>
            </w:r>
          </w:p>
        </w:tc>
        <w:tc>
          <w:tcPr>
            <w:tcW w:w="2463" w:type="pct"/>
            <w:gridSpan w:val="5"/>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公用支出合计</w:t>
            </w:r>
          </w:p>
        </w:tc>
        <w:tc>
          <w:tcPr>
            <w:tcW w:w="772" w:type="pct"/>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2,371,849.00</w:t>
            </w:r>
          </w:p>
        </w:tc>
      </w:tr>
      <w:tr>
        <w:tblPrEx>
          <w:tblCellMar>
            <w:top w:w="0" w:type="dxa"/>
            <w:left w:w="108" w:type="dxa"/>
            <w:bottom w:w="0" w:type="dxa"/>
            <w:right w:w="108" w:type="dxa"/>
          </w:tblCellMar>
        </w:tblPrEx>
        <w:trPr>
          <w:trHeight w:val="308" w:hRule="atLeast"/>
        </w:trPr>
        <w:tc>
          <w:tcPr>
            <w:tcW w:w="5000" w:type="pct"/>
            <w:gridSpan w:val="9"/>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注：本表反映部门本年度一般公共预算财政拨款基本支出明细情况。</w:t>
            </w:r>
          </w:p>
        </w:tc>
      </w:tr>
    </w:tbl>
    <w:p>
      <w:pPr>
        <w:pStyle w:val="2"/>
        <w:numPr>
          <w:ilvl w:val="0"/>
          <w:numId w:val="0"/>
        </w:numPr>
        <w:jc w:val="both"/>
        <w:rPr>
          <w:rFonts w:hint="default" w:ascii="仿宋" w:hAnsi="仿宋" w:eastAsia="仿宋" w:cs="仿宋"/>
          <w:b/>
          <w:bCs/>
          <w:lang w:val="en-US" w:eastAsia="zh-CN"/>
        </w:rPr>
      </w:pPr>
    </w:p>
    <w:tbl>
      <w:tblPr>
        <w:tblStyle w:val="6"/>
        <w:tblW w:w="0" w:type="auto"/>
        <w:tblInd w:w="0" w:type="dxa"/>
        <w:shd w:val="clear" w:color="auto" w:fill="auto"/>
        <w:tblLayout w:type="autofit"/>
        <w:tblCellMar>
          <w:top w:w="0" w:type="dxa"/>
          <w:left w:w="108" w:type="dxa"/>
          <w:bottom w:w="0" w:type="dxa"/>
          <w:right w:w="108" w:type="dxa"/>
        </w:tblCellMar>
      </w:tblPr>
      <w:tblGrid>
        <w:gridCol w:w="5371"/>
        <w:gridCol w:w="1296"/>
        <w:gridCol w:w="1600"/>
        <w:gridCol w:w="1723"/>
      </w:tblGrid>
      <w:tr>
        <w:tblPrEx>
          <w:tblCellMar>
            <w:top w:w="0" w:type="dxa"/>
            <w:left w:w="108" w:type="dxa"/>
            <w:bottom w:w="0" w:type="dxa"/>
            <w:right w:w="108" w:type="dxa"/>
          </w:tblCellMar>
        </w:tblPrEx>
        <w:trPr>
          <w:trHeight w:val="540" w:hRule="atLeast"/>
        </w:trPr>
        <w:tc>
          <w:tcPr>
            <w:tcW w:w="0" w:type="auto"/>
            <w:gridSpan w:val="4"/>
            <w:tcBorders>
              <w:top w:val="nil"/>
              <w:left w:val="nil"/>
              <w:bottom w:val="nil"/>
              <w:right w:val="nil"/>
            </w:tcBorders>
            <w:shd w:val="clear" w:color="auto" w:fill="auto"/>
            <w:noWrap/>
            <w:vAlign w:val="bottom"/>
          </w:tcPr>
          <w:p>
            <w:pPr>
              <w:jc w:val="center"/>
              <w:rPr>
                <w:rFonts w:hint="default" w:ascii="Arial" w:hAnsi="Arial" w:cs="Arial"/>
                <w:i w:val="0"/>
                <w:iCs w:val="0"/>
                <w:color w:val="000000"/>
                <w:sz w:val="32"/>
                <w:szCs w:val="32"/>
                <w:u w:val="none"/>
              </w:rPr>
            </w:pPr>
            <w:r>
              <w:rPr>
                <w:rFonts w:hint="eastAsia" w:ascii="宋体" w:hAnsi="宋体" w:eastAsia="宋体" w:cs="宋体"/>
                <w:i w:val="0"/>
                <w:iCs w:val="0"/>
                <w:color w:val="000000"/>
                <w:kern w:val="0"/>
                <w:sz w:val="32"/>
                <w:szCs w:val="32"/>
                <w:u w:val="none"/>
                <w:lang w:val="en-US" w:eastAsia="zh-CN" w:bidi="ar"/>
              </w:rPr>
              <w:t>一般公共预算财政拨款“三公”经费支出决算表</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金额单位：元</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编制单位：兴国县妇幼保健和计划生育服务中心</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2019年度</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tblPrEx>
          <w:shd w:val="clear" w:color="auto" w:fill="auto"/>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年初预算数</w:t>
            </w:r>
          </w:p>
        </w:tc>
        <w:tc>
          <w:tcPr>
            <w:tcW w:w="0" w:type="auto"/>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一、“三公”经费支出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1.因公出国（境）费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2.公务用车购置及运行维护费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10,000.00</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（1）公务用车购置费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（2）公务用车运行维护费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10,000.00</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3.公务接待费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（1）国内接待费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（2）国（境）外接待费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二、相关统计数</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1.因公出国（境）团组数（个）</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2.因公出国（境）人次数（人）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3.公务用车购置数（辆）</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4.公务用车保有量（辆）</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5.国内公务接待批次（个）</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其中：外事接待批次（个）</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6.国内公务接待人次（人）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其中：外事接待人次（人）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7.国（境）外公务接待批次（个）</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8.国（境）外公务接待人次（人）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gridSpan w:val="4"/>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注：本表反映部门本年度“三公”经费支出预决算情况。其中：预算数为批复的年初预算数，不包含以前年度结转的资金；决算数是包括当年一般公共预算财政拨款和以前年度结转资金安排的实际支出。</w:t>
            </w:r>
          </w:p>
        </w:tc>
      </w:tr>
      <w:tr>
        <w:tblPrEx>
          <w:tblCellMar>
            <w:top w:w="0" w:type="dxa"/>
            <w:left w:w="108" w:type="dxa"/>
            <w:bottom w:w="0" w:type="dxa"/>
            <w:right w:w="108" w:type="dxa"/>
          </w:tblCellMar>
        </w:tblPrEx>
        <w:trPr>
          <w:trHeight w:val="523" w:hRule="atLeast"/>
        </w:trPr>
        <w:tc>
          <w:tcPr>
            <w:tcW w:w="0" w:type="auto"/>
            <w:gridSpan w:val="4"/>
            <w:vMerge w:val="continue"/>
            <w:tcBorders>
              <w:top w:val="nil"/>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2"/>
                <w:szCs w:val="22"/>
                <w:u w:val="none"/>
              </w:rPr>
            </w:pPr>
          </w:p>
        </w:tc>
      </w:tr>
    </w:tbl>
    <w:p>
      <w:pPr>
        <w:pStyle w:val="2"/>
        <w:numPr>
          <w:ilvl w:val="0"/>
          <w:numId w:val="0"/>
        </w:numPr>
        <w:jc w:val="both"/>
        <w:rPr>
          <w:rFonts w:hint="default" w:ascii="仿宋" w:hAnsi="仿宋" w:eastAsia="仿宋" w:cs="仿宋"/>
          <w:b/>
          <w:bCs/>
          <w:lang w:val="en-US" w:eastAsia="zh-CN"/>
        </w:rPr>
      </w:pPr>
    </w:p>
    <w:tbl>
      <w:tblPr>
        <w:tblStyle w:val="6"/>
        <w:tblW w:w="5000" w:type="pct"/>
        <w:tblInd w:w="0" w:type="dxa"/>
        <w:shd w:val="clear" w:color="auto" w:fill="auto"/>
        <w:tblLayout w:type="autofit"/>
        <w:tblCellMar>
          <w:top w:w="0" w:type="dxa"/>
          <w:left w:w="108" w:type="dxa"/>
          <w:bottom w:w="0" w:type="dxa"/>
          <w:right w:w="108" w:type="dxa"/>
        </w:tblCellMar>
      </w:tblPr>
      <w:tblGrid>
        <w:gridCol w:w="566"/>
        <w:gridCol w:w="436"/>
        <w:gridCol w:w="436"/>
        <w:gridCol w:w="1096"/>
        <w:gridCol w:w="1756"/>
        <w:gridCol w:w="1096"/>
        <w:gridCol w:w="656"/>
        <w:gridCol w:w="1096"/>
        <w:gridCol w:w="1096"/>
        <w:gridCol w:w="1756"/>
      </w:tblGrid>
      <w:tr>
        <w:tblPrEx>
          <w:shd w:val="clear" w:color="auto" w:fill="auto"/>
          <w:tblCellMar>
            <w:top w:w="0" w:type="dxa"/>
            <w:left w:w="108" w:type="dxa"/>
            <w:bottom w:w="0" w:type="dxa"/>
            <w:right w:w="108" w:type="dxa"/>
          </w:tblCellMar>
        </w:tblPrEx>
        <w:trPr>
          <w:trHeight w:val="540" w:hRule="atLeast"/>
        </w:trPr>
        <w:tc>
          <w:tcPr>
            <w:tcW w:w="5000" w:type="pct"/>
            <w:gridSpan w:val="10"/>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2"/>
                <w:szCs w:val="32"/>
                <w:u w:val="none"/>
                <w:lang w:val="en-US" w:eastAsia="zh-CN" w:bidi="ar"/>
              </w:rPr>
              <w:t>政府性基金预算财政拨款收入支出决算表</w:t>
            </w:r>
          </w:p>
        </w:tc>
      </w:tr>
      <w:tr>
        <w:tblPrEx>
          <w:shd w:val="clear" w:color="auto" w:fill="auto"/>
          <w:tblCellMar>
            <w:top w:w="0" w:type="dxa"/>
            <w:left w:w="108" w:type="dxa"/>
            <w:bottom w:w="0" w:type="dxa"/>
            <w:right w:w="108" w:type="dxa"/>
          </w:tblCellMar>
        </w:tblPrEx>
        <w:trPr>
          <w:trHeight w:val="255" w:hRule="atLeast"/>
        </w:trPr>
        <w:tc>
          <w:tcPr>
            <w:tcW w:w="5000" w:type="pct"/>
            <w:gridSpan w:val="10"/>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金额单位：元</w:t>
            </w:r>
          </w:p>
        </w:tc>
      </w:tr>
      <w:tr>
        <w:tblPrEx>
          <w:shd w:val="clear" w:color="auto" w:fill="auto"/>
          <w:tblCellMar>
            <w:top w:w="0" w:type="dxa"/>
            <w:left w:w="108" w:type="dxa"/>
            <w:bottom w:w="0" w:type="dxa"/>
            <w:right w:w="108" w:type="dxa"/>
          </w:tblCellMar>
        </w:tblPrEx>
        <w:trPr>
          <w:trHeight w:val="255" w:hRule="atLeast"/>
        </w:trPr>
        <w:tc>
          <w:tcPr>
            <w:tcW w:w="5000" w:type="pct"/>
            <w:gridSpan w:val="10"/>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编制单位：兴国县妇幼保健和计划生育服务中心     2019年度     公开08表</w:t>
            </w:r>
          </w:p>
        </w:tc>
      </w:tr>
      <w:tr>
        <w:tblPrEx>
          <w:shd w:val="clear" w:color="auto" w:fill="auto"/>
          <w:tblCellMar>
            <w:top w:w="0" w:type="dxa"/>
            <w:left w:w="108" w:type="dxa"/>
            <w:bottom w:w="0" w:type="dxa"/>
            <w:right w:w="108" w:type="dxa"/>
          </w:tblCellMar>
        </w:tblPrEx>
        <w:trPr>
          <w:trHeight w:val="308" w:hRule="atLeast"/>
        </w:trPr>
        <w:tc>
          <w:tcPr>
            <w:tcW w:w="2277"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622" w:type="pct"/>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405" w:type="pct"/>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1072" w:type="pct"/>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622" w:type="pct"/>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tblPrEx>
          <w:shd w:val="clear" w:color="auto" w:fill="auto"/>
          <w:tblCellMar>
            <w:top w:w="0" w:type="dxa"/>
            <w:left w:w="108" w:type="dxa"/>
            <w:bottom w:w="0" w:type="dxa"/>
            <w:right w:w="108" w:type="dxa"/>
          </w:tblCellMar>
        </w:tblPrEx>
        <w:trPr>
          <w:trHeight w:val="308" w:hRule="atLeast"/>
        </w:trPr>
        <w:tc>
          <w:tcPr>
            <w:tcW w:w="1871"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支出功能分类科目编码</w:t>
            </w:r>
          </w:p>
        </w:tc>
        <w:tc>
          <w:tcPr>
            <w:tcW w:w="405"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622"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05"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60"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405"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05"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622"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871"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05"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622"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05"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60"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05"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05"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622"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871" w:type="pct"/>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05"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622"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05"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60"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05"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05"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622" w:type="pct"/>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494" w:type="pct"/>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188"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188" w:type="pct"/>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405"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05"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60"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05"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05"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22"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shd w:val="clear" w:color="auto" w:fill="auto"/>
          <w:tblCellMar>
            <w:top w:w="0" w:type="dxa"/>
            <w:left w:w="108" w:type="dxa"/>
            <w:bottom w:w="0" w:type="dxa"/>
            <w:right w:w="108" w:type="dxa"/>
          </w:tblCellMar>
        </w:tblPrEx>
        <w:trPr>
          <w:trHeight w:val="308" w:hRule="atLeast"/>
        </w:trPr>
        <w:tc>
          <w:tcPr>
            <w:tcW w:w="1494" w:type="pct"/>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8"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8" w:type="pct"/>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871"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871"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871"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871"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871"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1871" w:type="pct"/>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260"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5"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622" w:type="pct"/>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308" w:hRule="atLeast"/>
        </w:trPr>
        <w:tc>
          <w:tcPr>
            <w:tcW w:w="5000" w:type="pct"/>
            <w:gridSpan w:val="10"/>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注：本表反映部门本年度政府性基金预算财政拨款收入、支出及结转和结余情况。</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tbl>
      <w:tblPr>
        <w:tblStyle w:val="6"/>
        <w:tblW w:w="8072" w:type="dxa"/>
        <w:tblInd w:w="93" w:type="dxa"/>
        <w:shd w:val="clear" w:color="auto" w:fill="auto"/>
        <w:tblLayout w:type="autofit"/>
        <w:tblCellMar>
          <w:top w:w="0" w:type="dxa"/>
          <w:left w:w="108" w:type="dxa"/>
          <w:bottom w:w="0" w:type="dxa"/>
          <w:right w:w="108" w:type="dxa"/>
        </w:tblCellMar>
      </w:tblPr>
      <w:tblGrid>
        <w:gridCol w:w="5141"/>
        <w:gridCol w:w="1084"/>
        <w:gridCol w:w="1847"/>
      </w:tblGrid>
      <w:tr>
        <w:tblPrEx>
          <w:tblCellMar>
            <w:top w:w="0" w:type="dxa"/>
            <w:left w:w="108" w:type="dxa"/>
            <w:bottom w:w="0" w:type="dxa"/>
            <w:right w:w="108" w:type="dxa"/>
          </w:tblCellMar>
        </w:tblPrEx>
        <w:trPr>
          <w:trHeight w:val="540" w:hRule="atLeast"/>
        </w:trPr>
        <w:tc>
          <w:tcPr>
            <w:tcW w:w="8072" w:type="dxa"/>
            <w:gridSpan w:val="3"/>
            <w:tcBorders>
              <w:top w:val="nil"/>
              <w:left w:val="nil"/>
              <w:bottom w:val="nil"/>
              <w:right w:val="nil"/>
            </w:tcBorders>
            <w:shd w:val="clear" w:color="auto" w:fill="auto"/>
            <w:noWrap/>
            <w:vAlign w:val="bottom"/>
          </w:tcPr>
          <w:p>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2"/>
                <w:szCs w:val="32"/>
                <w:u w:val="none"/>
                <w:lang w:val="en-US" w:eastAsia="zh-CN" w:bidi="ar"/>
              </w:rPr>
              <w:t>国有资产占用情况表</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单位：台、辆、套</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编制单位：兴国县妇幼保健和计划生育服务中心</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2019年度</w:t>
            </w: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  目</w:t>
            </w:r>
          </w:p>
        </w:tc>
        <w:tc>
          <w:tcPr>
            <w:tcW w:w="0" w:type="auto"/>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一、车辆数合计(台、辆)</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1.副部（省）级及以上领导用车</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2.主要领导干部用车</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3.机要通信用车</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4.应急保障用车</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5.执法执勤用车</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6.特种专业技术用车</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7.离退休干部用车</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8.其他用车</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二、单价50万元（含）以上通用设备（台，套）</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三、单价100万元（含）以上专用设备（台，套）</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r>
    </w:tbl>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0"/>
        </w:numPr>
        <w:jc w:val="both"/>
        <w:rPr>
          <w:rFonts w:hint="default" w:ascii="仿宋" w:hAnsi="仿宋" w:eastAsia="仿宋" w:cs="仿宋"/>
          <w:b/>
          <w:bCs/>
          <w:lang w:val="en-US" w:eastAsia="zh-CN"/>
        </w:rPr>
      </w:pPr>
    </w:p>
    <w:p>
      <w:pPr>
        <w:pStyle w:val="2"/>
        <w:numPr>
          <w:ilvl w:val="0"/>
          <w:numId w:val="1"/>
        </w:numPr>
        <w:ind w:left="0" w:leftChars="0" w:firstLine="0" w:firstLineChars="0"/>
        <w:jc w:val="center"/>
        <w:rPr>
          <w:rFonts w:hint="eastAsia" w:ascii="宋体" w:hAnsi="宋体" w:eastAsia="宋体" w:cs="宋体"/>
          <w:b/>
          <w:bCs/>
          <w:lang w:val="en-US" w:eastAsia="zh-CN"/>
        </w:rPr>
      </w:pPr>
      <w:r>
        <w:rPr>
          <w:rFonts w:hint="eastAsia" w:ascii="宋体" w:hAnsi="宋体" w:eastAsia="宋体" w:cs="宋体"/>
          <w:b/>
          <w:bCs/>
          <w:lang w:val="en-US" w:eastAsia="zh-CN"/>
        </w:rPr>
        <w:t>2019年度单位决算情况说明</w:t>
      </w:r>
    </w:p>
    <w:p>
      <w:pPr>
        <w:pStyle w:val="2"/>
        <w:numPr>
          <w:ilvl w:val="0"/>
          <w:numId w:val="0"/>
        </w:numPr>
        <w:ind w:leftChars="0"/>
        <w:jc w:val="both"/>
        <w:rPr>
          <w:rFonts w:hint="eastAsia" w:ascii="宋体" w:hAnsi="宋体" w:eastAsia="宋体" w:cs="宋体"/>
          <w:b/>
          <w:bCs/>
          <w:lang w:val="en-US" w:eastAsia="zh-CN"/>
        </w:rPr>
      </w:pPr>
    </w:p>
    <w:p>
      <w:pPr>
        <w:pStyle w:val="2"/>
        <w:numPr>
          <w:ilvl w:val="0"/>
          <w:numId w:val="4"/>
        </w:numPr>
        <w:ind w:leftChars="0"/>
        <w:jc w:val="both"/>
        <w:rPr>
          <w:rFonts w:hint="eastAsia" w:ascii="宋体" w:hAnsi="宋体" w:eastAsia="宋体" w:cs="宋体"/>
          <w:b/>
          <w:bCs/>
          <w:lang w:val="en-US" w:eastAsia="zh-CN"/>
        </w:rPr>
      </w:pPr>
      <w:r>
        <w:rPr>
          <w:rFonts w:hint="eastAsia" w:ascii="宋体" w:hAnsi="宋体" w:eastAsia="宋体" w:cs="宋体"/>
          <w:b/>
          <w:bCs/>
          <w:lang w:val="en-US" w:eastAsia="zh-CN"/>
        </w:rPr>
        <w:t>收入决算情况说明</w:t>
      </w:r>
    </w:p>
    <w:p>
      <w:pPr>
        <w:spacing w:line="360" w:lineRule="auto"/>
        <w:ind w:firstLineChars="200"/>
        <w:rPr>
          <w:rFonts w:hint="eastAsia" w:ascii="仿宋" w:hAnsi="仿宋" w:eastAsia="仿宋" w:cs="仿宋"/>
          <w:sz w:val="32"/>
          <w:szCs w:val="32"/>
        </w:rPr>
      </w:pPr>
      <w:r>
        <w:rPr>
          <w:rFonts w:hint="eastAsia" w:ascii="仿宋" w:hAnsi="仿宋" w:eastAsia="仿宋" w:cs="仿宋"/>
          <w:sz w:val="32"/>
          <w:szCs w:val="32"/>
        </w:rPr>
        <w:t>1、本单位2019年总收入</w:t>
      </w:r>
      <w:r>
        <w:rPr>
          <w:rFonts w:hint="eastAsia" w:ascii="仿宋" w:hAnsi="仿宋" w:eastAsia="仿宋" w:cs="仿宋"/>
          <w:sz w:val="32"/>
          <w:szCs w:val="32"/>
          <w:lang w:val="en-US" w:eastAsia="zh-CN"/>
        </w:rPr>
        <w:t>8870.82万</w:t>
      </w:r>
      <w:r>
        <w:rPr>
          <w:rFonts w:hint="eastAsia" w:ascii="仿宋" w:hAnsi="仿宋" w:eastAsia="仿宋" w:cs="仿宋"/>
          <w:sz w:val="32"/>
          <w:szCs w:val="32"/>
        </w:rPr>
        <w:t>元，</w:t>
      </w:r>
      <w:r>
        <w:rPr>
          <w:rFonts w:hint="eastAsia" w:ascii="仿宋" w:hAnsi="仿宋" w:eastAsia="仿宋" w:cs="仿宋"/>
          <w:sz w:val="32"/>
          <w:szCs w:val="32"/>
          <w:lang w:val="en-US" w:eastAsia="zh-CN"/>
        </w:rPr>
        <w:t>较2018年增加856.14万元，增长10.68%，</w:t>
      </w:r>
      <w:r>
        <w:rPr>
          <w:rFonts w:hint="eastAsia" w:ascii="仿宋" w:hAnsi="仿宋" w:eastAsia="仿宋" w:cs="仿宋"/>
          <w:sz w:val="32"/>
          <w:szCs w:val="32"/>
        </w:rPr>
        <w:t>其中财政拨款收入</w:t>
      </w:r>
      <w:r>
        <w:rPr>
          <w:rFonts w:hint="eastAsia" w:ascii="仿宋" w:hAnsi="仿宋" w:eastAsia="仿宋" w:cs="仿宋"/>
          <w:sz w:val="32"/>
          <w:szCs w:val="32"/>
          <w:lang w:val="en-US" w:eastAsia="zh-CN"/>
        </w:rPr>
        <w:t>2582.86万</w:t>
      </w:r>
      <w:r>
        <w:rPr>
          <w:rFonts w:hint="eastAsia" w:ascii="仿宋" w:hAnsi="仿宋" w:eastAsia="仿宋" w:cs="仿宋"/>
          <w:sz w:val="32"/>
          <w:szCs w:val="32"/>
        </w:rPr>
        <w:t>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较2018年增加1061.82万元，增长69.67%，主要原因是：本年度财政拨入本单位迁扩建项目资金1200万元。</w:t>
      </w:r>
    </w:p>
    <w:p>
      <w:pPr>
        <w:numPr>
          <w:ilvl w:val="0"/>
          <w:numId w:val="5"/>
        </w:numPr>
        <w:spacing w:line="360" w:lineRule="auto"/>
        <w:ind w:firstLineChars="200"/>
        <w:rPr>
          <w:rFonts w:hint="eastAsia" w:ascii="仿宋" w:hAnsi="仿宋" w:eastAsia="仿宋" w:cs="仿宋"/>
          <w:sz w:val="32"/>
          <w:szCs w:val="32"/>
        </w:rPr>
      </w:pPr>
      <w:r>
        <w:rPr>
          <w:rFonts w:hint="eastAsia" w:ascii="仿宋" w:hAnsi="仿宋" w:eastAsia="仿宋" w:cs="仿宋"/>
          <w:sz w:val="32"/>
          <w:szCs w:val="32"/>
        </w:rPr>
        <w:t>收入费用率82.10%。</w:t>
      </w:r>
    </w:p>
    <w:p>
      <w:pPr>
        <w:pStyle w:val="2"/>
        <w:numPr>
          <w:ilvl w:val="0"/>
          <w:numId w:val="4"/>
        </w:numPr>
        <w:ind w:leftChars="0"/>
        <w:jc w:val="both"/>
        <w:rPr>
          <w:rFonts w:hint="eastAsia" w:ascii="仿宋" w:hAnsi="仿宋" w:eastAsia="仿宋" w:cs="仿宋"/>
          <w:b w:val="0"/>
          <w:bCs w:val="0"/>
          <w:lang w:val="en-US" w:eastAsia="zh-CN"/>
        </w:rPr>
      </w:pPr>
      <w:r>
        <w:rPr>
          <w:rFonts w:hint="eastAsia" w:ascii="宋体" w:hAnsi="宋体" w:eastAsia="宋体" w:cs="宋体"/>
          <w:b/>
          <w:bCs/>
          <w:lang w:val="en-US" w:eastAsia="zh-CN"/>
        </w:rPr>
        <w:t>支出决算情况说明</w:t>
      </w:r>
    </w:p>
    <w:p>
      <w:pPr>
        <w:spacing w:line="360" w:lineRule="auto"/>
        <w:ind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、本单位2019年总费用</w:t>
      </w:r>
      <w:r>
        <w:rPr>
          <w:rFonts w:hint="eastAsia" w:ascii="仿宋" w:hAnsi="仿宋" w:eastAsia="仿宋" w:cs="仿宋"/>
          <w:sz w:val="32"/>
          <w:szCs w:val="32"/>
          <w:lang w:val="en-US" w:eastAsia="zh-CN"/>
        </w:rPr>
        <w:t>7282.63万</w:t>
      </w:r>
      <w:r>
        <w:rPr>
          <w:rFonts w:hint="eastAsia" w:ascii="仿宋" w:hAnsi="仿宋" w:eastAsia="仿宋" w:cs="仿宋"/>
          <w:sz w:val="32"/>
          <w:szCs w:val="32"/>
        </w:rPr>
        <w:t>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较2018年减少328.08万元，增长-4.31%。</w:t>
      </w:r>
    </w:p>
    <w:p>
      <w:pPr>
        <w:spacing w:line="360" w:lineRule="auto"/>
        <w:ind w:firstLineChars="200"/>
        <w:rPr>
          <w:rFonts w:hint="eastAsia" w:ascii="仿宋" w:hAnsi="仿宋" w:eastAsia="仿宋" w:cs="仿宋"/>
          <w:sz w:val="32"/>
          <w:szCs w:val="32"/>
        </w:rPr>
      </w:pPr>
      <w:r>
        <w:rPr>
          <w:rFonts w:hint="eastAsia" w:ascii="仿宋" w:hAnsi="仿宋" w:eastAsia="仿宋" w:cs="仿宋"/>
          <w:sz w:val="32"/>
          <w:szCs w:val="32"/>
        </w:rPr>
        <w:t>从单位活动类型来看，主要是业务活动费用</w:t>
      </w:r>
      <w:r>
        <w:rPr>
          <w:rFonts w:hint="eastAsia" w:ascii="仿宋" w:hAnsi="仿宋" w:eastAsia="仿宋" w:cs="仿宋"/>
          <w:sz w:val="32"/>
          <w:szCs w:val="32"/>
          <w:lang w:val="en-US" w:eastAsia="zh-CN"/>
        </w:rPr>
        <w:t>6388.99万</w:t>
      </w:r>
      <w:r>
        <w:rPr>
          <w:rFonts w:hint="eastAsia" w:ascii="仿宋" w:hAnsi="仿宋" w:eastAsia="仿宋" w:cs="仿宋"/>
          <w:sz w:val="32"/>
          <w:szCs w:val="32"/>
        </w:rPr>
        <w:t>元。</w:t>
      </w:r>
    </w:p>
    <w:p>
      <w:pPr>
        <w:pStyle w:val="2"/>
        <w:numPr>
          <w:ilvl w:val="0"/>
          <w:numId w:val="0"/>
        </w:numPr>
        <w:ind w:firstLine="640" w:firstLineChars="200"/>
        <w:jc w:val="both"/>
        <w:rPr>
          <w:rFonts w:hint="eastAsia" w:ascii="仿宋" w:hAnsi="仿宋" w:eastAsia="仿宋" w:cs="仿宋"/>
          <w:sz w:val="32"/>
          <w:szCs w:val="32"/>
          <w:lang w:eastAsia="zh-CN"/>
        </w:rPr>
      </w:pPr>
      <w:r>
        <w:rPr>
          <w:rFonts w:hint="eastAsia" w:ascii="仿宋" w:hAnsi="仿宋" w:eastAsia="仿宋" w:cs="仿宋"/>
          <w:sz w:val="32"/>
          <w:szCs w:val="32"/>
        </w:rPr>
        <w:t>从单位经济性质来看，主要是工资和福利费用</w:t>
      </w:r>
      <w:r>
        <w:rPr>
          <w:rFonts w:hint="eastAsia" w:ascii="仿宋" w:hAnsi="仿宋" w:eastAsia="仿宋" w:cs="仿宋"/>
          <w:sz w:val="32"/>
          <w:szCs w:val="32"/>
          <w:lang w:val="en-US" w:eastAsia="zh-CN"/>
        </w:rPr>
        <w:t>3241.94万</w:t>
      </w:r>
      <w:r>
        <w:rPr>
          <w:rFonts w:hint="eastAsia" w:ascii="仿宋" w:hAnsi="仿宋" w:eastAsia="仿宋" w:cs="仿宋"/>
          <w:sz w:val="32"/>
          <w:szCs w:val="32"/>
        </w:rPr>
        <w:t>元</w:t>
      </w:r>
      <w:r>
        <w:rPr>
          <w:rFonts w:hint="eastAsia" w:ascii="仿宋" w:hAnsi="仿宋" w:eastAsia="仿宋" w:cs="仿宋"/>
          <w:sz w:val="32"/>
          <w:szCs w:val="32"/>
          <w:lang w:eastAsia="zh-CN"/>
        </w:rPr>
        <w:t>。</w:t>
      </w:r>
    </w:p>
    <w:p>
      <w:pPr>
        <w:pStyle w:val="2"/>
        <w:numPr>
          <w:ilvl w:val="0"/>
          <w:numId w:val="4"/>
        </w:numPr>
        <w:ind w:left="0" w:leftChars="0" w:firstLine="0" w:firstLineChars="0"/>
        <w:jc w:val="both"/>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财政拨款支出决算情况说明</w:t>
      </w:r>
    </w:p>
    <w:p>
      <w:pPr>
        <w:ind w:firstLine="585"/>
        <w:jc w:val="left"/>
        <w:rPr>
          <w:rFonts w:hint="eastAsia" w:ascii="仿宋" w:hAnsi="仿宋" w:eastAsia="仿宋"/>
          <w:sz w:val="32"/>
          <w:szCs w:val="32"/>
          <w:lang w:eastAsia="zh-CN"/>
        </w:rPr>
      </w:pPr>
      <w:r>
        <w:rPr>
          <w:rFonts w:hint="eastAsia" w:ascii="仿宋" w:hAnsi="仿宋" w:eastAsia="仿宋"/>
          <w:sz w:val="32"/>
          <w:szCs w:val="32"/>
        </w:rPr>
        <w:t>本</w:t>
      </w:r>
      <w:r>
        <w:rPr>
          <w:rFonts w:hint="eastAsia" w:ascii="仿宋" w:hAnsi="仿宋" w:eastAsia="仿宋"/>
          <w:sz w:val="32"/>
          <w:szCs w:val="32"/>
          <w:lang w:val="en-US" w:eastAsia="zh-CN"/>
        </w:rPr>
        <w:t>单位</w:t>
      </w:r>
      <w:r>
        <w:rPr>
          <w:rFonts w:hint="eastAsia" w:ascii="仿宋" w:hAnsi="仿宋" w:eastAsia="仿宋"/>
          <w:sz w:val="32"/>
          <w:szCs w:val="32"/>
        </w:rPr>
        <w:t>2019年度财政拨款本年支出年初预算数为</w:t>
      </w:r>
      <w:r>
        <w:rPr>
          <w:rFonts w:hint="eastAsia" w:ascii="仿宋" w:hAnsi="仿宋" w:eastAsia="仿宋"/>
          <w:sz w:val="32"/>
          <w:szCs w:val="32"/>
          <w:lang w:val="en-US" w:eastAsia="zh-CN"/>
        </w:rPr>
        <w:t>613.63</w:t>
      </w:r>
      <w:r>
        <w:rPr>
          <w:rFonts w:hint="eastAsia" w:ascii="仿宋" w:hAnsi="仿宋" w:eastAsia="仿宋"/>
          <w:sz w:val="32"/>
          <w:szCs w:val="32"/>
        </w:rPr>
        <w:t>万元，决算数为</w:t>
      </w:r>
      <w:r>
        <w:rPr>
          <w:rFonts w:hint="eastAsia" w:ascii="仿宋" w:hAnsi="仿宋" w:eastAsia="仿宋"/>
          <w:sz w:val="32"/>
          <w:szCs w:val="32"/>
          <w:lang w:val="en-US" w:eastAsia="zh-CN"/>
        </w:rPr>
        <w:t>1306.84</w:t>
      </w:r>
      <w:r>
        <w:rPr>
          <w:rFonts w:hint="eastAsia" w:ascii="仿宋" w:hAnsi="仿宋" w:eastAsia="仿宋"/>
          <w:sz w:val="32"/>
          <w:szCs w:val="32"/>
        </w:rPr>
        <w:t>万元，完成年初预算的</w:t>
      </w:r>
      <w:r>
        <w:rPr>
          <w:rFonts w:hint="eastAsia" w:ascii="仿宋" w:hAnsi="仿宋" w:eastAsia="仿宋"/>
          <w:sz w:val="32"/>
          <w:szCs w:val="32"/>
          <w:lang w:val="en-US" w:eastAsia="zh-CN"/>
        </w:rPr>
        <w:t>212.97</w:t>
      </w:r>
      <w:r>
        <w:rPr>
          <w:rFonts w:hint="eastAsia" w:ascii="仿宋" w:hAnsi="仿宋" w:eastAsia="仿宋"/>
          <w:sz w:val="32"/>
          <w:szCs w:val="32"/>
        </w:rPr>
        <w:t>%。其中：一般公共服务支出年初预算数为</w:t>
      </w:r>
      <w:r>
        <w:rPr>
          <w:rFonts w:hint="eastAsia" w:ascii="仿宋" w:hAnsi="仿宋" w:eastAsia="仿宋"/>
          <w:sz w:val="32"/>
          <w:szCs w:val="32"/>
          <w:lang w:val="en-US" w:eastAsia="zh-CN"/>
        </w:rPr>
        <w:t>613.63</w:t>
      </w:r>
      <w:r>
        <w:rPr>
          <w:rFonts w:hint="eastAsia" w:ascii="仿宋" w:hAnsi="仿宋" w:eastAsia="仿宋"/>
          <w:sz w:val="32"/>
          <w:szCs w:val="32"/>
        </w:rPr>
        <w:t>万元，决算数为</w:t>
      </w:r>
      <w:r>
        <w:rPr>
          <w:rFonts w:hint="eastAsia" w:ascii="仿宋" w:hAnsi="仿宋" w:eastAsia="仿宋"/>
          <w:sz w:val="32"/>
          <w:szCs w:val="32"/>
          <w:lang w:val="en-US" w:eastAsia="zh-CN"/>
        </w:rPr>
        <w:t>1306.84</w:t>
      </w:r>
      <w:r>
        <w:rPr>
          <w:rFonts w:hint="eastAsia" w:ascii="仿宋" w:hAnsi="仿宋" w:eastAsia="仿宋"/>
          <w:sz w:val="32"/>
          <w:szCs w:val="32"/>
        </w:rPr>
        <w:t>万元，完成年初预算的</w:t>
      </w:r>
      <w:r>
        <w:rPr>
          <w:rFonts w:hint="eastAsia" w:ascii="仿宋" w:hAnsi="仿宋" w:eastAsia="仿宋"/>
          <w:sz w:val="32"/>
          <w:szCs w:val="32"/>
          <w:lang w:val="en-US" w:eastAsia="zh-CN"/>
        </w:rPr>
        <w:t>212.97</w:t>
      </w:r>
      <w:r>
        <w:rPr>
          <w:rFonts w:hint="eastAsia" w:ascii="仿宋" w:hAnsi="仿宋" w:eastAsia="仿宋"/>
          <w:sz w:val="32"/>
          <w:szCs w:val="32"/>
        </w:rPr>
        <w:t>%，主要原因是</w:t>
      </w:r>
      <w:r>
        <w:rPr>
          <w:rFonts w:hint="eastAsia" w:ascii="仿宋" w:hAnsi="仿宋" w:eastAsia="仿宋"/>
          <w:sz w:val="32"/>
          <w:szCs w:val="32"/>
          <w:lang w:eastAsia="zh-CN"/>
        </w:rPr>
        <w:t>：</w:t>
      </w:r>
      <w:r>
        <w:rPr>
          <w:rFonts w:hint="eastAsia" w:ascii="仿宋" w:hAnsi="仿宋" w:eastAsia="仿宋"/>
          <w:sz w:val="32"/>
          <w:szCs w:val="32"/>
        </w:rPr>
        <w:t>有上年财政拨款结转支出及国家项目资金支出</w:t>
      </w:r>
      <w:r>
        <w:rPr>
          <w:rFonts w:hint="eastAsia" w:ascii="仿宋" w:hAnsi="仿宋" w:eastAsia="仿宋"/>
          <w:sz w:val="32"/>
          <w:szCs w:val="32"/>
          <w:lang w:eastAsia="zh-CN"/>
        </w:rPr>
        <w:t>。</w:t>
      </w:r>
    </w:p>
    <w:p>
      <w:pPr>
        <w:pStyle w:val="2"/>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四、一般公共预算财政拨款基本支出决算情况说明</w:t>
      </w:r>
    </w:p>
    <w:p>
      <w:pPr>
        <w:ind w:firstLine="585"/>
        <w:jc w:val="left"/>
        <w:rPr>
          <w:rFonts w:hint="eastAsia" w:ascii="仿宋" w:hAnsi="仿宋" w:eastAsia="仿宋"/>
          <w:sz w:val="32"/>
          <w:szCs w:val="32"/>
        </w:rPr>
      </w:pPr>
      <w:r>
        <w:rPr>
          <w:rFonts w:hint="eastAsia" w:ascii="仿宋" w:hAnsi="仿宋" w:eastAsia="仿宋"/>
          <w:sz w:val="32"/>
          <w:szCs w:val="32"/>
        </w:rPr>
        <w:t>本</w:t>
      </w:r>
      <w:r>
        <w:rPr>
          <w:rFonts w:hint="eastAsia" w:ascii="仿宋" w:hAnsi="仿宋" w:eastAsia="仿宋"/>
          <w:sz w:val="32"/>
          <w:szCs w:val="32"/>
          <w:lang w:val="en-US" w:eastAsia="zh-CN"/>
        </w:rPr>
        <w:t>单位</w:t>
      </w:r>
      <w:r>
        <w:rPr>
          <w:rFonts w:hint="eastAsia" w:ascii="仿宋" w:hAnsi="仿宋" w:eastAsia="仿宋"/>
          <w:sz w:val="32"/>
          <w:szCs w:val="32"/>
        </w:rPr>
        <w:t>2019年度一般公共预算财政拨款基本支出</w:t>
      </w:r>
      <w:r>
        <w:rPr>
          <w:rFonts w:hint="eastAsia" w:ascii="仿宋" w:hAnsi="仿宋" w:eastAsia="仿宋"/>
          <w:sz w:val="32"/>
          <w:szCs w:val="32"/>
          <w:lang w:val="en-US" w:eastAsia="zh-CN"/>
        </w:rPr>
        <w:t>634.5</w:t>
      </w:r>
      <w:r>
        <w:rPr>
          <w:rFonts w:hint="eastAsia" w:ascii="仿宋" w:hAnsi="仿宋" w:eastAsia="仿宋"/>
          <w:sz w:val="32"/>
          <w:szCs w:val="32"/>
        </w:rPr>
        <w:t>万元，其中：</w:t>
      </w:r>
    </w:p>
    <w:p>
      <w:pPr>
        <w:ind w:firstLine="585"/>
        <w:jc w:val="left"/>
        <w:rPr>
          <w:rFonts w:hint="eastAsia" w:ascii="仿宋" w:hAnsi="仿宋" w:eastAsia="仿宋"/>
          <w:sz w:val="32"/>
          <w:szCs w:val="32"/>
          <w:lang w:eastAsia="zh-CN"/>
        </w:rPr>
      </w:pPr>
      <w:r>
        <w:rPr>
          <w:rFonts w:hint="eastAsia" w:ascii="仿宋" w:hAnsi="仿宋" w:eastAsia="仿宋"/>
          <w:sz w:val="32"/>
          <w:szCs w:val="32"/>
        </w:rPr>
        <w:t>（一）工资福利支出</w:t>
      </w:r>
      <w:r>
        <w:rPr>
          <w:rFonts w:hint="eastAsia" w:ascii="仿宋" w:hAnsi="仿宋" w:eastAsia="仿宋"/>
          <w:sz w:val="32"/>
          <w:szCs w:val="32"/>
          <w:lang w:val="en-US" w:eastAsia="zh-CN"/>
        </w:rPr>
        <w:t xml:space="preserve"> 397.32 </w:t>
      </w:r>
      <w:r>
        <w:rPr>
          <w:rFonts w:hint="eastAsia" w:ascii="仿宋" w:hAnsi="仿宋" w:eastAsia="仿宋"/>
          <w:sz w:val="32"/>
          <w:szCs w:val="32"/>
        </w:rPr>
        <w:t>万元，较2018年</w:t>
      </w:r>
      <w:r>
        <w:rPr>
          <w:rFonts w:hint="eastAsia" w:ascii="仿宋" w:hAnsi="仿宋" w:eastAsia="仿宋"/>
          <w:sz w:val="32"/>
          <w:szCs w:val="32"/>
          <w:lang w:val="en-US" w:eastAsia="zh-CN"/>
        </w:rPr>
        <w:t>减少354.66</w:t>
      </w:r>
      <w:r>
        <w:rPr>
          <w:rFonts w:hint="eastAsia" w:ascii="仿宋" w:hAnsi="仿宋" w:eastAsia="仿宋"/>
          <w:sz w:val="32"/>
          <w:szCs w:val="32"/>
        </w:rPr>
        <w:t>万元，增长</w:t>
      </w:r>
      <w:r>
        <w:rPr>
          <w:rFonts w:hint="eastAsia" w:ascii="仿宋" w:hAnsi="仿宋" w:eastAsia="仿宋"/>
          <w:sz w:val="32"/>
          <w:szCs w:val="32"/>
          <w:lang w:val="en-US" w:eastAsia="zh-CN"/>
        </w:rPr>
        <w:t xml:space="preserve">-47.16 </w:t>
      </w:r>
      <w:r>
        <w:rPr>
          <w:rFonts w:hint="eastAsia" w:ascii="仿宋" w:hAnsi="仿宋" w:eastAsia="仿宋"/>
          <w:sz w:val="32"/>
          <w:szCs w:val="32"/>
        </w:rPr>
        <w:t>%</w:t>
      </w:r>
      <w:r>
        <w:rPr>
          <w:rFonts w:hint="eastAsia" w:ascii="仿宋" w:hAnsi="仿宋" w:eastAsia="仿宋"/>
          <w:sz w:val="32"/>
          <w:szCs w:val="32"/>
          <w:lang w:eastAsia="zh-CN"/>
        </w:rPr>
        <w:t>。</w:t>
      </w:r>
    </w:p>
    <w:p>
      <w:pPr>
        <w:ind w:firstLine="585"/>
        <w:jc w:val="left"/>
        <w:rPr>
          <w:rFonts w:hint="eastAsia" w:ascii="仿宋" w:hAnsi="仿宋" w:eastAsia="仿宋"/>
          <w:sz w:val="32"/>
          <w:szCs w:val="32"/>
        </w:rPr>
      </w:pPr>
      <w:r>
        <w:rPr>
          <w:rFonts w:hint="eastAsia" w:ascii="仿宋" w:hAnsi="仿宋" w:eastAsia="仿宋"/>
          <w:sz w:val="32"/>
          <w:szCs w:val="32"/>
        </w:rPr>
        <w:t>（二）商品和服务支出</w:t>
      </w:r>
      <w:r>
        <w:rPr>
          <w:rFonts w:hint="eastAsia" w:ascii="仿宋" w:hAnsi="仿宋" w:eastAsia="仿宋"/>
          <w:sz w:val="32"/>
          <w:szCs w:val="32"/>
          <w:lang w:val="en-US" w:eastAsia="zh-CN"/>
        </w:rPr>
        <w:t xml:space="preserve">237.18 </w:t>
      </w:r>
      <w:r>
        <w:rPr>
          <w:rFonts w:hint="eastAsia" w:ascii="仿宋" w:hAnsi="仿宋" w:eastAsia="仿宋"/>
          <w:sz w:val="32"/>
          <w:szCs w:val="32"/>
        </w:rPr>
        <w:t>万元，较2018年增加</w:t>
      </w:r>
      <w:r>
        <w:rPr>
          <w:rFonts w:hint="eastAsia" w:ascii="仿宋" w:hAnsi="仿宋" w:eastAsia="仿宋"/>
          <w:sz w:val="32"/>
          <w:szCs w:val="32"/>
          <w:lang w:val="en-US" w:eastAsia="zh-CN"/>
        </w:rPr>
        <w:t>216.03</w:t>
      </w:r>
      <w:r>
        <w:rPr>
          <w:rFonts w:hint="eastAsia" w:ascii="仿宋" w:hAnsi="仿宋" w:eastAsia="仿宋"/>
          <w:sz w:val="32"/>
          <w:szCs w:val="32"/>
        </w:rPr>
        <w:t>万元，增长</w:t>
      </w:r>
      <w:r>
        <w:rPr>
          <w:rFonts w:hint="eastAsia" w:ascii="仿宋" w:hAnsi="仿宋" w:eastAsia="仿宋"/>
          <w:sz w:val="32"/>
          <w:szCs w:val="32"/>
          <w:lang w:val="en-US" w:eastAsia="zh-CN"/>
        </w:rPr>
        <w:t xml:space="preserve">1021.41 </w:t>
      </w:r>
      <w:r>
        <w:rPr>
          <w:rFonts w:hint="eastAsia" w:ascii="仿宋" w:hAnsi="仿宋" w:eastAsia="仿宋"/>
          <w:sz w:val="32"/>
          <w:szCs w:val="32"/>
        </w:rPr>
        <w:t>%，主要原因是：专用</w:t>
      </w:r>
      <w:r>
        <w:rPr>
          <w:rFonts w:ascii="仿宋" w:hAnsi="仿宋" w:eastAsia="仿宋"/>
          <w:sz w:val="32"/>
          <w:szCs w:val="32"/>
        </w:rPr>
        <w:t>材料费用</w:t>
      </w:r>
      <w:r>
        <w:rPr>
          <w:rFonts w:hint="eastAsia" w:ascii="仿宋" w:hAnsi="仿宋" w:eastAsia="仿宋"/>
          <w:sz w:val="32"/>
          <w:szCs w:val="32"/>
        </w:rPr>
        <w:t>增长。</w:t>
      </w:r>
    </w:p>
    <w:p>
      <w:pPr>
        <w:ind w:firstLine="585"/>
        <w:jc w:val="left"/>
        <w:rPr>
          <w:rFonts w:hint="eastAsia" w:ascii="仿宋" w:hAnsi="仿宋" w:eastAsia="仿宋"/>
          <w:sz w:val="32"/>
          <w:szCs w:val="32"/>
          <w:lang w:eastAsia="zh-CN"/>
        </w:rPr>
      </w:pPr>
      <w:r>
        <w:rPr>
          <w:rFonts w:hint="eastAsia" w:ascii="仿宋" w:hAnsi="仿宋" w:eastAsia="仿宋"/>
          <w:sz w:val="32"/>
          <w:szCs w:val="32"/>
        </w:rPr>
        <w:t>（三）对个人和家庭补助支出</w:t>
      </w:r>
      <w:r>
        <w:rPr>
          <w:rFonts w:hint="eastAsia" w:ascii="仿宋" w:hAnsi="仿宋" w:eastAsia="仿宋"/>
          <w:sz w:val="32"/>
          <w:szCs w:val="32"/>
          <w:lang w:val="en-US" w:eastAsia="zh-CN"/>
        </w:rPr>
        <w:t>0</w:t>
      </w:r>
      <w:r>
        <w:rPr>
          <w:rFonts w:hint="eastAsia" w:ascii="仿宋" w:hAnsi="仿宋" w:eastAsia="仿宋"/>
          <w:sz w:val="32"/>
          <w:szCs w:val="32"/>
        </w:rPr>
        <w:t>万元</w:t>
      </w:r>
      <w:r>
        <w:rPr>
          <w:rFonts w:hint="eastAsia" w:ascii="仿宋" w:hAnsi="仿宋" w:eastAsia="仿宋"/>
          <w:sz w:val="32"/>
          <w:szCs w:val="32"/>
          <w:lang w:eastAsia="zh-CN"/>
        </w:rPr>
        <w:t>。</w:t>
      </w:r>
    </w:p>
    <w:p>
      <w:pPr>
        <w:ind w:firstLine="585"/>
        <w:jc w:val="left"/>
        <w:rPr>
          <w:rFonts w:hint="eastAsia" w:ascii="仿宋" w:hAnsi="仿宋" w:eastAsia="仿宋"/>
          <w:sz w:val="32"/>
          <w:szCs w:val="32"/>
          <w:lang w:val="en-US" w:eastAsia="zh-CN"/>
        </w:rPr>
      </w:pPr>
      <w:r>
        <w:rPr>
          <w:rFonts w:hint="eastAsia" w:ascii="仿宋" w:hAnsi="仿宋" w:eastAsia="仿宋"/>
          <w:sz w:val="32"/>
          <w:szCs w:val="32"/>
        </w:rPr>
        <w:t>（四）资本性支出</w:t>
      </w:r>
      <w:r>
        <w:rPr>
          <w:rFonts w:hint="eastAsia" w:ascii="仿宋" w:hAnsi="仿宋" w:eastAsia="仿宋"/>
          <w:sz w:val="32"/>
          <w:szCs w:val="32"/>
          <w:lang w:val="en-US" w:eastAsia="zh-CN"/>
        </w:rPr>
        <w:t>0</w:t>
      </w:r>
      <w:r>
        <w:rPr>
          <w:rFonts w:hint="eastAsia" w:ascii="仿宋" w:hAnsi="仿宋" w:eastAsia="仿宋"/>
          <w:sz w:val="32"/>
          <w:szCs w:val="32"/>
        </w:rPr>
        <w:t>万元，较2018年减少</w:t>
      </w:r>
      <w:r>
        <w:rPr>
          <w:rFonts w:hint="eastAsia" w:ascii="仿宋" w:hAnsi="仿宋" w:eastAsia="仿宋"/>
          <w:sz w:val="32"/>
          <w:szCs w:val="32"/>
          <w:lang w:val="en-US" w:eastAsia="zh-CN"/>
        </w:rPr>
        <w:t>0</w:t>
      </w:r>
      <w:r>
        <w:rPr>
          <w:rFonts w:hint="eastAsia" w:ascii="仿宋" w:hAnsi="仿宋" w:eastAsia="仿宋"/>
          <w:sz w:val="32"/>
          <w:szCs w:val="32"/>
        </w:rPr>
        <w:t>万元</w:t>
      </w:r>
      <w:r>
        <w:rPr>
          <w:rFonts w:hint="eastAsia" w:ascii="仿宋" w:hAnsi="仿宋" w:eastAsia="仿宋"/>
          <w:sz w:val="32"/>
          <w:szCs w:val="32"/>
          <w:lang w:eastAsia="zh-CN"/>
        </w:rPr>
        <w:t>。</w:t>
      </w:r>
    </w:p>
    <w:p>
      <w:pPr>
        <w:ind w:firstLine="630"/>
        <w:jc w:val="left"/>
        <w:rPr>
          <w:rFonts w:hint="eastAsia" w:ascii="宋体" w:hAnsi="宋体" w:eastAsia="宋体" w:cs="宋体"/>
          <w:b/>
          <w:bCs/>
          <w:sz w:val="32"/>
          <w:szCs w:val="32"/>
        </w:rPr>
      </w:pPr>
      <w:r>
        <w:rPr>
          <w:rFonts w:hint="eastAsia" w:ascii="宋体" w:hAnsi="宋体" w:eastAsia="宋体" w:cs="宋体"/>
          <w:b/>
          <w:bCs/>
          <w:sz w:val="32"/>
          <w:szCs w:val="32"/>
        </w:rPr>
        <w:t>五、一般公共预算财政拨款“三公”经费支出决算情况说明</w:t>
      </w:r>
    </w:p>
    <w:p>
      <w:pPr>
        <w:ind w:firstLine="630"/>
        <w:jc w:val="left"/>
        <w:rPr>
          <w:rFonts w:hint="eastAsia" w:ascii="仿宋" w:hAnsi="仿宋" w:eastAsia="仿宋" w:cs="仿宋"/>
          <w:sz w:val="32"/>
          <w:szCs w:val="32"/>
        </w:rPr>
      </w:pPr>
      <w:r>
        <w:rPr>
          <w:rFonts w:hint="eastAsia" w:ascii="仿宋" w:hAnsi="仿宋" w:eastAsia="仿宋" w:cs="仿宋"/>
          <w:sz w:val="32"/>
          <w:szCs w:val="32"/>
        </w:rPr>
        <w:t>本</w:t>
      </w:r>
      <w:r>
        <w:rPr>
          <w:rFonts w:hint="eastAsia" w:ascii="仿宋" w:hAnsi="仿宋" w:eastAsia="仿宋" w:cs="仿宋"/>
          <w:sz w:val="32"/>
          <w:szCs w:val="32"/>
          <w:lang w:val="en-US" w:eastAsia="zh-CN"/>
        </w:rPr>
        <w:t>单位</w:t>
      </w:r>
      <w:r>
        <w:rPr>
          <w:rFonts w:hint="eastAsia" w:ascii="仿宋" w:hAnsi="仿宋" w:eastAsia="仿宋" w:cs="仿宋"/>
          <w:sz w:val="32"/>
          <w:szCs w:val="32"/>
        </w:rPr>
        <w:t>2019年度一般公共预算财政拨款“三公”经费支出年初预算数为</w:t>
      </w:r>
      <w:r>
        <w:rPr>
          <w:rFonts w:hint="eastAsia" w:ascii="仿宋" w:hAnsi="仿宋" w:eastAsia="仿宋" w:cs="仿宋"/>
          <w:sz w:val="32"/>
          <w:szCs w:val="32"/>
          <w:lang w:val="en-US" w:eastAsia="zh-CN"/>
        </w:rPr>
        <w:t>1</w:t>
      </w:r>
      <w:r>
        <w:rPr>
          <w:rFonts w:hint="eastAsia" w:ascii="仿宋" w:hAnsi="仿宋" w:eastAsia="仿宋" w:cs="仿宋"/>
          <w:sz w:val="32"/>
          <w:szCs w:val="32"/>
        </w:rPr>
        <w:t>万元，决算数为</w:t>
      </w:r>
      <w:r>
        <w:rPr>
          <w:rFonts w:hint="eastAsia" w:ascii="仿宋" w:hAnsi="仿宋" w:eastAsia="仿宋" w:cs="仿宋"/>
          <w:sz w:val="32"/>
          <w:szCs w:val="32"/>
          <w:lang w:val="en-US" w:eastAsia="zh-CN"/>
        </w:rPr>
        <w:t>1</w:t>
      </w:r>
      <w:r>
        <w:rPr>
          <w:rFonts w:hint="eastAsia" w:ascii="仿宋" w:hAnsi="仿宋" w:eastAsia="仿宋" w:cs="仿宋"/>
          <w:sz w:val="32"/>
          <w:szCs w:val="32"/>
        </w:rPr>
        <w:t>万元，完成预算的</w:t>
      </w:r>
      <w:r>
        <w:rPr>
          <w:rFonts w:hint="eastAsia" w:ascii="仿宋" w:hAnsi="仿宋" w:eastAsia="仿宋" w:cs="仿宋"/>
          <w:sz w:val="32"/>
          <w:szCs w:val="32"/>
          <w:lang w:val="en-US" w:eastAsia="zh-CN"/>
        </w:rPr>
        <w:t xml:space="preserve">100 </w:t>
      </w:r>
      <w:r>
        <w:rPr>
          <w:rFonts w:hint="eastAsia" w:ascii="仿宋" w:hAnsi="仿宋" w:eastAsia="仿宋" w:cs="仿宋"/>
          <w:sz w:val="32"/>
          <w:szCs w:val="32"/>
        </w:rPr>
        <w:t>%，其中：</w:t>
      </w:r>
    </w:p>
    <w:p>
      <w:pPr>
        <w:ind w:firstLine="630"/>
        <w:jc w:val="left"/>
        <w:rPr>
          <w:rFonts w:hint="eastAsia" w:ascii="仿宋" w:hAnsi="仿宋" w:eastAsia="仿宋" w:cs="仿宋"/>
          <w:sz w:val="32"/>
          <w:szCs w:val="32"/>
        </w:rPr>
      </w:pPr>
      <w:r>
        <w:rPr>
          <w:rFonts w:hint="eastAsia" w:ascii="仿宋" w:hAnsi="仿宋" w:eastAsia="仿宋" w:cs="仿宋"/>
          <w:sz w:val="32"/>
          <w:szCs w:val="32"/>
        </w:rPr>
        <w:t>（一）因公出国（境）支出年初预算数为0万元，决算数为0万元，完成预算的 %，决算数较201</w:t>
      </w:r>
      <w:r>
        <w:rPr>
          <w:rFonts w:hint="eastAsia" w:ascii="仿宋" w:hAnsi="仿宋" w:eastAsia="仿宋" w:cs="仿宋"/>
          <w:sz w:val="32"/>
          <w:szCs w:val="32"/>
          <w:lang w:val="en-US" w:eastAsia="zh-CN"/>
        </w:rPr>
        <w:t>8</w:t>
      </w:r>
      <w:r>
        <w:rPr>
          <w:rFonts w:hint="eastAsia" w:ascii="仿宋" w:hAnsi="仿宋" w:eastAsia="仿宋" w:cs="仿宋"/>
          <w:sz w:val="32"/>
          <w:szCs w:val="32"/>
        </w:rPr>
        <w:t>年增加（减少）0万元，增长（下降）0%。</w:t>
      </w:r>
    </w:p>
    <w:p>
      <w:pPr>
        <w:ind w:firstLine="630"/>
        <w:jc w:val="left"/>
        <w:rPr>
          <w:rFonts w:hint="eastAsia" w:ascii="仿宋" w:hAnsi="仿宋" w:eastAsia="仿宋" w:cs="仿宋"/>
          <w:sz w:val="32"/>
          <w:szCs w:val="32"/>
        </w:rPr>
      </w:pPr>
      <w:r>
        <w:rPr>
          <w:rFonts w:hint="eastAsia" w:ascii="仿宋" w:hAnsi="仿宋" w:eastAsia="仿宋" w:cs="仿宋"/>
          <w:sz w:val="32"/>
          <w:szCs w:val="32"/>
        </w:rPr>
        <w:t>（二）公务接待费支出年初预算数为</w:t>
      </w:r>
      <w:r>
        <w:rPr>
          <w:rFonts w:hint="eastAsia" w:ascii="仿宋" w:hAnsi="仿宋" w:eastAsia="仿宋" w:cs="仿宋"/>
          <w:sz w:val="32"/>
          <w:szCs w:val="32"/>
          <w:lang w:val="en-US" w:eastAsia="zh-CN"/>
        </w:rPr>
        <w:t>0</w:t>
      </w:r>
      <w:r>
        <w:rPr>
          <w:rFonts w:hint="eastAsia" w:ascii="仿宋" w:hAnsi="仿宋" w:eastAsia="仿宋" w:cs="仿宋"/>
          <w:sz w:val="32"/>
          <w:szCs w:val="32"/>
        </w:rPr>
        <w:t>万元，决算数为</w:t>
      </w:r>
      <w:r>
        <w:rPr>
          <w:rFonts w:hint="eastAsia" w:ascii="仿宋" w:hAnsi="仿宋" w:eastAsia="仿宋" w:cs="仿宋"/>
          <w:sz w:val="32"/>
          <w:szCs w:val="32"/>
          <w:lang w:val="en-US" w:eastAsia="zh-CN"/>
        </w:rPr>
        <w:t>0</w:t>
      </w:r>
      <w:r>
        <w:rPr>
          <w:rFonts w:hint="eastAsia" w:ascii="仿宋" w:hAnsi="仿宋" w:eastAsia="仿宋" w:cs="仿宋"/>
          <w:sz w:val="32"/>
          <w:szCs w:val="32"/>
        </w:rPr>
        <w:t>万元，完成预算的</w:t>
      </w:r>
      <w:r>
        <w:rPr>
          <w:rFonts w:hint="eastAsia" w:ascii="仿宋" w:hAnsi="仿宋" w:eastAsia="仿宋" w:cs="仿宋"/>
          <w:sz w:val="32"/>
          <w:szCs w:val="32"/>
          <w:lang w:val="en-US" w:eastAsia="zh-CN"/>
        </w:rPr>
        <w:t>0</w:t>
      </w:r>
      <w:r>
        <w:rPr>
          <w:rFonts w:hint="eastAsia" w:ascii="仿宋" w:hAnsi="仿宋" w:eastAsia="仿宋" w:cs="仿宋"/>
          <w:sz w:val="32"/>
          <w:szCs w:val="32"/>
        </w:rPr>
        <w:t>%，决算数较2018年</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增加</w:t>
      </w:r>
      <w:r>
        <w:rPr>
          <w:rFonts w:hint="eastAsia" w:ascii="仿宋" w:hAnsi="仿宋" w:eastAsia="仿宋" w:cs="仿宋"/>
          <w:sz w:val="32"/>
          <w:szCs w:val="32"/>
          <w:lang w:eastAsia="zh-CN"/>
        </w:rPr>
        <w:t>）</w:t>
      </w:r>
      <w:r>
        <w:rPr>
          <w:rFonts w:hint="eastAsia" w:ascii="仿宋" w:hAnsi="仿宋" w:eastAsia="仿宋" w:cs="仿宋"/>
          <w:sz w:val="32"/>
          <w:szCs w:val="32"/>
        </w:rPr>
        <w:t>减少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val="en-US" w:eastAsia="zh-CN"/>
        </w:rPr>
        <w:t>增长（下降）0</w:t>
      </w:r>
      <w:r>
        <w:rPr>
          <w:rFonts w:hint="eastAsia" w:ascii="仿宋" w:hAnsi="仿宋" w:eastAsia="仿宋" w:cs="仿宋"/>
          <w:sz w:val="32"/>
          <w:szCs w:val="32"/>
        </w:rPr>
        <w:t>%。下降原因：控制接待人数、标准、规模，减少开支。</w:t>
      </w:r>
    </w:p>
    <w:p>
      <w:pPr>
        <w:pStyle w:val="2"/>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（三）公务用车购置及运行维护费支出</w:t>
      </w:r>
      <w:r>
        <w:rPr>
          <w:rFonts w:hint="eastAsia" w:ascii="仿宋" w:hAnsi="仿宋" w:eastAsia="仿宋" w:cs="仿宋"/>
          <w:sz w:val="32"/>
          <w:szCs w:val="32"/>
          <w:lang w:val="en-US" w:eastAsia="zh-CN"/>
        </w:rPr>
        <w:t>1</w:t>
      </w:r>
      <w:r>
        <w:rPr>
          <w:rFonts w:hint="eastAsia" w:ascii="仿宋" w:hAnsi="仿宋" w:eastAsia="仿宋" w:cs="仿宋"/>
          <w:sz w:val="32"/>
          <w:szCs w:val="32"/>
        </w:rPr>
        <w:t>万元，其中公务用车购置年初预算数为0万元，决算数为0万元，完成预算的0%，决算数较2018年增加（减少）0万元，增长（下降）0%。公务用车运行维护费支出年初预算数为</w:t>
      </w:r>
      <w:r>
        <w:rPr>
          <w:rFonts w:hint="eastAsia" w:ascii="仿宋" w:hAnsi="仿宋" w:eastAsia="仿宋" w:cs="仿宋"/>
          <w:sz w:val="32"/>
          <w:szCs w:val="32"/>
          <w:lang w:val="en-US" w:eastAsia="zh-CN"/>
        </w:rPr>
        <w:t>1</w:t>
      </w:r>
      <w:r>
        <w:rPr>
          <w:rFonts w:hint="eastAsia" w:ascii="仿宋" w:hAnsi="仿宋" w:eastAsia="仿宋" w:cs="仿宋"/>
          <w:sz w:val="32"/>
          <w:szCs w:val="32"/>
        </w:rPr>
        <w:t>万元，决算数为</w:t>
      </w:r>
      <w:r>
        <w:rPr>
          <w:rFonts w:hint="eastAsia" w:ascii="仿宋" w:hAnsi="仿宋" w:eastAsia="仿宋" w:cs="仿宋"/>
          <w:sz w:val="32"/>
          <w:szCs w:val="32"/>
          <w:lang w:val="en-US" w:eastAsia="zh-CN"/>
        </w:rPr>
        <w:t>1</w:t>
      </w:r>
      <w:r>
        <w:rPr>
          <w:rFonts w:hint="eastAsia" w:ascii="仿宋" w:hAnsi="仿宋" w:eastAsia="仿宋" w:cs="仿宋"/>
          <w:sz w:val="32"/>
          <w:szCs w:val="32"/>
        </w:rPr>
        <w:t>万元，完成预算的100%</w:t>
      </w:r>
      <w:r>
        <w:rPr>
          <w:rFonts w:hint="eastAsia" w:ascii="仿宋" w:hAnsi="仿宋" w:eastAsia="仿宋" w:cs="仿宋"/>
          <w:sz w:val="32"/>
          <w:szCs w:val="32"/>
          <w:lang w:eastAsia="zh-CN"/>
        </w:rPr>
        <w:t>。</w:t>
      </w:r>
    </w:p>
    <w:p>
      <w:pPr>
        <w:ind w:firstLine="630"/>
        <w:jc w:val="left"/>
        <w:rPr>
          <w:rFonts w:hint="eastAsia" w:ascii="宋体" w:hAnsi="宋体" w:eastAsia="宋体" w:cs="宋体"/>
          <w:b/>
          <w:bCs/>
          <w:sz w:val="32"/>
          <w:szCs w:val="32"/>
        </w:rPr>
      </w:pPr>
      <w:r>
        <w:rPr>
          <w:rFonts w:hint="eastAsia" w:ascii="宋体" w:hAnsi="宋体" w:eastAsia="宋体" w:cs="宋体"/>
          <w:b/>
          <w:bCs/>
          <w:sz w:val="32"/>
          <w:szCs w:val="32"/>
        </w:rPr>
        <w:t>六、机关运行经费支出情况说明</w:t>
      </w:r>
    </w:p>
    <w:p>
      <w:pPr>
        <w:ind w:firstLine="630"/>
        <w:jc w:val="left"/>
        <w:rPr>
          <w:rFonts w:hint="eastAsia" w:ascii="仿宋" w:hAnsi="仿宋" w:eastAsia="仿宋"/>
          <w:sz w:val="32"/>
          <w:szCs w:val="32"/>
        </w:rPr>
      </w:pPr>
      <w:r>
        <w:rPr>
          <w:rFonts w:hint="eastAsia" w:ascii="仿宋" w:hAnsi="仿宋" w:eastAsia="仿宋"/>
          <w:sz w:val="32"/>
          <w:szCs w:val="32"/>
        </w:rPr>
        <w:t>本</w:t>
      </w:r>
      <w:r>
        <w:rPr>
          <w:rFonts w:hint="eastAsia" w:ascii="仿宋" w:hAnsi="仿宋" w:eastAsia="仿宋"/>
          <w:sz w:val="32"/>
          <w:szCs w:val="32"/>
          <w:lang w:val="en-US" w:eastAsia="zh-CN"/>
        </w:rPr>
        <w:t>单位</w:t>
      </w:r>
      <w:r>
        <w:rPr>
          <w:rFonts w:hint="eastAsia" w:ascii="仿宋" w:hAnsi="仿宋" w:eastAsia="仿宋"/>
          <w:sz w:val="32"/>
          <w:szCs w:val="32"/>
        </w:rPr>
        <w:t>2019年度机关运行经费支出</w:t>
      </w:r>
      <w:r>
        <w:rPr>
          <w:rFonts w:hint="eastAsia" w:ascii="仿宋" w:hAnsi="仿宋" w:eastAsia="仿宋"/>
          <w:sz w:val="32"/>
          <w:szCs w:val="32"/>
          <w:lang w:val="en-US" w:eastAsia="zh-CN"/>
        </w:rPr>
        <w:t>0</w:t>
      </w:r>
      <w:r>
        <w:rPr>
          <w:rFonts w:hint="eastAsia" w:ascii="仿宋" w:hAnsi="仿宋" w:eastAsia="仿宋"/>
          <w:sz w:val="32"/>
          <w:szCs w:val="32"/>
        </w:rPr>
        <w:t xml:space="preserve">万元（与部门决算中行政单位和参照公务员法管理事业单位一般公共预算财政拨款基本支出中公用经费之和保持一致）。 </w:t>
      </w:r>
    </w:p>
    <w:p>
      <w:pPr>
        <w:ind w:firstLine="630"/>
        <w:jc w:val="left"/>
        <w:rPr>
          <w:rFonts w:hint="eastAsia" w:ascii="宋体" w:hAnsi="宋体" w:eastAsia="宋体" w:cs="宋体"/>
          <w:b/>
          <w:bCs/>
          <w:sz w:val="32"/>
          <w:szCs w:val="32"/>
        </w:rPr>
      </w:pPr>
      <w:r>
        <w:rPr>
          <w:rFonts w:hint="eastAsia" w:ascii="宋体" w:hAnsi="宋体" w:eastAsia="宋体" w:cs="宋体"/>
          <w:b/>
          <w:bCs/>
          <w:sz w:val="32"/>
          <w:szCs w:val="32"/>
        </w:rPr>
        <w:t>七、政府采购支出情况说明</w:t>
      </w:r>
    </w:p>
    <w:p>
      <w:pPr>
        <w:pStyle w:val="8"/>
        <w:spacing w:line="600" w:lineRule="atLeast"/>
        <w:ind w:left="298" w:leftChars="142" w:firstLine="592" w:firstLineChars="185"/>
        <w:rPr>
          <w:rFonts w:hint="eastAsia" w:ascii="仿宋" w:hAnsi="仿宋" w:eastAsia="仿宋" w:cs="仿宋"/>
          <w:sz w:val="32"/>
          <w:szCs w:val="32"/>
        </w:rPr>
      </w:pPr>
      <w:r>
        <w:rPr>
          <w:rFonts w:hint="eastAsia" w:ascii="仿宋" w:hAnsi="仿宋" w:eastAsia="仿宋" w:cs="仿宋"/>
          <w:sz w:val="32"/>
          <w:szCs w:val="32"/>
        </w:rPr>
        <w:t>本</w:t>
      </w:r>
      <w:r>
        <w:rPr>
          <w:rFonts w:hint="eastAsia" w:ascii="仿宋" w:hAnsi="仿宋" w:eastAsia="仿宋" w:cs="仿宋"/>
          <w:sz w:val="32"/>
          <w:szCs w:val="32"/>
          <w:lang w:val="en-US" w:eastAsia="zh-CN"/>
        </w:rPr>
        <w:t>单位</w:t>
      </w:r>
      <w:r>
        <w:rPr>
          <w:rFonts w:hint="eastAsia" w:ascii="仿宋" w:hAnsi="仿宋" w:eastAsia="仿宋" w:cs="仿宋"/>
          <w:sz w:val="32"/>
          <w:szCs w:val="32"/>
        </w:rPr>
        <w:t>2019年度政府采购支出总额</w:t>
      </w:r>
      <w:r>
        <w:rPr>
          <w:rFonts w:hint="eastAsia" w:ascii="仿宋" w:hAnsi="仿宋" w:eastAsia="仿宋" w:cs="仿宋"/>
          <w:sz w:val="32"/>
          <w:szCs w:val="32"/>
          <w:lang w:val="en-US" w:eastAsia="zh-CN"/>
        </w:rPr>
        <w:t>1141.84</w:t>
      </w:r>
      <w:r>
        <w:rPr>
          <w:rFonts w:hint="eastAsia" w:ascii="仿宋" w:hAnsi="仿宋" w:eastAsia="仿宋" w:cs="仿宋"/>
          <w:sz w:val="32"/>
          <w:szCs w:val="32"/>
        </w:rPr>
        <w:t>万元，其中：政府采购货物支出</w:t>
      </w:r>
      <w:r>
        <w:rPr>
          <w:rFonts w:hint="eastAsia" w:ascii="仿宋" w:hAnsi="仿宋" w:eastAsia="仿宋" w:cs="仿宋"/>
          <w:sz w:val="32"/>
          <w:szCs w:val="32"/>
          <w:lang w:val="en-US" w:eastAsia="zh-CN"/>
        </w:rPr>
        <w:t>1141.84</w:t>
      </w:r>
      <w:r>
        <w:rPr>
          <w:rFonts w:hint="eastAsia" w:ascii="仿宋" w:hAnsi="仿宋" w:eastAsia="仿宋" w:cs="仿宋"/>
          <w:sz w:val="32"/>
          <w:szCs w:val="32"/>
        </w:rPr>
        <w:t>万元。（省级部门公开的政府采购金额的计算口径为：本</w:t>
      </w:r>
      <w:r>
        <w:rPr>
          <w:rFonts w:hint="eastAsia" w:ascii="仿宋" w:hAnsi="仿宋" w:eastAsia="仿宋" w:cs="仿宋"/>
          <w:sz w:val="32"/>
          <w:szCs w:val="32"/>
          <w:lang w:val="en-US" w:eastAsia="zh-CN"/>
        </w:rPr>
        <w:t>单位</w:t>
      </w:r>
      <w:r>
        <w:rPr>
          <w:rFonts w:hint="eastAsia" w:ascii="仿宋" w:hAnsi="仿宋" w:eastAsia="仿宋" w:cs="仿宋"/>
          <w:sz w:val="32"/>
          <w:szCs w:val="32"/>
        </w:rPr>
        <w:t>纳入2019年部门预算范围的各项政府采购支出金额之和，并做好与2019年度政府采购信息统计报表中“政府采购资金情况表”有关数据的衔接。）</w:t>
      </w:r>
      <w:bookmarkStart w:id="0" w:name="_GoBack"/>
      <w:bookmarkEnd w:id="0"/>
    </w:p>
    <w:p>
      <w:pPr>
        <w:ind w:firstLine="630"/>
        <w:jc w:val="left"/>
        <w:rPr>
          <w:rFonts w:hint="eastAsia" w:ascii="宋体" w:hAnsi="宋体" w:eastAsia="宋体" w:cs="宋体"/>
          <w:b/>
          <w:bCs/>
          <w:sz w:val="32"/>
          <w:szCs w:val="32"/>
        </w:rPr>
      </w:pPr>
      <w:r>
        <w:rPr>
          <w:rFonts w:hint="eastAsia" w:ascii="宋体" w:hAnsi="宋体" w:eastAsia="宋体" w:cs="宋体"/>
          <w:b/>
          <w:bCs/>
          <w:sz w:val="32"/>
          <w:szCs w:val="32"/>
        </w:rPr>
        <w:t>八、国有资产占用情况说明。</w:t>
      </w:r>
    </w:p>
    <w:p>
      <w:pPr>
        <w:ind w:firstLine="630"/>
        <w:jc w:val="left"/>
        <w:rPr>
          <w:rFonts w:hint="eastAsia" w:ascii="仿宋" w:hAnsi="仿宋" w:eastAsia="仿宋" w:cs="仿宋"/>
          <w:kern w:val="0"/>
          <w:sz w:val="32"/>
          <w:szCs w:val="32"/>
        </w:rPr>
      </w:pPr>
      <w:r>
        <w:rPr>
          <w:rFonts w:hint="eastAsia" w:ascii="仿宋" w:hAnsi="仿宋" w:eastAsia="仿宋" w:cs="仿宋"/>
          <w:kern w:val="0"/>
          <w:sz w:val="32"/>
          <w:szCs w:val="32"/>
        </w:rPr>
        <w:t>截止2019年12月31日，本</w:t>
      </w:r>
      <w:r>
        <w:rPr>
          <w:rFonts w:hint="eastAsia" w:ascii="仿宋" w:hAnsi="仿宋" w:eastAsia="仿宋" w:cs="仿宋"/>
          <w:kern w:val="0"/>
          <w:sz w:val="32"/>
          <w:szCs w:val="32"/>
          <w:lang w:val="en-US" w:eastAsia="zh-CN"/>
        </w:rPr>
        <w:t>单位</w:t>
      </w:r>
      <w:r>
        <w:rPr>
          <w:rFonts w:hint="eastAsia" w:ascii="仿宋" w:hAnsi="仿宋" w:eastAsia="仿宋" w:cs="仿宋"/>
          <w:kern w:val="0"/>
          <w:sz w:val="32"/>
          <w:szCs w:val="32"/>
        </w:rPr>
        <w:t>共有车辆</w:t>
      </w: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辆，其中，副部（省）级及以上领导用车0辆、主要领导干部用车</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辆、机要通信用车0辆、应急保障用车0辆、执法执勤用车</w:t>
      </w:r>
      <w:r>
        <w:rPr>
          <w:rFonts w:hint="eastAsia" w:ascii="仿宋" w:hAnsi="仿宋" w:eastAsia="仿宋" w:cs="仿宋"/>
          <w:kern w:val="0"/>
          <w:sz w:val="32"/>
          <w:szCs w:val="32"/>
          <w:lang w:val="en-US" w:eastAsia="zh-CN"/>
        </w:rPr>
        <w:t>0</w:t>
      </w:r>
      <w:r>
        <w:rPr>
          <w:rFonts w:hint="eastAsia" w:ascii="仿宋" w:hAnsi="仿宋" w:eastAsia="仿宋" w:cs="仿宋"/>
          <w:kern w:val="0"/>
          <w:sz w:val="32"/>
          <w:szCs w:val="32"/>
        </w:rPr>
        <w:t>辆、特种专业技术用车</w:t>
      </w: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辆、其他用车 0辆，其他用车主要是小型轿车；单位价值50万元以上通用设备</w:t>
      </w:r>
      <w:r>
        <w:rPr>
          <w:rFonts w:hint="eastAsia" w:ascii="仿宋" w:hAnsi="仿宋" w:eastAsia="仿宋" w:cs="仿宋"/>
          <w:kern w:val="0"/>
          <w:sz w:val="32"/>
          <w:szCs w:val="32"/>
          <w:lang w:val="en-US" w:eastAsia="zh-CN"/>
        </w:rPr>
        <w:t>15</w:t>
      </w:r>
      <w:r>
        <w:rPr>
          <w:rFonts w:hint="eastAsia" w:ascii="仿宋" w:hAnsi="仿宋" w:eastAsia="仿宋" w:cs="仿宋"/>
          <w:kern w:val="0"/>
          <w:sz w:val="32"/>
          <w:szCs w:val="32"/>
        </w:rPr>
        <w:t>台（套）；单位价值100万元以上专用设备</w:t>
      </w: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台（套）。</w:t>
      </w:r>
    </w:p>
    <w:p>
      <w:pPr>
        <w:pStyle w:val="2"/>
        <w:numPr>
          <w:ilvl w:val="0"/>
          <w:numId w:val="0"/>
        </w:numPr>
        <w:ind w:leftChars="0"/>
        <w:jc w:val="both"/>
        <w:rPr>
          <w:rFonts w:hint="eastAsia" w:ascii="仿宋" w:hAnsi="仿宋" w:eastAsia="仿宋" w:cs="仿宋"/>
          <w:b/>
          <w:bCs/>
          <w:sz w:val="32"/>
          <w:szCs w:val="32"/>
          <w:lang w:val="en-US" w:eastAsia="zh-CN"/>
        </w:rPr>
      </w:pPr>
    </w:p>
    <w:p>
      <w:pPr>
        <w:widowControl/>
        <w:numPr>
          <w:ilvl w:val="0"/>
          <w:numId w:val="1"/>
        </w:numPr>
        <w:spacing w:line="600" w:lineRule="exact"/>
        <w:ind w:left="0" w:leftChars="0" w:firstLine="0" w:firstLineChars="0"/>
        <w:jc w:val="center"/>
        <w:rPr>
          <w:rFonts w:hint="eastAsia" w:ascii="宋体" w:hAnsi="宋体"/>
          <w:b/>
          <w:sz w:val="32"/>
          <w:szCs w:val="32"/>
        </w:rPr>
      </w:pPr>
      <w:r>
        <w:rPr>
          <w:rFonts w:hint="eastAsia" w:ascii="宋体" w:hAnsi="宋体"/>
          <w:b/>
          <w:sz w:val="32"/>
          <w:szCs w:val="32"/>
        </w:rPr>
        <w:t xml:space="preserve"> 名词解释</w:t>
      </w:r>
    </w:p>
    <w:p>
      <w:pPr>
        <w:pStyle w:val="2"/>
        <w:numPr>
          <w:ilvl w:val="0"/>
          <w:numId w:val="0"/>
        </w:numPr>
        <w:ind w:leftChars="0"/>
        <w:rPr>
          <w:rFonts w:hint="eastAsia"/>
        </w:rPr>
      </w:pPr>
    </w:p>
    <w:p>
      <w:pPr>
        <w:widowControl/>
        <w:spacing w:line="580" w:lineRule="exact"/>
        <w:ind w:firstLine="585"/>
        <w:jc w:val="left"/>
        <w:rPr>
          <w:rFonts w:hint="eastAsia" w:ascii="仿宋" w:hAnsi="仿宋" w:eastAsia="仿宋"/>
          <w:kern w:val="0"/>
          <w:sz w:val="32"/>
          <w:szCs w:val="32"/>
        </w:rPr>
      </w:pPr>
      <w:r>
        <w:rPr>
          <w:rFonts w:hint="eastAsia" w:ascii="仿宋" w:hAnsi="仿宋" w:eastAsia="仿宋"/>
          <w:kern w:val="0"/>
          <w:sz w:val="32"/>
          <w:szCs w:val="32"/>
        </w:rPr>
        <w:t>名词解释应以财务会计制度、政府收支分类科目以及部门预算管理等规定为基本说明，可在此基础上结合部门实际情况适当细化。“三公”经费支出和机关运行经费支出口径必需予以说明。</w:t>
      </w:r>
    </w:p>
    <w:p>
      <w:pPr>
        <w:widowControl/>
        <w:numPr>
          <w:ilvl w:val="0"/>
          <w:numId w:val="6"/>
        </w:numPr>
        <w:spacing w:line="580" w:lineRule="exact"/>
        <w:ind w:left="1185" w:leftChars="0" w:firstLineChars="0"/>
        <w:jc w:val="left"/>
        <w:rPr>
          <w:rFonts w:hint="eastAsia" w:ascii="仿宋" w:hAnsi="仿宋" w:eastAsia="仿宋"/>
          <w:kern w:val="0"/>
          <w:sz w:val="32"/>
          <w:szCs w:val="32"/>
        </w:rPr>
      </w:pPr>
      <w:r>
        <w:rPr>
          <w:rFonts w:hint="eastAsia" w:ascii="仿宋" w:hAnsi="仿宋" w:eastAsia="仿宋"/>
          <w:kern w:val="0"/>
          <w:sz w:val="32"/>
          <w:szCs w:val="32"/>
        </w:rPr>
        <w:t>三公经费支出包含因公出国费、公务用车购置及运行费用、公务接待费，公开决算中的三公经费开支仅指财政拨款支出数。</w:t>
      </w:r>
    </w:p>
    <w:p>
      <w:pPr>
        <w:widowControl/>
        <w:numPr>
          <w:ilvl w:val="0"/>
          <w:numId w:val="6"/>
        </w:numPr>
        <w:spacing w:line="580" w:lineRule="exact"/>
        <w:ind w:left="1185" w:leftChars="0" w:firstLineChars="0"/>
        <w:jc w:val="left"/>
        <w:rPr>
          <w:rFonts w:ascii="仿宋" w:hAnsi="仿宋" w:eastAsia="仿宋"/>
          <w:sz w:val="32"/>
          <w:szCs w:val="32"/>
        </w:rPr>
      </w:pPr>
      <w:r>
        <w:rPr>
          <w:rFonts w:hint="eastAsia" w:ascii="仿宋" w:hAnsi="仿宋" w:eastAsia="仿宋"/>
          <w:kern w:val="0"/>
          <w:sz w:val="32"/>
          <w:szCs w:val="32"/>
        </w:rPr>
        <w:t>机关运行经费支出包括办公经费、水费、电费、差旅费等日常</w:t>
      </w:r>
      <w:r>
        <w:rPr>
          <w:rFonts w:hint="eastAsia" w:ascii="仿宋" w:hAnsi="仿宋" w:eastAsia="仿宋"/>
          <w:kern w:val="0"/>
          <w:sz w:val="32"/>
          <w:szCs w:val="32"/>
          <w:lang w:val="en-US" w:eastAsia="zh-CN"/>
        </w:rPr>
        <w:t>公</w:t>
      </w:r>
      <w:r>
        <w:rPr>
          <w:rFonts w:hint="eastAsia" w:ascii="仿宋" w:hAnsi="仿宋" w:eastAsia="仿宋"/>
          <w:kern w:val="0"/>
          <w:sz w:val="32"/>
          <w:szCs w:val="32"/>
        </w:rPr>
        <w:t>用经费支出，公开决算中的运行经费开支仅指财政拨款支出数。</w:t>
      </w:r>
    </w:p>
    <w:p>
      <w:pPr>
        <w:pStyle w:val="2"/>
        <w:numPr>
          <w:ilvl w:val="0"/>
          <w:numId w:val="0"/>
        </w:numPr>
        <w:ind w:leftChars="0"/>
        <w:jc w:val="both"/>
        <w:rPr>
          <w:rFonts w:hint="eastAsia" w:ascii="仿宋" w:hAnsi="仿宋" w:eastAsia="仿宋" w:cs="仿宋"/>
          <w:b/>
          <w:bCs/>
          <w:sz w:val="32"/>
          <w:szCs w:val="32"/>
          <w:lang w:val="en-US" w:eastAsia="zh-CN"/>
        </w:rPr>
      </w:pPr>
    </w:p>
    <w:sectPr>
      <w:pgSz w:w="11906" w:h="16838"/>
      <w:pgMar w:top="1043" w:right="1066" w:bottom="1043" w:left="106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240412"/>
    <w:multiLevelType w:val="singleLevel"/>
    <w:tmpl w:val="C5240412"/>
    <w:lvl w:ilvl="0" w:tentative="0">
      <w:start w:val="3"/>
      <w:numFmt w:val="decimal"/>
      <w:suff w:val="nothing"/>
      <w:lvlText w:val="%1、"/>
      <w:lvlJc w:val="left"/>
    </w:lvl>
  </w:abstractNum>
  <w:abstractNum w:abstractNumId="1">
    <w:nsid w:val="1472EB79"/>
    <w:multiLevelType w:val="singleLevel"/>
    <w:tmpl w:val="1472EB79"/>
    <w:lvl w:ilvl="0" w:tentative="0">
      <w:start w:val="1"/>
      <w:numFmt w:val="chineseCounting"/>
      <w:suff w:val="space"/>
      <w:lvlText w:val="第%1部分"/>
      <w:lvlJc w:val="left"/>
      <w:rPr>
        <w:rFonts w:hint="eastAsia"/>
      </w:rPr>
    </w:lvl>
  </w:abstractNum>
  <w:abstractNum w:abstractNumId="2">
    <w:nsid w:val="14A0863A"/>
    <w:multiLevelType w:val="singleLevel"/>
    <w:tmpl w:val="14A0863A"/>
    <w:lvl w:ilvl="0" w:tentative="0">
      <w:start w:val="1"/>
      <w:numFmt w:val="chineseCounting"/>
      <w:suff w:val="nothing"/>
      <w:lvlText w:val="%1、"/>
      <w:lvlJc w:val="left"/>
      <w:rPr>
        <w:rFonts w:hint="eastAsia"/>
      </w:rPr>
    </w:lvl>
  </w:abstractNum>
  <w:abstractNum w:abstractNumId="3">
    <w:nsid w:val="1FBCC69D"/>
    <w:multiLevelType w:val="singleLevel"/>
    <w:tmpl w:val="1FBCC69D"/>
    <w:lvl w:ilvl="0" w:tentative="0">
      <w:start w:val="1"/>
      <w:numFmt w:val="chineseCounting"/>
      <w:suff w:val="nothing"/>
      <w:lvlText w:val="%1、"/>
      <w:lvlJc w:val="left"/>
      <w:rPr>
        <w:rFonts w:hint="eastAsia"/>
      </w:rPr>
    </w:lvl>
  </w:abstractNum>
  <w:abstractNum w:abstractNumId="4">
    <w:nsid w:val="475967AB"/>
    <w:multiLevelType w:val="multilevel"/>
    <w:tmpl w:val="475967AB"/>
    <w:lvl w:ilvl="0" w:tentative="0">
      <w:start w:val="1"/>
      <w:numFmt w:val="japaneseCounting"/>
      <w:lvlText w:val="%1、"/>
      <w:lvlJc w:val="left"/>
      <w:pPr>
        <w:ind w:left="1185" w:hanging="118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B53900F"/>
    <w:multiLevelType w:val="singleLevel"/>
    <w:tmpl w:val="5B53900F"/>
    <w:lvl w:ilvl="0" w:tentative="0">
      <w:start w:val="1"/>
      <w:numFmt w:val="decimal"/>
      <w:suff w:val="nothing"/>
      <w:lvlText w:val="（%1）"/>
      <w:lvlJc w:val="left"/>
    </w:lvl>
  </w:abstractNum>
  <w:num w:numId="1">
    <w:abstractNumId w:val="1"/>
  </w:num>
  <w:num w:numId="2">
    <w:abstractNumId w:val="3"/>
  </w:num>
  <w:num w:numId="3">
    <w:abstractNumId w:val="5"/>
  </w:num>
  <w:num w:numId="4">
    <w:abstractNumId w:val="2"/>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5F49A8"/>
    <w:rsid w:val="02AD22FC"/>
    <w:rsid w:val="02D75113"/>
    <w:rsid w:val="048F2274"/>
    <w:rsid w:val="04BD0CBC"/>
    <w:rsid w:val="098A52EA"/>
    <w:rsid w:val="0A8A1165"/>
    <w:rsid w:val="0B553326"/>
    <w:rsid w:val="0B8532AA"/>
    <w:rsid w:val="0CEB5CFA"/>
    <w:rsid w:val="0D0C2ECF"/>
    <w:rsid w:val="0D153E20"/>
    <w:rsid w:val="0F5C7256"/>
    <w:rsid w:val="14CF6BBF"/>
    <w:rsid w:val="168846DB"/>
    <w:rsid w:val="17357C67"/>
    <w:rsid w:val="184D16D2"/>
    <w:rsid w:val="187E7FE4"/>
    <w:rsid w:val="18A35425"/>
    <w:rsid w:val="1B6C2290"/>
    <w:rsid w:val="1BFD3E49"/>
    <w:rsid w:val="1F241754"/>
    <w:rsid w:val="201103BB"/>
    <w:rsid w:val="201320E9"/>
    <w:rsid w:val="213B214E"/>
    <w:rsid w:val="22C422A6"/>
    <w:rsid w:val="25AC630E"/>
    <w:rsid w:val="26676D9D"/>
    <w:rsid w:val="27177294"/>
    <w:rsid w:val="279C0E97"/>
    <w:rsid w:val="27C859B8"/>
    <w:rsid w:val="281E7025"/>
    <w:rsid w:val="2917638F"/>
    <w:rsid w:val="2936406B"/>
    <w:rsid w:val="2AC625D8"/>
    <w:rsid w:val="2C00655C"/>
    <w:rsid w:val="2C307DE6"/>
    <w:rsid w:val="2D943A59"/>
    <w:rsid w:val="2EE473ED"/>
    <w:rsid w:val="30BC6E09"/>
    <w:rsid w:val="30C73C13"/>
    <w:rsid w:val="318C4409"/>
    <w:rsid w:val="33D70E90"/>
    <w:rsid w:val="33FC1B27"/>
    <w:rsid w:val="34C11E92"/>
    <w:rsid w:val="365B25FA"/>
    <w:rsid w:val="37A43B49"/>
    <w:rsid w:val="3A414A86"/>
    <w:rsid w:val="3D117EAA"/>
    <w:rsid w:val="3E135438"/>
    <w:rsid w:val="401A263F"/>
    <w:rsid w:val="407B1229"/>
    <w:rsid w:val="42C404D2"/>
    <w:rsid w:val="453670C2"/>
    <w:rsid w:val="49032ACF"/>
    <w:rsid w:val="4AAF051C"/>
    <w:rsid w:val="4C3934C9"/>
    <w:rsid w:val="4C401CA9"/>
    <w:rsid w:val="4C46513D"/>
    <w:rsid w:val="4FF2162E"/>
    <w:rsid w:val="52366D2A"/>
    <w:rsid w:val="54A823CE"/>
    <w:rsid w:val="54B15A3C"/>
    <w:rsid w:val="55176EE0"/>
    <w:rsid w:val="58245916"/>
    <w:rsid w:val="5D170C3C"/>
    <w:rsid w:val="61936583"/>
    <w:rsid w:val="67CF3D11"/>
    <w:rsid w:val="6C794961"/>
    <w:rsid w:val="71244F3B"/>
    <w:rsid w:val="715C245D"/>
    <w:rsid w:val="716902DA"/>
    <w:rsid w:val="71AB08E3"/>
    <w:rsid w:val="735F49A8"/>
    <w:rsid w:val="73B82E9C"/>
    <w:rsid w:val="764C12B9"/>
    <w:rsid w:val="78132FFA"/>
    <w:rsid w:val="7A1D1427"/>
    <w:rsid w:val="7D5E6963"/>
    <w:rsid w:val="7D73302A"/>
    <w:rsid w:val="7E7A73C7"/>
    <w:rsid w:val="7F3464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paragraph" w:customStyle="1" w:styleId="8">
    <w:name w:val="p0"/>
    <w:basedOn w:val="1"/>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77</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2021-04-27T06:10:00Z</dcterms:created>
  <dc:creator>lqh</dc:creator>
  <cp:lastModifiedBy>lqh</cp:lastModifiedBy>
  <cp:lastPrinted>2021-04-28T06:19:00Z</cp:lastPrinted>
  <dcterms:modified xsi:type="dcterms:W3CDTF">2021-04-28T08:25:44Z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25E061B48220488C8F475E992003B1A8</vt:lpwstr>
  </property>
</Properties>
</file>