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color w:val="auto"/>
          <w:sz w:val="30"/>
          <w:szCs w:val="30"/>
          <w:highlight w:val="none"/>
          <w:lang w:val="en-US" w:eastAsia="zh-CN"/>
        </w:rPr>
      </w:pPr>
    </w:p>
    <w:p>
      <w:pPr>
        <w:spacing w:line="600" w:lineRule="exact"/>
        <w:jc w:val="center"/>
        <w:outlineLvl w:val="0"/>
        <w:rPr>
          <w:rFonts w:hint="eastAsia" w:ascii="宋体" w:hAnsi="宋体" w:cs="宋体"/>
          <w:b/>
          <w:bCs/>
          <w:color w:val="auto"/>
          <w:sz w:val="44"/>
          <w:szCs w:val="36"/>
          <w:highlight w:val="none"/>
        </w:rPr>
      </w:pPr>
      <w:r>
        <w:rPr>
          <w:rFonts w:hint="eastAsia" w:ascii="宋体" w:hAnsi="宋体" w:cs="宋体"/>
          <w:b/>
          <w:bCs/>
          <w:color w:val="auto"/>
          <w:sz w:val="44"/>
          <w:szCs w:val="36"/>
          <w:highlight w:val="none"/>
        </w:rPr>
        <w:t>兴国县人民政府办公室2023年度部门决算</w:t>
      </w:r>
    </w:p>
    <w:p>
      <w:pPr>
        <w:spacing w:line="600" w:lineRule="exact"/>
        <w:jc w:val="center"/>
        <w:rPr>
          <w:rFonts w:hint="eastAsia" w:ascii="黑体" w:eastAsia="黑体"/>
          <w:color w:val="auto"/>
          <w:sz w:val="44"/>
          <w:szCs w:val="36"/>
          <w:highlight w:val="none"/>
        </w:rPr>
      </w:pPr>
    </w:p>
    <w:p>
      <w:pPr>
        <w:spacing w:line="600" w:lineRule="exact"/>
        <w:jc w:val="center"/>
        <w:outlineLvl w:val="0"/>
        <w:rPr>
          <w:rFonts w:hint="eastAsia"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widowControl/>
        <w:spacing w:line="600" w:lineRule="exact"/>
        <w:ind w:firstLine="640"/>
        <w:jc w:val="left"/>
        <w:rPr>
          <w:rFonts w:hint="eastAsia" w:ascii="仿宋_GB2312" w:eastAsia="仿宋_GB2312"/>
          <w:color w:val="auto"/>
          <w:sz w:val="32"/>
          <w:szCs w:val="30"/>
          <w:highlight w:val="none"/>
        </w:rPr>
      </w:pPr>
    </w:p>
    <w:p>
      <w:pPr>
        <w:widowControl/>
        <w:spacing w:line="600" w:lineRule="exact"/>
        <w:ind w:firstLine="640"/>
        <w:jc w:val="left"/>
        <w:outlineLvl w:val="0"/>
        <w:rPr>
          <w:rFonts w:hint="eastAsia" w:ascii="黑体" w:hAnsi="黑体" w:eastAsia="黑体"/>
          <w:b/>
          <w:color w:val="auto"/>
          <w:sz w:val="32"/>
          <w:szCs w:val="32"/>
          <w:highlight w:val="none"/>
        </w:rPr>
      </w:pPr>
      <w:r>
        <w:rPr>
          <w:rFonts w:hint="eastAsia" w:ascii="黑体" w:hAnsi="黑体" w:eastAsia="黑体"/>
          <w:b w:val="0"/>
          <w:bCs/>
          <w:color w:val="auto"/>
          <w:sz w:val="32"/>
          <w:szCs w:val="32"/>
          <w:highlight w:val="none"/>
        </w:rPr>
        <w:t>第一部分兴国县人民政府办公室概况</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一、部门主要职责</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二、机构设置及人员情况</w:t>
      </w:r>
    </w:p>
    <w:p>
      <w:pPr>
        <w:widowControl/>
        <w:spacing w:line="600" w:lineRule="exact"/>
        <w:ind w:firstLine="640"/>
        <w:jc w:val="left"/>
        <w:outlineLvl w:val="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第二部分2023年度部门决算表</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一、收入支出决算总表</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二、收入决算表</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三、支出决算表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四、财政拨款收入支出决算总表</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color w:val="auto"/>
          <w:kern w:val="0"/>
          <w:sz w:val="32"/>
          <w:szCs w:val="32"/>
          <w:highlight w:val="none"/>
        </w:rPr>
      </w:pPr>
      <w:r>
        <w:rPr>
          <w:rFonts w:hint="eastAsia" w:ascii="仿宋_GB2312" w:hAnsi="仿宋_GB2312" w:eastAsia="仿宋_GB2312" w:cs="宋体"/>
          <w:color w:val="auto"/>
          <w:kern w:val="0"/>
          <w:sz w:val="32"/>
          <w:szCs w:val="32"/>
          <w:highlight w:val="none"/>
        </w:rPr>
        <w:t>十、国有资产占用情况表</w:t>
      </w:r>
    </w:p>
    <w:p>
      <w:pPr>
        <w:widowControl/>
        <w:spacing w:line="600" w:lineRule="exact"/>
        <w:jc w:val="left"/>
        <w:outlineLvl w:val="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第三部分2023年度部门决算情况说明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一、收入决算情况说明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二、支出决算情况说明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三、财政拨款支出决算情况说明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六、机关运行经费支出情况说明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七、政府采购支出情况说明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八、国有资产占用情况说明</w:t>
      </w:r>
    </w:p>
    <w:p>
      <w:pPr>
        <w:widowControl/>
        <w:spacing w:line="600" w:lineRule="exact"/>
        <w:ind w:firstLine="1280" w:firstLineChars="400"/>
        <w:jc w:val="left"/>
        <w:outlineLvl w:val="1"/>
        <w:rPr>
          <w:rFonts w:hint="eastAsia" w:ascii="仿宋_GB2312" w:hAnsi="仿宋_GB2312" w:eastAsia="仿宋_GB2312"/>
          <w:color w:val="auto"/>
          <w:sz w:val="32"/>
          <w:szCs w:val="30"/>
          <w:highlight w:val="none"/>
        </w:rPr>
      </w:pPr>
      <w:r>
        <w:rPr>
          <w:rFonts w:hint="eastAsia" w:ascii="仿宋_GB2312" w:hAnsi="仿宋_GB2312" w:eastAsia="仿宋_GB2312"/>
          <w:color w:val="auto"/>
          <w:sz w:val="32"/>
          <w:szCs w:val="30"/>
          <w:highlight w:val="none"/>
        </w:rPr>
        <w:t>九、预算绩效情况说明</w:t>
      </w:r>
    </w:p>
    <w:p>
      <w:pPr>
        <w:widowControl/>
        <w:spacing w:line="600" w:lineRule="exact"/>
        <w:ind w:firstLine="640"/>
        <w:jc w:val="left"/>
        <w:outlineLvl w:val="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第四部分名词解释</w:t>
      </w:r>
    </w:p>
    <w:p>
      <w:pPr>
        <w:widowControl/>
        <w:spacing w:line="600" w:lineRule="exact"/>
        <w:ind w:firstLine="640"/>
        <w:jc w:val="left"/>
        <w:outlineLvl w:val="0"/>
        <w:rPr>
          <w:rFonts w:hint="eastAsia" w:ascii="黑体" w:hAnsi="黑体" w:eastAsia="黑体"/>
          <w:color w:val="auto"/>
          <w:sz w:val="32"/>
          <w:szCs w:val="32"/>
          <w:highlight w:val="none"/>
        </w:rPr>
      </w:pPr>
      <w:r>
        <w:rPr>
          <w:rFonts w:hint="eastAsia" w:ascii="黑体" w:hAnsi="黑体" w:eastAsia="黑体"/>
          <w:color w:val="auto"/>
          <w:sz w:val="32"/>
          <w:szCs w:val="32"/>
          <w:highlight w:val="none"/>
        </w:rPr>
        <w:t>第五部分附件</w:t>
      </w: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default" w:eastAsia="宋体"/>
          <w:color w:val="auto"/>
          <w:highlight w:val="none"/>
          <w:lang w:val="en-US" w:eastAsia="zh-CN"/>
        </w:rPr>
      </w:pPr>
      <w:r>
        <w:rPr>
          <w:rFonts w:hint="eastAsia" w:ascii="仿宋_GB2312" w:hAnsi="仿宋_GB2312" w:eastAsia="仿宋_GB2312" w:cs="Times New Roman"/>
          <w:color w:val="auto"/>
          <w:sz w:val="32"/>
          <w:szCs w:val="30"/>
          <w:highlight w:val="none"/>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highlight w:val="none"/>
        </w:rPr>
      </w:pPr>
    </w:p>
    <w:p>
      <w:pPr>
        <w:widowControl/>
        <w:spacing w:line="580" w:lineRule="exact"/>
        <w:jc w:val="center"/>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第一部分兴国县人民政府办公室概况</w:t>
      </w:r>
    </w:p>
    <w:p>
      <w:pPr>
        <w:ind w:firstLine="630"/>
        <w:jc w:val="center"/>
        <w:rPr>
          <w:rFonts w:hint="eastAsia"/>
          <w:color w:val="auto"/>
          <w:sz w:val="32"/>
          <w:szCs w:val="32"/>
          <w:highlight w:val="none"/>
        </w:rPr>
      </w:pP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一、部门主要职责</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（一）办理党中央、国务院、省委、省政府、市委、市政府及其各部门和县委公</w:t>
      </w:r>
      <w:bookmarkStart w:id="0" w:name="_GoBack"/>
      <w:bookmarkEnd w:id="0"/>
      <w:r>
        <w:rPr>
          <w:rFonts w:hint="eastAsia" w:ascii="仿宋_GB2312" w:hAnsi="仿宋_GB2312" w:eastAsia="仿宋_GB2312" w:cs="仿宋_GB2312"/>
          <w:b w:val="0"/>
          <w:bCs w:val="0"/>
          <w:spacing w:val="-2"/>
          <w:sz w:val="32"/>
          <w:szCs w:val="32"/>
        </w:rPr>
        <w:t>文的呈（传）阅以及有关文电处理工作。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（二）研究县政府各部门、各乡镇人民政府请示县政府的事项，提出审核意见，报县政府审定。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（三）负责组织起草或审核以县政府、县政府办公室名义发布的公文；指导、协调县政府规范性文件起草和制定工作，以及县政府及其办公室重要文件、文稿、合同（协议）的涉法审查、涉法事务等工作。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四）负责县政府全体（扩大）会议、县政府党组会议、县政府常务会议、县长办公会会议等会议的组织协调工作，协助县政府领导组织实施会议决定事项；负责县政府领导、县直部门有关人员参加外部会议、活动的通知、协调、衔接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（五）根据县政府领导指示或办理文件的需要，对县政府各部门之间、乡镇政府之间、部门与乡镇政府之间相互协商后仍有争议的问题提出处理意见，报县政府领导决定。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（六）督促检查县政府各部门和各乡镇政府对国务院、省政府、市政府和县政府公文、会议决定事项以及领导同志有关指示的贯彻执行落实。</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（七）根据县政府领导的指示或工作需要，组织专题调查研究，及时反映情况，提出意见。</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（八）指导、协调、监督全县政府信息公开工作。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（九）负责全县政府系统信息工作，协助和参与领导决策；负责县本级政府新闻发布工作。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（十）负责与县人大常委会办公室、县政协办公室联系，组织、督促有关部门和单位及时办理人大代表建议和政协委员提案。</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（十一）负责县政府、县政府办公室的印鉴管理使用；负责县政府办公室机关保密和档案工作。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（十二）负责县政府值班工作，及时报告重要情况，传达、督办上级政府和县政府领导同志指示，协调、指导全县政府系统值班工作。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（十三）负责上级领导、兄弟县（市、区）政府领导来兴国视察、慰问、考核、调研的组织协调工作。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四）负责贯彻落实上级有关金融工作政策，研究制定全县金融发展规划和工作计划，制定地方金融政策措施；负责全县担保公司、小额担保公司、典当行等的日常监管工作；负责协调处置全县涉及金融领域的突发事件，促进维护金融秩序和社会稳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五）贯彻执行上级党委、政府深化“放管服”改革转变政府职能、加强政务服务工作的方针、政策、法律、法规以及县委、县政府的决策部署，牵头拟订全县“放管服”改革转变政府职能、加强政务服务工作的政策、制度、办法、标准，负责组织推进、指导协调、督促考核全县政务服务和政府职能转变工作，协调解决改革过程中的重大问题。</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（十六）贯彻落实上级有关行政审批制度改革的决策部署，统筹全县行政审批制度改革工作，提出行政审批制度改革的政策意见和建议，指导、检查、督促有关政策措施落实。</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（十七）贯彻执行党和国家对外方针政策法规，贯彻落实县委、县政府关于外事工作的指示和决定，会同有关部门研究提出执行有关外事政策的具体措施；负责拟订全县外事工作管理意见和规范性文件。</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（十八）处理群众来信，接待群众来访，及时向县政府领导报告来信来访中提出的重要建议和反映的重要问题，办理上级党政机关转交及县政府领导交办的有关信访事项。</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（十九）协助做好县政府机关和县政府领导的后勤服务工作。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b w:val="0"/>
          <w:bCs w:val="0"/>
          <w:spacing w:val="-2"/>
          <w:sz w:val="32"/>
          <w:szCs w:val="32"/>
        </w:rPr>
        <w:t>（二十）办理县委、县政府交办的其它工作任务。</w:t>
      </w:r>
    </w:p>
    <w:p>
      <w:pPr>
        <w:jc w:val="left"/>
        <w:rPr>
          <w:rFonts w:hint="eastAsia" w:ascii="仿宋_GB2312" w:hAnsi="仿宋_GB2312" w:eastAsia="仿宋_GB2312"/>
          <w:color w:val="auto"/>
          <w:sz w:val="32"/>
          <w:szCs w:val="32"/>
          <w:highlight w:val="none"/>
        </w:rPr>
      </w:pP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二、机构设置及人员情况</w:t>
      </w:r>
    </w:p>
    <w:p>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纳入本套部门决算汇编范围的单位共</w:t>
      </w:r>
      <w:r>
        <w:rPr>
          <w:rFonts w:hint="eastAsia" w:ascii="仿宋_GB2312" w:eastAsia="仿宋_GB2312" w:cs="仿宋_GB2312"/>
          <w:color w:val="auto"/>
          <w:sz w:val="32"/>
          <w:szCs w:val="32"/>
          <w:highlight w:val="none"/>
          <w:lang w:bidi="en-AU"/>
        </w:rPr>
        <w:t>1</w:t>
      </w:r>
      <w:r>
        <w:rPr>
          <w:rFonts w:hint="eastAsia" w:ascii="仿宋_GB2312" w:hAnsi="仿宋_GB2312" w:eastAsia="仿宋_GB2312"/>
          <w:color w:val="auto"/>
          <w:sz w:val="32"/>
          <w:szCs w:val="32"/>
          <w:highlight w:val="none"/>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pPr>
              <w:jc w:val="center"/>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序号</w:t>
            </w:r>
          </w:p>
        </w:tc>
        <w:tc>
          <w:tcPr>
            <w:tcW w:w="4769" w:type="dxa"/>
            <w:shd w:val="clear" w:color="auto" w:fill="auto"/>
            <w:noWrap w:val="0"/>
            <w:vAlign w:val="top"/>
          </w:tcPr>
          <w:p>
            <w:pPr>
              <w:jc w:val="center"/>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单位名称</w:t>
            </w:r>
          </w:p>
        </w:tc>
        <w:tc>
          <w:tcPr>
            <w:tcW w:w="2348" w:type="dxa"/>
            <w:shd w:val="clear" w:color="auto" w:fill="auto"/>
            <w:noWrap w:val="0"/>
            <w:vAlign w:val="top"/>
          </w:tcPr>
          <w:p>
            <w:pPr>
              <w:jc w:val="center"/>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预算级次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pPr>
              <w:jc w:val="left"/>
              <w:rPr>
                <w:rFonts w:hint="eastAsia" w:ascii="仿宋_GB2312" w:hAnsi="仿宋_GB2312" w:eastAsia="仿宋_GB2312"/>
                <w:color w:val="auto"/>
                <w:sz w:val="30"/>
                <w:szCs w:val="30"/>
                <w:highlight w:val="none"/>
                <w:lang w:eastAsia="zh-CN"/>
              </w:rPr>
            </w:pPr>
            <w:r>
              <w:rPr>
                <w:rFonts w:hint="eastAsia" w:ascii="仿宋_GB2312" w:hAnsi="仿宋_GB2312" w:eastAsia="仿宋_GB2312"/>
                <w:color w:val="auto"/>
                <w:sz w:val="30"/>
                <w:szCs w:val="30"/>
                <w:highlight w:val="none"/>
                <w:lang w:eastAsia="zh-CN"/>
              </w:rPr>
              <w:t>兴国县人民政府办公室</w:t>
            </w:r>
          </w:p>
        </w:tc>
        <w:tc>
          <w:tcPr>
            <w:tcW w:w="2348" w:type="dxa"/>
            <w:shd w:val="clear" w:color="auto" w:fill="auto"/>
            <w:noWrap w:val="0"/>
            <w:vAlign w:val="top"/>
          </w:tcPr>
          <w:p>
            <w:pPr>
              <w:jc w:val="left"/>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eastAsia" w:ascii="仿宋_GB2312" w:hAnsi="仿宋_GB2312" w:eastAsia="仿宋_GB2312"/>
                <w:color w:val="auto"/>
                <w:sz w:val="30"/>
                <w:szCs w:val="30"/>
                <w:highlight w:val="none"/>
                <w:lang w:eastAsia="zh-CN"/>
              </w:rPr>
            </w:pPr>
          </w:p>
        </w:tc>
        <w:tc>
          <w:tcPr>
            <w:tcW w:w="4769" w:type="dxa"/>
            <w:shd w:val="clear" w:color="auto" w:fill="auto"/>
            <w:noWrap w:val="0"/>
            <w:vAlign w:val="top"/>
          </w:tcPr>
          <w:p>
            <w:pPr>
              <w:jc w:val="left"/>
              <w:rPr>
                <w:rFonts w:hint="eastAsia" w:ascii="仿宋_GB2312" w:hAnsi="仿宋_GB2312" w:eastAsia="仿宋_GB2312"/>
                <w:color w:val="auto"/>
                <w:sz w:val="30"/>
                <w:szCs w:val="30"/>
                <w:highlight w:val="none"/>
                <w:lang w:eastAsia="zh-CN"/>
              </w:rPr>
            </w:pPr>
          </w:p>
        </w:tc>
        <w:tc>
          <w:tcPr>
            <w:tcW w:w="2348" w:type="dxa"/>
            <w:shd w:val="clear" w:color="auto" w:fill="auto"/>
            <w:noWrap w:val="0"/>
            <w:vAlign w:val="top"/>
          </w:tcPr>
          <w:p>
            <w:pPr>
              <w:jc w:val="left"/>
              <w:rPr>
                <w:rFonts w:hint="eastAsia" w:ascii="仿宋_GB2312" w:hAnsi="仿宋_GB2312" w:eastAsia="仿宋_GB2312"/>
                <w:color w:val="auto"/>
                <w:sz w:val="30"/>
                <w:szCs w:val="30"/>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eastAsia" w:ascii="仿宋_GB2312" w:hAnsi="仿宋_GB2312" w:eastAsia="仿宋_GB2312"/>
                <w:color w:val="auto"/>
                <w:sz w:val="30"/>
                <w:szCs w:val="30"/>
                <w:highlight w:val="none"/>
              </w:rPr>
            </w:pPr>
          </w:p>
        </w:tc>
        <w:tc>
          <w:tcPr>
            <w:tcW w:w="4769" w:type="dxa"/>
            <w:shd w:val="clear" w:color="auto" w:fill="auto"/>
            <w:noWrap w:val="0"/>
            <w:vAlign w:val="top"/>
          </w:tcPr>
          <w:p>
            <w:pPr>
              <w:jc w:val="left"/>
              <w:rPr>
                <w:rFonts w:hint="eastAsia" w:ascii="仿宋_GB2312" w:hAnsi="仿宋_GB2312" w:eastAsia="仿宋_GB2312"/>
                <w:color w:val="auto"/>
                <w:sz w:val="30"/>
                <w:szCs w:val="30"/>
                <w:highlight w:val="none"/>
              </w:rPr>
            </w:pPr>
          </w:p>
        </w:tc>
        <w:tc>
          <w:tcPr>
            <w:tcW w:w="2348" w:type="dxa"/>
            <w:shd w:val="clear" w:color="auto" w:fill="auto"/>
            <w:noWrap w:val="0"/>
            <w:vAlign w:val="top"/>
          </w:tcPr>
          <w:p>
            <w:pPr>
              <w:jc w:val="left"/>
              <w:rPr>
                <w:rFonts w:hint="eastAsia" w:ascii="仿宋_GB2312" w:hAnsi="仿宋_GB2312" w:eastAsia="仿宋_GB2312"/>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pPr>
              <w:jc w:val="left"/>
              <w:rPr>
                <w:rFonts w:hint="eastAsia" w:ascii="仿宋_GB2312" w:hAnsi="仿宋_GB2312" w:eastAsia="仿宋_GB2312"/>
                <w:color w:val="auto"/>
                <w:sz w:val="30"/>
                <w:szCs w:val="30"/>
                <w:highlight w:val="none"/>
              </w:rPr>
            </w:pPr>
          </w:p>
        </w:tc>
        <w:tc>
          <w:tcPr>
            <w:tcW w:w="4769" w:type="dxa"/>
            <w:shd w:val="clear" w:color="auto" w:fill="auto"/>
            <w:noWrap w:val="0"/>
            <w:vAlign w:val="top"/>
          </w:tcPr>
          <w:p>
            <w:pPr>
              <w:jc w:val="left"/>
              <w:rPr>
                <w:rFonts w:hint="eastAsia" w:ascii="仿宋_GB2312" w:hAnsi="仿宋_GB2312" w:eastAsia="仿宋_GB2312"/>
                <w:color w:val="auto"/>
                <w:sz w:val="30"/>
                <w:szCs w:val="30"/>
                <w:highlight w:val="none"/>
              </w:rPr>
            </w:pPr>
          </w:p>
        </w:tc>
        <w:tc>
          <w:tcPr>
            <w:tcW w:w="2348" w:type="dxa"/>
            <w:shd w:val="clear" w:color="auto" w:fill="auto"/>
            <w:noWrap w:val="0"/>
            <w:vAlign w:val="top"/>
          </w:tcPr>
          <w:p>
            <w:pPr>
              <w:jc w:val="left"/>
              <w:rPr>
                <w:rFonts w:hint="eastAsia" w:ascii="仿宋_GB2312" w:hAnsi="仿宋_GB2312" w:eastAsia="仿宋_GB2312"/>
                <w:color w:val="auto"/>
                <w:sz w:val="30"/>
                <w:szCs w:val="30"/>
                <w:highlight w:val="none"/>
              </w:rPr>
            </w:pPr>
          </w:p>
        </w:tc>
      </w:tr>
    </w:tbl>
    <w:p>
      <w:pPr>
        <w:ind w:firstLine="640" w:firstLineChars="200"/>
        <w:jc w:val="left"/>
        <w:rPr>
          <w:rFonts w:hint="default" w:ascii="仿宋_GB2312" w:hAnsi="仿宋_GB2312" w:eastAsia="仿宋_GB2312" w:cs="Times New Roman"/>
          <w:color w:val="auto"/>
          <w:sz w:val="32"/>
          <w:szCs w:val="32"/>
          <w:highlight w:val="none"/>
          <w:lang w:val="en-US" w:eastAsia="zh-CN"/>
        </w:rPr>
      </w:pPr>
      <w:r>
        <w:rPr>
          <w:rFonts w:hint="eastAsia" w:ascii="仿宋_GB2312" w:hAnsi="仿宋_GB2312" w:eastAsia="仿宋_GB2312" w:cs="Times New Roman"/>
          <w:color w:val="auto"/>
          <w:sz w:val="32"/>
          <w:szCs w:val="32"/>
          <w:highlight w:val="none"/>
        </w:rPr>
        <w:t>兴国县人民政府办公室</w:t>
      </w: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本级）设立1个内设机构，分别是：兴国县人民政府办公室。</w:t>
      </w:r>
    </w:p>
    <w:p>
      <w:pPr>
        <w:ind w:firstLine="640" w:firstLineChars="200"/>
        <w:jc w:val="left"/>
        <w:rPr>
          <w:rFonts w:hint="eastAsia"/>
          <w:color w:val="auto"/>
          <w:highlight w:val="none"/>
        </w:rPr>
      </w:pPr>
      <w:r>
        <w:rPr>
          <w:rFonts w:hint="eastAsia" w:ascii="仿宋_GB2312" w:hAnsi="仿宋_GB2312" w:eastAsia="仿宋_GB2312"/>
          <w:color w:val="auto"/>
          <w:sz w:val="32"/>
          <w:szCs w:val="32"/>
          <w:highlight w:val="none"/>
        </w:rPr>
        <w:t>本部门年末在职人员26人，离退休人员</w:t>
      </w:r>
      <w:r>
        <w:rPr>
          <w:rFonts w:hint="eastAsia" w:ascii="仿宋_GB2312" w:eastAsia="仿宋_GB2312" w:cs="仿宋_GB2312"/>
          <w:color w:val="auto"/>
          <w:sz w:val="32"/>
          <w:szCs w:val="32"/>
          <w:highlight w:val="none"/>
          <w:lang w:bidi="en-AU"/>
        </w:rPr>
        <w:t>0</w:t>
      </w:r>
      <w:r>
        <w:rPr>
          <w:rFonts w:hint="eastAsia" w:ascii="仿宋_GB2312" w:hAnsi="仿宋_GB2312" w:eastAsia="仿宋_GB2312"/>
          <w:color w:val="auto"/>
          <w:sz w:val="32"/>
          <w:szCs w:val="32"/>
          <w:highlight w:val="none"/>
        </w:rPr>
        <w:t>人（不含由养老保险基金发放养老金的离退休人员），其他人员0人。由养老保险基金发放养老金的离退休人员15人。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highlight w:val="none"/>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第二部分2023年度部门决算表</w:t>
      </w:r>
    </w:p>
    <w:p>
      <w:pPr>
        <w:bidi w:val="0"/>
        <w:rPr>
          <w:rFonts w:hint="eastAsia"/>
          <w:color w:val="auto"/>
          <w:highlight w:val="none"/>
        </w:rPr>
      </w:pPr>
    </w:p>
    <w:p>
      <w:pPr>
        <w:ind w:firstLine="2880" w:firstLineChars="900"/>
        <w:jc w:val="left"/>
        <w:outlineLvl w:val="1"/>
        <w:rPr>
          <w:rFonts w:hint="eastAsia" w:ascii="黑体" w:hAnsi="黑体" w:eastAsia="黑体" w:cs="黑体"/>
          <w:color w:val="auto"/>
          <w:sz w:val="36"/>
          <w:szCs w:val="36"/>
          <w:highlight w:val="none"/>
        </w:rPr>
      </w:pPr>
      <w:r>
        <w:rPr>
          <w:rFonts w:hint="eastAsia" w:ascii="黑体" w:hAnsi="宋体" w:eastAsia="黑体" w:cs="黑体"/>
          <w:color w:val="auto"/>
          <w:sz w:val="32"/>
          <w:szCs w:val="32"/>
          <w:highlight w:val="none"/>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highlight w:val="none"/>
              </w:rPr>
            </w:pPr>
            <w:r>
              <w:rPr>
                <w:rFonts w:ascii="宋体" w:hAnsi="宋体" w:eastAsia="宋体" w:cs="宋体"/>
                <w:color w:val="auto"/>
                <w:sz w:val="20"/>
                <w:highlight w:val="none"/>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3153"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pPr>
              <w:jc w:val="center"/>
              <w:rPr>
                <w:color w:val="auto"/>
                <w:highlight w:val="none"/>
              </w:rPr>
            </w:pPr>
            <w:r>
              <w:rPr>
                <w:rFonts w:ascii="宋体" w:hAnsi="宋体" w:eastAsia="宋体" w:cs="宋体"/>
                <w:b w:val="0"/>
                <w:i w:val="0"/>
                <w:color w:val="auto"/>
                <w:sz w:val="14"/>
                <w:highlight w:val="none"/>
              </w:rPr>
              <w:t>收入</w:t>
            </w:r>
          </w:p>
        </w:tc>
        <w:tc>
          <w:tcPr>
            <w:tcW w:w="2340" w:type="dxa"/>
            <w:gridSpan w:val="3"/>
            <w:vAlign w:val="center"/>
          </w:tcPr>
          <w:p>
            <w:pPr>
              <w:jc w:val="center"/>
              <w:rPr>
                <w:color w:val="auto"/>
                <w:highlight w:val="none"/>
              </w:rPr>
            </w:pPr>
            <w:r>
              <w:rPr>
                <w:rFonts w:ascii="宋体" w:hAnsi="宋体" w:eastAsia="宋体" w:cs="宋体"/>
                <w:b w:val="0"/>
                <w:i w:val="0"/>
                <w:color w:val="auto"/>
                <w:sz w:val="14"/>
                <w:highlight w:val="none"/>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rPr>
                <w:color w:val="auto"/>
                <w:highlight w:val="none"/>
              </w:rPr>
            </w:pPr>
            <w:r>
              <w:rPr>
                <w:rFonts w:ascii="宋体" w:hAnsi="宋体" w:eastAsia="宋体" w:cs="宋体"/>
                <w:b w:val="0"/>
                <w:i w:val="0"/>
                <w:color w:val="auto"/>
                <w:sz w:val="14"/>
                <w:highlight w:val="none"/>
              </w:rPr>
              <w:t>项目</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行次</w:t>
            </w:r>
          </w:p>
        </w:tc>
        <w:tc>
          <w:tcPr>
            <w:tcW w:w="1220" w:type="dxa"/>
            <w:vAlign w:val="center"/>
          </w:tcPr>
          <w:p>
            <w:pPr>
              <w:jc w:val="center"/>
              <w:rPr>
                <w:color w:val="auto"/>
                <w:highlight w:val="none"/>
              </w:rPr>
            </w:pPr>
            <w:r>
              <w:rPr>
                <w:rFonts w:ascii="宋体" w:hAnsi="宋体" w:eastAsia="宋体" w:cs="宋体"/>
                <w:b w:val="0"/>
                <w:i w:val="0"/>
                <w:color w:val="auto"/>
                <w:sz w:val="14"/>
                <w:highlight w:val="none"/>
              </w:rPr>
              <w:t>决算数</w:t>
            </w:r>
          </w:p>
        </w:tc>
        <w:tc>
          <w:tcPr>
            <w:tcW w:w="2340" w:type="dxa"/>
            <w:vAlign w:val="center"/>
          </w:tcPr>
          <w:p>
            <w:pPr>
              <w:jc w:val="center"/>
              <w:rPr>
                <w:color w:val="auto"/>
                <w:highlight w:val="none"/>
              </w:rPr>
            </w:pPr>
            <w:r>
              <w:rPr>
                <w:rFonts w:ascii="宋体" w:hAnsi="宋体" w:eastAsia="宋体" w:cs="宋体"/>
                <w:b w:val="0"/>
                <w:i w:val="0"/>
                <w:color w:val="auto"/>
                <w:sz w:val="14"/>
                <w:highlight w:val="none"/>
              </w:rPr>
              <w:t>项目（按功能分类）</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行次</w:t>
            </w:r>
          </w:p>
        </w:tc>
        <w:tc>
          <w:tcPr>
            <w:tcW w:w="1206" w:type="dxa"/>
            <w:vAlign w:val="center"/>
          </w:tcPr>
          <w:p>
            <w:pPr>
              <w:jc w:val="center"/>
              <w:rPr>
                <w:color w:val="auto"/>
                <w:highlight w:val="none"/>
              </w:rPr>
            </w:pPr>
            <w:r>
              <w:rPr>
                <w:rFonts w:ascii="宋体" w:hAnsi="宋体" w:eastAsia="宋体" w:cs="宋体"/>
                <w:b w:val="0"/>
                <w:i w:val="0"/>
                <w:color w:val="auto"/>
                <w:sz w:val="14"/>
                <w:highlight w:val="none"/>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pPr>
              <w:jc w:val="center"/>
              <w:rPr>
                <w:color w:val="auto"/>
                <w:highlight w:val="none"/>
              </w:rPr>
            </w:pPr>
            <w:r>
              <w:rPr>
                <w:rFonts w:ascii="宋体" w:hAnsi="宋体" w:eastAsia="宋体" w:cs="宋体"/>
                <w:b w:val="0"/>
                <w:i w:val="0"/>
                <w:color w:val="auto"/>
                <w:sz w:val="14"/>
                <w:highlight w:val="none"/>
              </w:rPr>
              <w:t>栏次</w:t>
            </w:r>
          </w:p>
        </w:tc>
        <w:tc>
          <w:tcPr>
            <w:tcW w:w="460" w:type="dxa"/>
            <w:vAlign w:val="center"/>
          </w:tcPr>
          <w:p>
            <w:pPr>
              <w:rPr>
                <w:color w:val="auto"/>
                <w:highlight w:val="none"/>
              </w:rPr>
            </w:pPr>
          </w:p>
        </w:tc>
        <w:tc>
          <w:tcPr>
            <w:tcW w:w="1220" w:type="dxa"/>
            <w:vAlign w:val="center"/>
          </w:tcPr>
          <w:p>
            <w:pPr>
              <w:jc w:val="center"/>
              <w:rPr>
                <w:color w:val="auto"/>
                <w:highlight w:val="none"/>
              </w:rPr>
            </w:pPr>
            <w:r>
              <w:rPr>
                <w:rFonts w:ascii="宋体" w:hAnsi="宋体" w:eastAsia="宋体" w:cs="宋体"/>
                <w:b w:val="0"/>
                <w:i w:val="0"/>
                <w:color w:val="auto"/>
                <w:sz w:val="14"/>
                <w:highlight w:val="none"/>
              </w:rPr>
              <w:t>1</w:t>
            </w:r>
          </w:p>
        </w:tc>
        <w:tc>
          <w:tcPr>
            <w:tcW w:w="2340" w:type="dxa"/>
            <w:vAlign w:val="center"/>
          </w:tcPr>
          <w:p>
            <w:pPr>
              <w:jc w:val="center"/>
              <w:rPr>
                <w:color w:val="auto"/>
                <w:highlight w:val="none"/>
              </w:rPr>
            </w:pPr>
            <w:r>
              <w:rPr>
                <w:rFonts w:ascii="宋体" w:hAnsi="宋体" w:eastAsia="宋体" w:cs="宋体"/>
                <w:b w:val="0"/>
                <w:i w:val="0"/>
                <w:color w:val="auto"/>
                <w:sz w:val="14"/>
                <w:highlight w:val="none"/>
              </w:rPr>
              <w:t>栏次</w:t>
            </w:r>
          </w:p>
        </w:tc>
        <w:tc>
          <w:tcPr>
            <w:tcW w:w="460" w:type="dxa"/>
            <w:vAlign w:val="center"/>
          </w:tcPr>
          <w:p>
            <w:pPr>
              <w:rPr>
                <w:color w:val="auto"/>
                <w:highlight w:val="none"/>
              </w:rPr>
            </w:pPr>
          </w:p>
        </w:tc>
        <w:tc>
          <w:tcPr>
            <w:tcW w:w="1206" w:type="dxa"/>
            <w:vAlign w:val="center"/>
          </w:tcPr>
          <w:p>
            <w:pPr>
              <w:jc w:val="center"/>
              <w:rPr>
                <w:color w:val="auto"/>
                <w:highlight w:val="none"/>
              </w:rPr>
            </w:pPr>
            <w:r>
              <w:rPr>
                <w:rFonts w:ascii="宋体" w:hAnsi="宋体" w:eastAsia="宋体" w:cs="宋体"/>
                <w:b w:val="0"/>
                <w:i w:val="0"/>
                <w:color w:val="auto"/>
                <w:sz w:val="14"/>
                <w:highlight w:val="none"/>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一、一般公共预算财政拨款收入</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1</w:t>
            </w:r>
          </w:p>
        </w:tc>
        <w:tc>
          <w:tcPr>
            <w:tcW w:w="1220" w:type="dxa"/>
            <w:vAlign w:val="center"/>
          </w:tcPr>
          <w:p>
            <w:pPr>
              <w:jc w:val="right"/>
              <w:rPr>
                <w:color w:val="auto"/>
                <w:highlight w:val="none"/>
              </w:rPr>
            </w:pPr>
            <w:r>
              <w:rPr>
                <w:rFonts w:ascii="宋体" w:hAnsi="宋体" w:eastAsia="宋体" w:cs="宋体"/>
                <w:b w:val="0"/>
                <w:i w:val="0"/>
                <w:color w:val="auto"/>
                <w:sz w:val="14"/>
                <w:highlight w:val="none"/>
              </w:rPr>
              <w:t>1,034.23</w:t>
            </w:r>
          </w:p>
        </w:tc>
        <w:tc>
          <w:tcPr>
            <w:tcW w:w="2340" w:type="dxa"/>
            <w:vAlign w:val="center"/>
          </w:tcPr>
          <w:p>
            <w:pPr>
              <w:jc w:val="left"/>
              <w:rPr>
                <w:color w:val="auto"/>
                <w:highlight w:val="none"/>
              </w:rPr>
            </w:pPr>
            <w:r>
              <w:rPr>
                <w:rFonts w:ascii="宋体" w:hAnsi="宋体" w:eastAsia="宋体" w:cs="宋体"/>
                <w:b w:val="0"/>
                <w:i w:val="0"/>
                <w:color w:val="auto"/>
                <w:sz w:val="14"/>
                <w:highlight w:val="none"/>
              </w:rPr>
              <w:t>一、一般公共服务支出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32</w:t>
            </w:r>
          </w:p>
        </w:tc>
        <w:tc>
          <w:tcPr>
            <w:tcW w:w="1206" w:type="dxa"/>
            <w:vAlign w:val="center"/>
          </w:tcPr>
          <w:p>
            <w:pPr>
              <w:jc w:val="right"/>
              <w:rPr>
                <w:color w:val="auto"/>
                <w:highlight w:val="none"/>
              </w:rPr>
            </w:pPr>
            <w:r>
              <w:rPr>
                <w:rFonts w:ascii="宋体" w:hAnsi="宋体" w:eastAsia="宋体" w:cs="宋体"/>
                <w:b w:val="0"/>
                <w:i w:val="0"/>
                <w:color w:val="auto"/>
                <w:sz w:val="14"/>
                <w:highlight w:val="none"/>
              </w:rPr>
              <w:t>955.52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二、政府性基金预算财政拨款收入</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2</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二、外交支出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33</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三、国有资本经营预算财政拨款收入</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三、国防支出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34</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四、上级补助收入</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四、公共安全支出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35</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五、事业收入</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五、教育支出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36</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六、经营收入</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6</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六、科学技术支出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37</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七、附属单位上缴收入</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7</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七、文化旅游体育与传媒支出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38</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八、其他收入</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8</w:t>
            </w:r>
          </w:p>
        </w:tc>
        <w:tc>
          <w:tcPr>
            <w:tcW w:w="1220" w:type="dxa"/>
            <w:vAlign w:val="center"/>
          </w:tcPr>
          <w:p>
            <w:pPr>
              <w:jc w:val="right"/>
              <w:rPr>
                <w:color w:val="auto"/>
                <w:highlight w:val="none"/>
              </w:rPr>
            </w:pPr>
            <w:r>
              <w:rPr>
                <w:rFonts w:ascii="宋体" w:hAnsi="宋体" w:eastAsia="宋体" w:cs="宋体"/>
                <w:b w:val="0"/>
                <w:i w:val="0"/>
                <w:color w:val="auto"/>
                <w:sz w:val="14"/>
                <w:highlight w:val="none"/>
              </w:rPr>
              <w:t>30.01</w:t>
            </w:r>
          </w:p>
        </w:tc>
        <w:tc>
          <w:tcPr>
            <w:tcW w:w="2340" w:type="dxa"/>
            <w:vAlign w:val="center"/>
          </w:tcPr>
          <w:p>
            <w:pPr>
              <w:jc w:val="left"/>
              <w:rPr>
                <w:color w:val="auto"/>
                <w:highlight w:val="none"/>
              </w:rPr>
            </w:pPr>
            <w:r>
              <w:rPr>
                <w:rFonts w:ascii="宋体" w:hAnsi="宋体" w:eastAsia="宋体" w:cs="宋体"/>
                <w:b w:val="0"/>
                <w:i w:val="0"/>
                <w:color w:val="auto"/>
                <w:sz w:val="14"/>
                <w:highlight w:val="none"/>
              </w:rPr>
              <w:t>八、社会保障和就业支出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39</w:t>
            </w:r>
          </w:p>
        </w:tc>
        <w:tc>
          <w:tcPr>
            <w:tcW w:w="1206" w:type="dxa"/>
            <w:vAlign w:val="center"/>
          </w:tcPr>
          <w:p>
            <w:pPr>
              <w:jc w:val="right"/>
              <w:rPr>
                <w:color w:val="auto"/>
                <w:highlight w:val="none"/>
              </w:rPr>
            </w:pPr>
            <w:r>
              <w:rPr>
                <w:rFonts w:ascii="宋体" w:hAnsi="宋体" w:eastAsia="宋体" w:cs="宋体"/>
                <w:b w:val="0"/>
                <w:i w:val="0"/>
                <w:color w:val="auto"/>
                <w:sz w:val="14"/>
                <w:highlight w:val="none"/>
              </w:rPr>
              <w:t>45.98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9</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九、卫生健康支出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40</w:t>
            </w:r>
          </w:p>
        </w:tc>
        <w:tc>
          <w:tcPr>
            <w:tcW w:w="1206" w:type="dxa"/>
            <w:vAlign w:val="center"/>
          </w:tcPr>
          <w:p>
            <w:pPr>
              <w:jc w:val="right"/>
              <w:rPr>
                <w:color w:val="auto"/>
                <w:highlight w:val="none"/>
              </w:rPr>
            </w:pPr>
            <w:r>
              <w:rPr>
                <w:rFonts w:ascii="宋体" w:hAnsi="宋体" w:eastAsia="宋体" w:cs="宋体"/>
                <w:b w:val="0"/>
                <w:i w:val="0"/>
                <w:color w:val="auto"/>
                <w:sz w:val="14"/>
                <w:highlight w:val="none"/>
              </w:rPr>
              <w:t>26.78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10</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十、节能环保支出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41</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11</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十一、城乡社区支出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42</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12</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十二、农林水支出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43</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13</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十三、交通运输支出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44</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14</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十四、资源勘探工业信息等支出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45</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15</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十五、商业服务业等支出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46</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16</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十六、金融支出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47</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17</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十七、援助其他地区支出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48</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18</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十八、自然资源海洋气象等支出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49</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19</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十九、住房保障支出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50</w:t>
            </w:r>
          </w:p>
        </w:tc>
        <w:tc>
          <w:tcPr>
            <w:tcW w:w="1206" w:type="dxa"/>
            <w:vAlign w:val="center"/>
          </w:tcPr>
          <w:p>
            <w:pPr>
              <w:jc w:val="right"/>
              <w:rPr>
                <w:color w:val="auto"/>
                <w:highlight w:val="none"/>
              </w:rPr>
            </w:pPr>
            <w:r>
              <w:rPr>
                <w:rFonts w:ascii="宋体" w:hAnsi="宋体" w:eastAsia="宋体" w:cs="宋体"/>
                <w:b w:val="0"/>
                <w:i w:val="0"/>
                <w:color w:val="auto"/>
                <w:sz w:val="14"/>
                <w:highlight w:val="none"/>
              </w:rPr>
              <w:t>31.88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20</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二十、粮油物资储备支出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51</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21</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二十一、国有资本经营预算支出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52</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22</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二十二、灾害防治及应急管理支出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53</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23</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二十三、其他支出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54</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24</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二十四、债务还本支出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55</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25</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二十五、债务付息支出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56</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26</w:t>
            </w:r>
          </w:p>
        </w:tc>
        <w:tc>
          <w:tcPr>
            <w:tcW w:w="1220" w:type="dxa"/>
            <w:vAlign w:val="center"/>
          </w:tcPr>
          <w:p>
            <w:pPr>
              <w:rPr>
                <w:color w:val="auto"/>
                <w:highlight w:val="none"/>
              </w:rPr>
            </w:pPr>
          </w:p>
        </w:tc>
        <w:tc>
          <w:tcPr>
            <w:tcW w:w="2340" w:type="dxa"/>
            <w:vAlign w:val="center"/>
          </w:tcPr>
          <w:p>
            <w:pPr>
              <w:jc w:val="left"/>
              <w:rPr>
                <w:color w:val="auto"/>
                <w:highlight w:val="none"/>
              </w:rPr>
            </w:pPr>
            <w:r>
              <w:rPr>
                <w:rFonts w:ascii="宋体" w:hAnsi="宋体" w:eastAsia="宋体" w:cs="宋体"/>
                <w:b w:val="0"/>
                <w:i w:val="0"/>
                <w:color w:val="auto"/>
                <w:sz w:val="14"/>
                <w:highlight w:val="none"/>
              </w:rPr>
              <w:t>二十六、抗疫特别国债安排的支出</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57</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本年收入合计</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27</w:t>
            </w:r>
          </w:p>
        </w:tc>
        <w:tc>
          <w:tcPr>
            <w:tcW w:w="1220" w:type="dxa"/>
            <w:vAlign w:val="center"/>
          </w:tcPr>
          <w:p>
            <w:pPr>
              <w:jc w:val="right"/>
              <w:rPr>
                <w:color w:val="auto"/>
                <w:highlight w:val="none"/>
              </w:rPr>
            </w:pPr>
            <w:r>
              <w:rPr>
                <w:rFonts w:ascii="宋体" w:hAnsi="宋体" w:eastAsia="宋体" w:cs="宋体"/>
                <w:b w:val="0"/>
                <w:i w:val="0"/>
                <w:color w:val="auto"/>
                <w:sz w:val="14"/>
                <w:highlight w:val="none"/>
              </w:rPr>
              <w:t>1,064.24</w:t>
            </w:r>
          </w:p>
        </w:tc>
        <w:tc>
          <w:tcPr>
            <w:tcW w:w="2340" w:type="dxa"/>
            <w:vAlign w:val="center"/>
          </w:tcPr>
          <w:p>
            <w:pPr>
              <w:jc w:val="left"/>
              <w:rPr>
                <w:color w:val="auto"/>
                <w:highlight w:val="none"/>
              </w:rPr>
            </w:pPr>
            <w:r>
              <w:rPr>
                <w:rFonts w:ascii="宋体" w:hAnsi="宋体" w:eastAsia="宋体" w:cs="宋体"/>
                <w:b w:val="0"/>
                <w:i w:val="0"/>
                <w:color w:val="auto"/>
                <w:sz w:val="14"/>
                <w:highlight w:val="none"/>
              </w:rPr>
              <w:t>本年支出合计</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58</w:t>
            </w:r>
          </w:p>
        </w:tc>
        <w:tc>
          <w:tcPr>
            <w:tcW w:w="1206" w:type="dxa"/>
            <w:vAlign w:val="center"/>
          </w:tcPr>
          <w:p>
            <w:pPr>
              <w:jc w:val="right"/>
              <w:rPr>
                <w:color w:val="auto"/>
                <w:highlight w:val="none"/>
              </w:rPr>
            </w:pPr>
            <w:r>
              <w:rPr>
                <w:rFonts w:ascii="宋体" w:hAnsi="宋体" w:eastAsia="宋体" w:cs="宋体"/>
                <w:b w:val="0"/>
                <w:i w:val="0"/>
                <w:color w:val="auto"/>
                <w:sz w:val="14"/>
                <w:highlight w:val="none"/>
              </w:rPr>
              <w:t>1,060.16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使用非财政拨款结余</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28</w:t>
            </w:r>
          </w:p>
        </w:tc>
        <w:tc>
          <w:tcPr>
            <w:tcW w:w="1220" w:type="dxa"/>
            <w:vAlign w:val="center"/>
          </w:tcPr>
          <w:p>
            <w:pPr>
              <w:rPr>
                <w:color w:val="auto"/>
                <w:highlight w:val="none"/>
              </w:rPr>
            </w:pPr>
          </w:p>
        </w:tc>
        <w:tc>
          <w:tcPr>
            <w:tcW w:w="2340" w:type="dxa"/>
            <w:vAlign w:val="center"/>
          </w:tcPr>
          <w:p>
            <w:pPr>
              <w:jc w:val="left"/>
              <w:rPr>
                <w:rFonts w:hint="eastAsia" w:eastAsia="宋体"/>
                <w:color w:val="auto"/>
                <w:highlight w:val="none"/>
                <w:lang w:eastAsia="zh-CN"/>
              </w:rPr>
            </w:pPr>
            <w:r>
              <w:rPr>
                <w:rFonts w:ascii="宋体" w:hAnsi="宋体" w:eastAsia="宋体" w:cs="宋体"/>
                <w:b w:val="0"/>
                <w:i w:val="0"/>
                <w:color w:val="auto"/>
                <w:sz w:val="14"/>
                <w:highlight w:val="none"/>
              </w:rPr>
              <w:t>结余分配</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59</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left"/>
              <w:rPr>
                <w:color w:val="auto"/>
                <w:highlight w:val="none"/>
              </w:rPr>
            </w:pPr>
            <w:r>
              <w:rPr>
                <w:rFonts w:ascii="宋体" w:hAnsi="宋体" w:eastAsia="宋体" w:cs="宋体"/>
                <w:b w:val="0"/>
                <w:i w:val="0"/>
                <w:color w:val="auto"/>
                <w:sz w:val="14"/>
                <w:highlight w:val="none"/>
              </w:rPr>
              <w:t>年初结转和结余</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29</w:t>
            </w:r>
          </w:p>
        </w:tc>
        <w:tc>
          <w:tcPr>
            <w:tcW w:w="1220" w:type="dxa"/>
            <w:vAlign w:val="center"/>
          </w:tcPr>
          <w:p>
            <w:pPr>
              <w:rPr>
                <w:color w:val="auto"/>
                <w:highlight w:val="none"/>
              </w:rPr>
            </w:pPr>
          </w:p>
        </w:tc>
        <w:tc>
          <w:tcPr>
            <w:tcW w:w="2340" w:type="dxa"/>
            <w:vAlign w:val="center"/>
          </w:tcPr>
          <w:p>
            <w:pPr>
              <w:jc w:val="left"/>
              <w:rPr>
                <w:rFonts w:hint="eastAsia" w:eastAsia="宋体"/>
                <w:color w:val="auto"/>
                <w:highlight w:val="none"/>
                <w:lang w:eastAsia="zh-CN"/>
              </w:rPr>
            </w:pPr>
            <w:r>
              <w:rPr>
                <w:rFonts w:ascii="宋体" w:hAnsi="宋体" w:eastAsia="宋体" w:cs="宋体"/>
                <w:b w:val="0"/>
                <w:i w:val="0"/>
                <w:color w:val="auto"/>
                <w:sz w:val="14"/>
                <w:highlight w:val="none"/>
              </w:rPr>
              <w:t>年末结转和结余</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60</w:t>
            </w:r>
          </w:p>
        </w:tc>
        <w:tc>
          <w:tcPr>
            <w:tcW w:w="1206" w:type="dxa"/>
            <w:vAlign w:val="center"/>
          </w:tcPr>
          <w:p>
            <w:pPr>
              <w:jc w:val="right"/>
              <w:rPr>
                <w:color w:val="auto"/>
                <w:highlight w:val="none"/>
              </w:rPr>
            </w:pPr>
            <w:r>
              <w:rPr>
                <w:rFonts w:ascii="宋体" w:hAnsi="宋体" w:eastAsia="宋体" w:cs="宋体"/>
                <w:b w:val="0"/>
                <w:i w:val="0"/>
                <w:color w:val="auto"/>
                <w:sz w:val="14"/>
                <w:highlight w:val="none"/>
              </w:rPr>
              <w:t>4.08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30</w:t>
            </w:r>
          </w:p>
        </w:tc>
        <w:tc>
          <w:tcPr>
            <w:tcW w:w="1220" w:type="dxa"/>
            <w:vAlign w:val="center"/>
          </w:tcPr>
          <w:p>
            <w:pPr>
              <w:rPr>
                <w:color w:val="auto"/>
                <w:highlight w:val="none"/>
              </w:rPr>
            </w:pPr>
          </w:p>
        </w:tc>
        <w:tc>
          <w:tcPr>
            <w:tcW w:w="2340" w:type="dxa"/>
            <w:vAlign w:val="center"/>
          </w:tcPr>
          <w:p>
            <w:pPr>
              <w:rPr>
                <w:color w:val="auto"/>
                <w:highlight w:val="none"/>
              </w:rPr>
            </w:pPr>
          </w:p>
        </w:tc>
        <w:tc>
          <w:tcPr>
            <w:tcW w:w="460" w:type="dxa"/>
            <w:vAlign w:val="center"/>
          </w:tcPr>
          <w:p>
            <w:pPr>
              <w:jc w:val="center"/>
              <w:rPr>
                <w:color w:val="auto"/>
                <w:highlight w:val="none"/>
              </w:rPr>
            </w:pPr>
            <w:r>
              <w:rPr>
                <w:rFonts w:ascii="宋体" w:hAnsi="宋体" w:eastAsia="宋体" w:cs="宋体"/>
                <w:b w:val="0"/>
                <w:i w:val="0"/>
                <w:color w:val="auto"/>
                <w:sz w:val="14"/>
                <w:highlight w:val="none"/>
              </w:rPr>
              <w:t>61</w:t>
            </w:r>
          </w:p>
        </w:tc>
        <w:tc>
          <w:tcPr>
            <w:tcW w:w="120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pPr>
              <w:jc w:val="center"/>
              <w:rPr>
                <w:color w:val="auto"/>
                <w:highlight w:val="none"/>
              </w:rPr>
            </w:pPr>
            <w:r>
              <w:rPr>
                <w:rFonts w:ascii="宋体" w:hAnsi="宋体" w:eastAsia="宋体" w:cs="宋体"/>
                <w:b/>
                <w:i w:val="0"/>
                <w:color w:val="auto"/>
                <w:sz w:val="14"/>
                <w:highlight w:val="none"/>
              </w:rPr>
              <w:t>总计</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31</w:t>
            </w:r>
          </w:p>
        </w:tc>
        <w:tc>
          <w:tcPr>
            <w:tcW w:w="1220" w:type="dxa"/>
            <w:vAlign w:val="center"/>
          </w:tcPr>
          <w:p>
            <w:pPr>
              <w:jc w:val="right"/>
              <w:rPr>
                <w:color w:val="auto"/>
                <w:highlight w:val="none"/>
              </w:rPr>
            </w:pPr>
            <w:r>
              <w:rPr>
                <w:rFonts w:ascii="宋体" w:hAnsi="宋体" w:eastAsia="宋体" w:cs="宋体"/>
                <w:b w:val="0"/>
                <w:i w:val="0"/>
                <w:color w:val="auto"/>
                <w:sz w:val="14"/>
                <w:highlight w:val="none"/>
              </w:rPr>
              <w:t>1,064.24</w:t>
            </w:r>
          </w:p>
        </w:tc>
        <w:tc>
          <w:tcPr>
            <w:tcW w:w="2340" w:type="dxa"/>
            <w:vAlign w:val="center"/>
          </w:tcPr>
          <w:p>
            <w:pPr>
              <w:jc w:val="center"/>
              <w:rPr>
                <w:color w:val="auto"/>
                <w:highlight w:val="none"/>
              </w:rPr>
            </w:pPr>
            <w:r>
              <w:rPr>
                <w:rFonts w:ascii="宋体" w:hAnsi="宋体" w:eastAsia="宋体" w:cs="宋体"/>
                <w:b/>
                <w:i w:val="0"/>
                <w:color w:val="auto"/>
                <w:sz w:val="14"/>
                <w:highlight w:val="none"/>
              </w:rPr>
              <w:t>总计</w:t>
            </w:r>
          </w:p>
        </w:tc>
        <w:tc>
          <w:tcPr>
            <w:tcW w:w="460" w:type="dxa"/>
            <w:vAlign w:val="center"/>
          </w:tcPr>
          <w:p>
            <w:pPr>
              <w:jc w:val="center"/>
              <w:rPr>
                <w:color w:val="auto"/>
                <w:highlight w:val="none"/>
              </w:rPr>
            </w:pPr>
            <w:r>
              <w:rPr>
                <w:rFonts w:ascii="宋体" w:hAnsi="宋体" w:eastAsia="宋体" w:cs="宋体"/>
                <w:b w:val="0"/>
                <w:i w:val="0"/>
                <w:color w:val="auto"/>
                <w:sz w:val="14"/>
                <w:highlight w:val="none"/>
              </w:rPr>
              <w:t>62</w:t>
            </w:r>
          </w:p>
        </w:tc>
        <w:tc>
          <w:tcPr>
            <w:tcW w:w="1206" w:type="dxa"/>
            <w:vAlign w:val="center"/>
          </w:tcPr>
          <w:p>
            <w:pPr>
              <w:jc w:val="right"/>
              <w:rPr>
                <w:color w:val="auto"/>
                <w:highlight w:val="none"/>
              </w:rPr>
            </w:pPr>
            <w:r>
              <w:rPr>
                <w:rFonts w:ascii="宋体" w:hAnsi="宋体" w:eastAsia="宋体" w:cs="宋体"/>
                <w:b w:val="0"/>
                <w:i w:val="0"/>
                <w:color w:val="auto"/>
                <w:sz w:val="14"/>
                <w:highlight w:val="none"/>
              </w:rPr>
              <w:t>1,064.24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4"/>
                <w:highlight w:val="none"/>
              </w:rPr>
              <w:t>注：本套报表金额单位转换时可能存在尾数误差。</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highlight w:val="none"/>
              </w:rPr>
            </w:pPr>
            <w:r>
              <w:rPr>
                <w:rFonts w:ascii="宋体" w:hAnsi="宋体" w:eastAsia="宋体" w:cs="宋体"/>
                <w:color w:val="auto"/>
                <w:sz w:val="20"/>
                <w:highlight w:val="none"/>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3153"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pPr>
              <w:jc w:val="center"/>
              <w:rPr>
                <w:color w:val="auto"/>
                <w:highlight w:val="none"/>
              </w:rPr>
            </w:pPr>
            <w:r>
              <w:rPr>
                <w:rFonts w:ascii="宋体" w:hAnsi="宋体" w:eastAsia="宋体" w:cs="宋体"/>
                <w:b w:val="0"/>
                <w:i w:val="0"/>
                <w:color w:val="auto"/>
                <w:sz w:val="9"/>
                <w:highlight w:val="none"/>
              </w:rPr>
              <w:t>项目</w:t>
            </w:r>
          </w:p>
        </w:tc>
        <w:tc>
          <w:tcPr>
            <w:tcW w:w="860" w:type="dxa"/>
            <w:vMerge w:val="restart"/>
            <w:vAlign w:val="center"/>
          </w:tcPr>
          <w:p>
            <w:pPr>
              <w:jc w:val="center"/>
              <w:rPr>
                <w:color w:val="auto"/>
                <w:highlight w:val="none"/>
              </w:rPr>
            </w:pPr>
            <w:r>
              <w:rPr>
                <w:rFonts w:ascii="宋体" w:hAnsi="宋体" w:eastAsia="宋体" w:cs="宋体"/>
                <w:b w:val="0"/>
                <w:i w:val="0"/>
                <w:color w:val="auto"/>
                <w:sz w:val="9"/>
                <w:highlight w:val="none"/>
              </w:rPr>
              <w:t>本年收入合计</w:t>
            </w:r>
          </w:p>
        </w:tc>
        <w:tc>
          <w:tcPr>
            <w:tcW w:w="900" w:type="dxa"/>
            <w:vMerge w:val="restart"/>
            <w:vAlign w:val="center"/>
          </w:tcPr>
          <w:p>
            <w:pPr>
              <w:jc w:val="center"/>
              <w:rPr>
                <w:color w:val="auto"/>
                <w:highlight w:val="none"/>
              </w:rPr>
            </w:pPr>
            <w:r>
              <w:rPr>
                <w:rFonts w:ascii="宋体" w:hAnsi="宋体" w:eastAsia="宋体" w:cs="宋体"/>
                <w:b w:val="0"/>
                <w:i w:val="0"/>
                <w:color w:val="auto"/>
                <w:sz w:val="9"/>
                <w:highlight w:val="none"/>
              </w:rPr>
              <w:t>财政拨款收入</w:t>
            </w:r>
          </w:p>
        </w:tc>
        <w:tc>
          <w:tcPr>
            <w:tcW w:w="880" w:type="dxa"/>
            <w:vMerge w:val="restart"/>
            <w:vAlign w:val="center"/>
          </w:tcPr>
          <w:p>
            <w:pPr>
              <w:jc w:val="center"/>
              <w:rPr>
                <w:color w:val="auto"/>
                <w:highlight w:val="none"/>
              </w:rPr>
            </w:pPr>
            <w:r>
              <w:rPr>
                <w:rFonts w:ascii="宋体" w:hAnsi="宋体" w:eastAsia="宋体" w:cs="宋体"/>
                <w:b w:val="0"/>
                <w:i w:val="0"/>
                <w:color w:val="auto"/>
                <w:sz w:val="9"/>
                <w:highlight w:val="none"/>
              </w:rPr>
              <w:t>上级补助收入</w:t>
            </w:r>
          </w:p>
        </w:tc>
        <w:tc>
          <w:tcPr>
            <w:tcW w:w="880" w:type="dxa"/>
            <w:vMerge w:val="restart"/>
            <w:vAlign w:val="center"/>
          </w:tcPr>
          <w:p>
            <w:pPr>
              <w:jc w:val="center"/>
              <w:rPr>
                <w:color w:val="auto"/>
                <w:highlight w:val="none"/>
              </w:rPr>
            </w:pPr>
            <w:r>
              <w:rPr>
                <w:rFonts w:ascii="宋体" w:hAnsi="宋体" w:eastAsia="宋体" w:cs="宋体"/>
                <w:b w:val="0"/>
                <w:i w:val="0"/>
                <w:color w:val="auto"/>
                <w:sz w:val="9"/>
                <w:highlight w:val="none"/>
              </w:rPr>
              <w:t>事业收入</w:t>
            </w:r>
          </w:p>
        </w:tc>
        <w:tc>
          <w:tcPr>
            <w:tcW w:w="900" w:type="dxa"/>
            <w:vMerge w:val="restart"/>
            <w:vAlign w:val="center"/>
          </w:tcPr>
          <w:p>
            <w:pPr>
              <w:jc w:val="center"/>
              <w:rPr>
                <w:color w:val="auto"/>
                <w:highlight w:val="none"/>
              </w:rPr>
            </w:pPr>
            <w:r>
              <w:rPr>
                <w:rFonts w:ascii="宋体" w:hAnsi="宋体" w:eastAsia="宋体" w:cs="宋体"/>
                <w:b w:val="0"/>
                <w:i w:val="0"/>
                <w:color w:val="auto"/>
                <w:sz w:val="9"/>
                <w:highlight w:val="none"/>
              </w:rPr>
              <w:t>经营收入</w:t>
            </w:r>
          </w:p>
        </w:tc>
        <w:tc>
          <w:tcPr>
            <w:tcW w:w="880" w:type="dxa"/>
            <w:vMerge w:val="restart"/>
            <w:vAlign w:val="center"/>
          </w:tcPr>
          <w:p>
            <w:pPr>
              <w:jc w:val="center"/>
              <w:rPr>
                <w:color w:val="auto"/>
                <w:highlight w:val="none"/>
              </w:rPr>
            </w:pPr>
            <w:r>
              <w:rPr>
                <w:rFonts w:ascii="宋体" w:hAnsi="宋体" w:eastAsia="宋体" w:cs="宋体"/>
                <w:b w:val="0"/>
                <w:i w:val="0"/>
                <w:color w:val="auto"/>
                <w:sz w:val="9"/>
                <w:highlight w:val="none"/>
              </w:rPr>
              <w:t>附属单位上缴收入</w:t>
            </w:r>
          </w:p>
        </w:tc>
        <w:tc>
          <w:tcPr>
            <w:tcW w:w="986" w:type="dxa"/>
            <w:vMerge w:val="restart"/>
            <w:vAlign w:val="center"/>
          </w:tcPr>
          <w:p>
            <w:pPr>
              <w:jc w:val="center"/>
              <w:rPr>
                <w:color w:val="auto"/>
                <w:highlight w:val="none"/>
              </w:rPr>
            </w:pPr>
            <w:r>
              <w:rPr>
                <w:rFonts w:ascii="宋体" w:hAnsi="宋体" w:eastAsia="宋体" w:cs="宋体"/>
                <w:b w:val="0"/>
                <w:i w:val="0"/>
                <w:color w:val="auto"/>
                <w:sz w:val="9"/>
                <w:highlight w:val="none"/>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pPr>
              <w:jc w:val="center"/>
              <w:rPr>
                <w:color w:val="auto"/>
                <w:highlight w:val="none"/>
              </w:rPr>
            </w:pPr>
            <w:r>
              <w:rPr>
                <w:rFonts w:ascii="宋体" w:hAnsi="宋体" w:eastAsia="宋体" w:cs="宋体"/>
                <w:b w:val="0"/>
                <w:i w:val="0"/>
                <w:color w:val="auto"/>
                <w:sz w:val="9"/>
                <w:highlight w:val="none"/>
              </w:rPr>
              <w:t>支出功能分类科目编码</w:t>
            </w:r>
          </w:p>
        </w:tc>
        <w:tc>
          <w:tcPr>
            <w:tcW w:w="1420" w:type="dxa"/>
            <w:vMerge w:val="restart"/>
            <w:vAlign w:val="center"/>
          </w:tcPr>
          <w:p>
            <w:pPr>
              <w:jc w:val="center"/>
              <w:rPr>
                <w:color w:val="auto"/>
                <w:highlight w:val="none"/>
              </w:rPr>
            </w:pPr>
            <w:r>
              <w:rPr>
                <w:rFonts w:ascii="宋体" w:hAnsi="宋体" w:eastAsia="宋体" w:cs="宋体"/>
                <w:b w:val="0"/>
                <w:i w:val="0"/>
                <w:color w:val="auto"/>
                <w:sz w:val="9"/>
                <w:highlight w:val="none"/>
              </w:rPr>
              <w:t>科目名称</w:t>
            </w:r>
          </w:p>
        </w:tc>
        <w:tc>
          <w:tcPr>
            <w:tcW w:w="860" w:type="dxa"/>
            <w:vMerge w:val="continue"/>
            <w:vAlign w:val="center"/>
          </w:tcPr>
          <w:p>
            <w:pPr>
              <w:rPr>
                <w:color w:val="auto"/>
                <w:highlight w:val="none"/>
              </w:rPr>
            </w:pPr>
          </w:p>
        </w:tc>
        <w:tc>
          <w:tcPr>
            <w:tcW w:w="90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90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98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pPr>
              <w:rPr>
                <w:color w:val="auto"/>
                <w:highlight w:val="none"/>
              </w:rPr>
            </w:pPr>
          </w:p>
        </w:tc>
        <w:tc>
          <w:tcPr>
            <w:tcW w:w="1420" w:type="dxa"/>
            <w:vMerge w:val="continue"/>
            <w:vAlign w:val="center"/>
          </w:tcPr>
          <w:p>
            <w:pPr>
              <w:rPr>
                <w:color w:val="auto"/>
                <w:highlight w:val="none"/>
              </w:rPr>
            </w:pPr>
          </w:p>
        </w:tc>
        <w:tc>
          <w:tcPr>
            <w:tcW w:w="860" w:type="dxa"/>
            <w:vMerge w:val="continue"/>
            <w:vAlign w:val="center"/>
          </w:tcPr>
          <w:p>
            <w:pPr>
              <w:rPr>
                <w:color w:val="auto"/>
                <w:highlight w:val="none"/>
              </w:rPr>
            </w:pPr>
          </w:p>
        </w:tc>
        <w:tc>
          <w:tcPr>
            <w:tcW w:w="90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90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98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pPr>
              <w:rPr>
                <w:color w:val="auto"/>
                <w:highlight w:val="none"/>
              </w:rPr>
            </w:pPr>
          </w:p>
        </w:tc>
        <w:tc>
          <w:tcPr>
            <w:tcW w:w="1420" w:type="dxa"/>
            <w:vMerge w:val="continue"/>
            <w:vAlign w:val="center"/>
          </w:tcPr>
          <w:p>
            <w:pPr>
              <w:rPr>
                <w:color w:val="auto"/>
                <w:highlight w:val="none"/>
              </w:rPr>
            </w:pPr>
          </w:p>
        </w:tc>
        <w:tc>
          <w:tcPr>
            <w:tcW w:w="860" w:type="dxa"/>
            <w:vMerge w:val="continue"/>
            <w:vAlign w:val="center"/>
          </w:tcPr>
          <w:p>
            <w:pPr>
              <w:rPr>
                <w:color w:val="auto"/>
                <w:highlight w:val="none"/>
              </w:rPr>
            </w:pPr>
          </w:p>
        </w:tc>
        <w:tc>
          <w:tcPr>
            <w:tcW w:w="90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900" w:type="dxa"/>
            <w:vMerge w:val="continue"/>
            <w:vAlign w:val="center"/>
          </w:tcPr>
          <w:p>
            <w:pPr>
              <w:rPr>
                <w:color w:val="auto"/>
                <w:highlight w:val="none"/>
              </w:rPr>
            </w:pPr>
          </w:p>
        </w:tc>
        <w:tc>
          <w:tcPr>
            <w:tcW w:w="880" w:type="dxa"/>
            <w:vMerge w:val="continue"/>
            <w:vAlign w:val="center"/>
          </w:tcPr>
          <w:p>
            <w:pPr>
              <w:rPr>
                <w:color w:val="auto"/>
                <w:highlight w:val="none"/>
              </w:rPr>
            </w:pPr>
          </w:p>
        </w:tc>
        <w:tc>
          <w:tcPr>
            <w:tcW w:w="98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pPr>
              <w:jc w:val="center"/>
              <w:rPr>
                <w:color w:val="auto"/>
                <w:highlight w:val="none"/>
              </w:rPr>
            </w:pPr>
            <w:r>
              <w:rPr>
                <w:rFonts w:ascii="宋体" w:hAnsi="宋体" w:eastAsia="宋体" w:cs="宋体"/>
                <w:b w:val="0"/>
                <w:i w:val="0"/>
                <w:color w:val="auto"/>
                <w:sz w:val="9"/>
                <w:highlight w:val="none"/>
              </w:rPr>
              <w:t>类</w:t>
            </w:r>
          </w:p>
        </w:tc>
        <w:tc>
          <w:tcPr>
            <w:tcW w:w="220" w:type="dxa"/>
            <w:vMerge w:val="restart"/>
            <w:vAlign w:val="center"/>
          </w:tcPr>
          <w:p>
            <w:pPr>
              <w:jc w:val="center"/>
              <w:rPr>
                <w:color w:val="auto"/>
                <w:highlight w:val="none"/>
              </w:rPr>
            </w:pPr>
            <w:r>
              <w:rPr>
                <w:rFonts w:ascii="宋体" w:hAnsi="宋体" w:eastAsia="宋体" w:cs="宋体"/>
                <w:b w:val="0"/>
                <w:i w:val="0"/>
                <w:color w:val="auto"/>
                <w:sz w:val="9"/>
                <w:highlight w:val="none"/>
              </w:rPr>
              <w:t>款</w:t>
            </w:r>
          </w:p>
        </w:tc>
        <w:tc>
          <w:tcPr>
            <w:tcW w:w="200" w:type="dxa"/>
            <w:vMerge w:val="restart"/>
            <w:vAlign w:val="center"/>
          </w:tcPr>
          <w:p>
            <w:pPr>
              <w:jc w:val="center"/>
              <w:rPr>
                <w:color w:val="auto"/>
                <w:highlight w:val="none"/>
              </w:rPr>
            </w:pPr>
            <w:r>
              <w:rPr>
                <w:rFonts w:ascii="宋体" w:hAnsi="宋体" w:eastAsia="宋体" w:cs="宋体"/>
                <w:b w:val="0"/>
                <w:i w:val="0"/>
                <w:color w:val="auto"/>
                <w:sz w:val="9"/>
                <w:highlight w:val="none"/>
              </w:rPr>
              <w:t>项</w:t>
            </w:r>
          </w:p>
        </w:tc>
        <w:tc>
          <w:tcPr>
            <w:tcW w:w="1420" w:type="dxa"/>
            <w:vAlign w:val="center"/>
          </w:tcPr>
          <w:p>
            <w:pPr>
              <w:jc w:val="center"/>
              <w:rPr>
                <w:color w:val="auto"/>
                <w:highlight w:val="none"/>
              </w:rPr>
            </w:pPr>
            <w:r>
              <w:rPr>
                <w:rFonts w:ascii="宋体" w:hAnsi="宋体" w:eastAsia="宋体" w:cs="宋体"/>
                <w:b w:val="0"/>
                <w:i w:val="0"/>
                <w:color w:val="auto"/>
                <w:sz w:val="9"/>
                <w:highlight w:val="none"/>
              </w:rPr>
              <w:t>栏次</w:t>
            </w:r>
          </w:p>
        </w:tc>
        <w:tc>
          <w:tcPr>
            <w:tcW w:w="860" w:type="dxa"/>
            <w:vAlign w:val="center"/>
          </w:tcPr>
          <w:p>
            <w:pPr>
              <w:jc w:val="center"/>
              <w:rPr>
                <w:color w:val="auto"/>
                <w:highlight w:val="none"/>
              </w:rPr>
            </w:pPr>
            <w:r>
              <w:rPr>
                <w:rFonts w:ascii="宋体" w:hAnsi="宋体" w:eastAsia="宋体" w:cs="宋体"/>
                <w:b w:val="0"/>
                <w:i w:val="0"/>
                <w:color w:val="auto"/>
                <w:sz w:val="9"/>
                <w:highlight w:val="none"/>
              </w:rPr>
              <w:t>1</w:t>
            </w:r>
          </w:p>
        </w:tc>
        <w:tc>
          <w:tcPr>
            <w:tcW w:w="900" w:type="dxa"/>
            <w:vAlign w:val="center"/>
          </w:tcPr>
          <w:p>
            <w:pPr>
              <w:jc w:val="center"/>
              <w:rPr>
                <w:color w:val="auto"/>
                <w:highlight w:val="none"/>
              </w:rPr>
            </w:pPr>
            <w:r>
              <w:rPr>
                <w:rFonts w:ascii="宋体" w:hAnsi="宋体" w:eastAsia="宋体" w:cs="宋体"/>
                <w:b w:val="0"/>
                <w:i w:val="0"/>
                <w:color w:val="auto"/>
                <w:sz w:val="9"/>
                <w:highlight w:val="none"/>
              </w:rPr>
              <w:t>2</w:t>
            </w:r>
          </w:p>
        </w:tc>
        <w:tc>
          <w:tcPr>
            <w:tcW w:w="880" w:type="dxa"/>
            <w:vAlign w:val="center"/>
          </w:tcPr>
          <w:p>
            <w:pPr>
              <w:jc w:val="center"/>
              <w:rPr>
                <w:color w:val="auto"/>
                <w:highlight w:val="none"/>
              </w:rPr>
            </w:pPr>
            <w:r>
              <w:rPr>
                <w:rFonts w:ascii="宋体" w:hAnsi="宋体" w:eastAsia="宋体" w:cs="宋体"/>
                <w:b w:val="0"/>
                <w:i w:val="0"/>
                <w:color w:val="auto"/>
                <w:sz w:val="9"/>
                <w:highlight w:val="none"/>
              </w:rPr>
              <w:t>3</w:t>
            </w:r>
          </w:p>
        </w:tc>
        <w:tc>
          <w:tcPr>
            <w:tcW w:w="880" w:type="dxa"/>
            <w:vAlign w:val="center"/>
          </w:tcPr>
          <w:p>
            <w:pPr>
              <w:jc w:val="center"/>
              <w:rPr>
                <w:color w:val="auto"/>
                <w:highlight w:val="none"/>
              </w:rPr>
            </w:pPr>
            <w:r>
              <w:rPr>
                <w:rFonts w:ascii="宋体" w:hAnsi="宋体" w:eastAsia="宋体" w:cs="宋体"/>
                <w:b w:val="0"/>
                <w:i w:val="0"/>
                <w:color w:val="auto"/>
                <w:sz w:val="9"/>
                <w:highlight w:val="none"/>
              </w:rPr>
              <w:t>4</w:t>
            </w:r>
          </w:p>
        </w:tc>
        <w:tc>
          <w:tcPr>
            <w:tcW w:w="900" w:type="dxa"/>
            <w:vAlign w:val="center"/>
          </w:tcPr>
          <w:p>
            <w:pPr>
              <w:jc w:val="center"/>
              <w:rPr>
                <w:color w:val="auto"/>
                <w:highlight w:val="none"/>
              </w:rPr>
            </w:pPr>
            <w:r>
              <w:rPr>
                <w:rFonts w:ascii="宋体" w:hAnsi="宋体" w:eastAsia="宋体" w:cs="宋体"/>
                <w:b w:val="0"/>
                <w:i w:val="0"/>
                <w:color w:val="auto"/>
                <w:sz w:val="9"/>
                <w:highlight w:val="none"/>
              </w:rPr>
              <w:t>5</w:t>
            </w:r>
          </w:p>
        </w:tc>
        <w:tc>
          <w:tcPr>
            <w:tcW w:w="880" w:type="dxa"/>
            <w:vAlign w:val="center"/>
          </w:tcPr>
          <w:p>
            <w:pPr>
              <w:jc w:val="center"/>
              <w:rPr>
                <w:color w:val="auto"/>
                <w:highlight w:val="none"/>
              </w:rPr>
            </w:pPr>
            <w:r>
              <w:rPr>
                <w:rFonts w:ascii="宋体" w:hAnsi="宋体" w:eastAsia="宋体" w:cs="宋体"/>
                <w:b w:val="0"/>
                <w:i w:val="0"/>
                <w:color w:val="auto"/>
                <w:sz w:val="9"/>
                <w:highlight w:val="none"/>
              </w:rPr>
              <w:t>6</w:t>
            </w:r>
          </w:p>
        </w:tc>
        <w:tc>
          <w:tcPr>
            <w:tcW w:w="986" w:type="dxa"/>
            <w:vAlign w:val="center"/>
          </w:tcPr>
          <w:p>
            <w:pPr>
              <w:jc w:val="center"/>
              <w:rPr>
                <w:rFonts w:hint="eastAsia" w:eastAsia="宋体"/>
                <w:color w:val="auto"/>
                <w:highlight w:val="none"/>
                <w:lang w:eastAsia="zh-CN"/>
              </w:rPr>
            </w:pPr>
            <w:r>
              <w:rPr>
                <w:rFonts w:ascii="宋体" w:hAnsi="宋体" w:eastAsia="宋体" w:cs="宋体"/>
                <w:b w:val="0"/>
                <w:i w:val="0"/>
                <w:color w:val="auto"/>
                <w:sz w:val="9"/>
                <w:highlight w:val="none"/>
              </w:rPr>
              <w:t>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pPr>
              <w:rPr>
                <w:color w:val="auto"/>
                <w:highlight w:val="none"/>
              </w:rPr>
            </w:pPr>
          </w:p>
        </w:tc>
        <w:tc>
          <w:tcPr>
            <w:tcW w:w="220" w:type="dxa"/>
            <w:vMerge w:val="continue"/>
            <w:vAlign w:val="center"/>
          </w:tcPr>
          <w:p>
            <w:pPr>
              <w:rPr>
                <w:color w:val="auto"/>
                <w:highlight w:val="none"/>
              </w:rPr>
            </w:pPr>
          </w:p>
        </w:tc>
        <w:tc>
          <w:tcPr>
            <w:tcW w:w="200" w:type="dxa"/>
            <w:vMerge w:val="continue"/>
            <w:vAlign w:val="center"/>
          </w:tcPr>
          <w:p>
            <w:pPr>
              <w:rPr>
                <w:color w:val="auto"/>
                <w:highlight w:val="none"/>
              </w:rPr>
            </w:pPr>
          </w:p>
        </w:tc>
        <w:tc>
          <w:tcPr>
            <w:tcW w:w="1420" w:type="dxa"/>
            <w:vAlign w:val="center"/>
          </w:tcPr>
          <w:p>
            <w:pPr>
              <w:jc w:val="center"/>
              <w:rPr>
                <w:color w:val="auto"/>
                <w:highlight w:val="none"/>
              </w:rPr>
            </w:pPr>
            <w:r>
              <w:rPr>
                <w:rFonts w:ascii="宋体" w:hAnsi="宋体" w:eastAsia="宋体" w:cs="宋体"/>
                <w:b w:val="0"/>
                <w:i w:val="0"/>
                <w:color w:val="auto"/>
                <w:sz w:val="9"/>
                <w:highlight w:val="none"/>
              </w:rPr>
              <w:t>合计</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1,064.24</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1,034.23</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jc w:val="right"/>
              <w:rPr>
                <w:color w:val="auto"/>
                <w:highlight w:val="none"/>
              </w:rPr>
            </w:pPr>
            <w:r>
              <w:rPr>
                <w:rFonts w:ascii="宋体" w:hAnsi="宋体" w:eastAsia="宋体" w:cs="宋体"/>
                <w:b w:val="0"/>
                <w:i w:val="0"/>
                <w:color w:val="auto"/>
                <w:sz w:val="9"/>
                <w:highlight w:val="none"/>
              </w:rPr>
              <w:t>30.01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201</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一般公共服务支出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959.60</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929.59</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jc w:val="right"/>
              <w:rPr>
                <w:color w:val="auto"/>
                <w:highlight w:val="none"/>
              </w:rPr>
            </w:pPr>
            <w:r>
              <w:rPr>
                <w:rFonts w:ascii="宋体" w:hAnsi="宋体" w:eastAsia="宋体" w:cs="宋体"/>
                <w:b w:val="0"/>
                <w:i w:val="0"/>
                <w:color w:val="auto"/>
                <w:sz w:val="9"/>
                <w:highlight w:val="none"/>
              </w:rPr>
              <w:t>30.01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20103</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政府办公厅（室）及相关机构事务</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876.45</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846.44</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jc w:val="right"/>
              <w:rPr>
                <w:color w:val="auto"/>
                <w:highlight w:val="none"/>
              </w:rPr>
            </w:pPr>
            <w:r>
              <w:rPr>
                <w:rFonts w:ascii="宋体" w:hAnsi="宋体" w:eastAsia="宋体" w:cs="宋体"/>
                <w:b w:val="0"/>
                <w:i w:val="0"/>
                <w:color w:val="auto"/>
                <w:sz w:val="9"/>
                <w:highlight w:val="none"/>
              </w:rPr>
              <w:t>30.01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2010301</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行政运行</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504.27</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504.27</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2010399</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其他政府办公厅（室）及相关机构事务支出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372.18</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342.16</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jc w:val="right"/>
              <w:rPr>
                <w:color w:val="auto"/>
                <w:highlight w:val="none"/>
              </w:rPr>
            </w:pPr>
            <w:r>
              <w:rPr>
                <w:rFonts w:ascii="宋体" w:hAnsi="宋体" w:eastAsia="宋体" w:cs="宋体"/>
                <w:b w:val="0"/>
                <w:i w:val="0"/>
                <w:color w:val="auto"/>
                <w:sz w:val="9"/>
                <w:highlight w:val="none"/>
              </w:rPr>
              <w:t>30.01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20199</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其他一般公共服务支出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83.15</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83.15</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2019999</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其他一般公共服务支出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83.15</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83.15</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社会保障和就业支出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45.98</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45.98</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20805</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行政事业单位养老支出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41.93</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41.93</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2080505</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机关事业单位基本养老保险缴费支出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30.80</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30.80</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2080506</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机关事业单位职业年金缴费支出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4.96</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4.96</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2080508</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对机关事业单位职业年金的补助</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6.17</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6.17</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20808</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抚恤</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3.55</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3.55</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2080801</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死亡抚恤</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3.55</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3.55</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20899</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其他社会保障和就业支出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0.49</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0.49</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2089999</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其他社会保障和就业支出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0.49</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0.49</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210</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卫生健康支出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26.78</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26.78</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21011</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行政事业单位医疗</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26.78</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26.78</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2101101</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行政单位医疗</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15.38</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15.38</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2101103</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公务员医疗补助</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11.40</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11.40</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221</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住房保障支出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31.88</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31.88</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22102</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住房改革支出</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31.88</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31.88</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pPr>
              <w:jc w:val="left"/>
              <w:rPr>
                <w:color w:val="auto"/>
                <w:highlight w:val="none"/>
              </w:rPr>
            </w:pPr>
            <w:r>
              <w:rPr>
                <w:rFonts w:ascii="宋体" w:hAnsi="宋体" w:eastAsia="宋体" w:cs="宋体"/>
                <w:b w:val="0"/>
                <w:i w:val="0"/>
                <w:color w:val="auto"/>
                <w:sz w:val="9"/>
                <w:highlight w:val="none"/>
              </w:rPr>
              <w:t>2210201</w:t>
            </w:r>
          </w:p>
        </w:tc>
        <w:tc>
          <w:tcPr>
            <w:tcW w:w="1420" w:type="dxa"/>
            <w:vAlign w:val="center"/>
          </w:tcPr>
          <w:p>
            <w:pPr>
              <w:jc w:val="left"/>
              <w:rPr>
                <w:color w:val="auto"/>
                <w:highlight w:val="none"/>
              </w:rPr>
            </w:pPr>
            <w:r>
              <w:rPr>
                <w:rFonts w:ascii="宋体" w:hAnsi="宋体" w:eastAsia="宋体" w:cs="宋体"/>
                <w:b w:val="0"/>
                <w:i w:val="0"/>
                <w:color w:val="auto"/>
                <w:sz w:val="9"/>
                <w:highlight w:val="none"/>
              </w:rPr>
              <w:t>住房公积金</w:t>
            </w:r>
          </w:p>
        </w:tc>
        <w:tc>
          <w:tcPr>
            <w:tcW w:w="860" w:type="dxa"/>
            <w:vAlign w:val="center"/>
          </w:tcPr>
          <w:p>
            <w:pPr>
              <w:jc w:val="right"/>
              <w:rPr>
                <w:color w:val="auto"/>
                <w:highlight w:val="none"/>
              </w:rPr>
            </w:pPr>
            <w:r>
              <w:rPr>
                <w:rFonts w:ascii="宋体" w:hAnsi="宋体" w:eastAsia="宋体" w:cs="宋体"/>
                <w:b w:val="0"/>
                <w:i w:val="0"/>
                <w:color w:val="auto"/>
                <w:sz w:val="9"/>
                <w:highlight w:val="none"/>
              </w:rPr>
              <w:t>31.88</w:t>
            </w:r>
          </w:p>
        </w:tc>
        <w:tc>
          <w:tcPr>
            <w:tcW w:w="900" w:type="dxa"/>
            <w:vAlign w:val="center"/>
          </w:tcPr>
          <w:p>
            <w:pPr>
              <w:jc w:val="right"/>
              <w:rPr>
                <w:color w:val="auto"/>
                <w:highlight w:val="none"/>
              </w:rPr>
            </w:pPr>
            <w:r>
              <w:rPr>
                <w:rFonts w:ascii="宋体" w:hAnsi="宋体" w:eastAsia="宋体" w:cs="宋体"/>
                <w:b w:val="0"/>
                <w:i w:val="0"/>
                <w:color w:val="auto"/>
                <w:sz w:val="9"/>
                <w:highlight w:val="none"/>
              </w:rPr>
              <w:t>31.88</w:t>
            </w:r>
          </w:p>
        </w:tc>
        <w:tc>
          <w:tcPr>
            <w:tcW w:w="880" w:type="dxa"/>
            <w:vAlign w:val="center"/>
          </w:tcPr>
          <w:p>
            <w:pPr>
              <w:rPr>
                <w:color w:val="auto"/>
                <w:highlight w:val="none"/>
              </w:rPr>
            </w:pPr>
          </w:p>
        </w:tc>
        <w:tc>
          <w:tcPr>
            <w:tcW w:w="880" w:type="dxa"/>
            <w:vAlign w:val="center"/>
          </w:tcPr>
          <w:p>
            <w:pPr>
              <w:rPr>
                <w:color w:val="auto"/>
                <w:highlight w:val="none"/>
              </w:rPr>
            </w:pPr>
          </w:p>
        </w:tc>
        <w:tc>
          <w:tcPr>
            <w:tcW w:w="900" w:type="dxa"/>
            <w:vAlign w:val="center"/>
          </w:tcPr>
          <w:p>
            <w:pPr>
              <w:rPr>
                <w:color w:val="auto"/>
                <w:highlight w:val="none"/>
              </w:rPr>
            </w:pPr>
          </w:p>
        </w:tc>
        <w:tc>
          <w:tcPr>
            <w:tcW w:w="8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9"/>
                <w:highlight w:val="none"/>
              </w:rPr>
              <w:t>注：本表反映部门（单位）本年度取得的各项收入情况。</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highlight w:val="none"/>
              </w:rPr>
            </w:pPr>
            <w:r>
              <w:rPr>
                <w:rFonts w:ascii="宋体" w:hAnsi="宋体" w:eastAsia="宋体" w:cs="宋体"/>
                <w:color w:val="auto"/>
                <w:sz w:val="20"/>
                <w:highlight w:val="none"/>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3153"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pPr>
              <w:jc w:val="center"/>
              <w:rPr>
                <w:color w:val="auto"/>
                <w:highlight w:val="none"/>
              </w:rPr>
            </w:pPr>
            <w:r>
              <w:rPr>
                <w:rFonts w:ascii="宋体" w:hAnsi="宋体" w:eastAsia="宋体" w:cs="宋体"/>
                <w:b w:val="0"/>
                <w:i w:val="0"/>
                <w:color w:val="auto"/>
                <w:sz w:val="11"/>
                <w:highlight w:val="none"/>
              </w:rPr>
              <w:t>项目</w:t>
            </w:r>
          </w:p>
        </w:tc>
        <w:tc>
          <w:tcPr>
            <w:tcW w:w="940" w:type="dxa"/>
            <w:vMerge w:val="restart"/>
            <w:vAlign w:val="center"/>
          </w:tcPr>
          <w:p>
            <w:pPr>
              <w:jc w:val="center"/>
              <w:rPr>
                <w:color w:val="auto"/>
                <w:highlight w:val="none"/>
              </w:rPr>
            </w:pPr>
            <w:r>
              <w:rPr>
                <w:rFonts w:ascii="宋体" w:hAnsi="宋体" w:eastAsia="宋体" w:cs="宋体"/>
                <w:b w:val="0"/>
                <w:i w:val="0"/>
                <w:color w:val="auto"/>
                <w:sz w:val="11"/>
                <w:highlight w:val="none"/>
              </w:rPr>
              <w:t>本年支出合计</w:t>
            </w:r>
          </w:p>
        </w:tc>
        <w:tc>
          <w:tcPr>
            <w:tcW w:w="1000" w:type="dxa"/>
            <w:vMerge w:val="restart"/>
            <w:vAlign w:val="center"/>
          </w:tcPr>
          <w:p>
            <w:pPr>
              <w:jc w:val="center"/>
              <w:rPr>
                <w:color w:val="auto"/>
                <w:highlight w:val="none"/>
              </w:rPr>
            </w:pPr>
            <w:r>
              <w:rPr>
                <w:rFonts w:ascii="宋体" w:hAnsi="宋体" w:eastAsia="宋体" w:cs="宋体"/>
                <w:b w:val="0"/>
                <w:i w:val="0"/>
                <w:color w:val="auto"/>
                <w:sz w:val="11"/>
                <w:highlight w:val="none"/>
              </w:rPr>
              <w:t>基本支出</w:t>
            </w:r>
          </w:p>
        </w:tc>
        <w:tc>
          <w:tcPr>
            <w:tcW w:w="980" w:type="dxa"/>
            <w:vMerge w:val="restart"/>
            <w:vAlign w:val="center"/>
          </w:tcPr>
          <w:p>
            <w:pPr>
              <w:jc w:val="center"/>
              <w:rPr>
                <w:color w:val="auto"/>
                <w:highlight w:val="none"/>
              </w:rPr>
            </w:pPr>
            <w:r>
              <w:rPr>
                <w:rFonts w:ascii="宋体" w:hAnsi="宋体" w:eastAsia="宋体" w:cs="宋体"/>
                <w:b w:val="0"/>
                <w:i w:val="0"/>
                <w:color w:val="auto"/>
                <w:sz w:val="11"/>
                <w:highlight w:val="none"/>
              </w:rPr>
              <w:t>项目支出</w:t>
            </w:r>
          </w:p>
        </w:tc>
        <w:tc>
          <w:tcPr>
            <w:tcW w:w="920" w:type="dxa"/>
            <w:vMerge w:val="restart"/>
            <w:vAlign w:val="center"/>
          </w:tcPr>
          <w:p>
            <w:pPr>
              <w:jc w:val="center"/>
              <w:rPr>
                <w:color w:val="auto"/>
                <w:highlight w:val="none"/>
              </w:rPr>
            </w:pPr>
            <w:r>
              <w:rPr>
                <w:rFonts w:ascii="宋体" w:hAnsi="宋体" w:eastAsia="宋体" w:cs="宋体"/>
                <w:b w:val="0"/>
                <w:i w:val="0"/>
                <w:color w:val="auto"/>
                <w:sz w:val="11"/>
                <w:highlight w:val="none"/>
              </w:rPr>
              <w:t>上缴上级支出</w:t>
            </w:r>
          </w:p>
        </w:tc>
        <w:tc>
          <w:tcPr>
            <w:tcW w:w="960" w:type="dxa"/>
            <w:vMerge w:val="restart"/>
            <w:vAlign w:val="center"/>
          </w:tcPr>
          <w:p>
            <w:pPr>
              <w:jc w:val="center"/>
              <w:rPr>
                <w:color w:val="auto"/>
                <w:highlight w:val="none"/>
              </w:rPr>
            </w:pPr>
            <w:r>
              <w:rPr>
                <w:rFonts w:ascii="宋体" w:hAnsi="宋体" w:eastAsia="宋体" w:cs="宋体"/>
                <w:b w:val="0"/>
                <w:i w:val="0"/>
                <w:color w:val="auto"/>
                <w:sz w:val="11"/>
                <w:highlight w:val="none"/>
              </w:rPr>
              <w:t>经营支出</w:t>
            </w:r>
          </w:p>
        </w:tc>
        <w:tc>
          <w:tcPr>
            <w:tcW w:w="926" w:type="dxa"/>
            <w:vMerge w:val="restart"/>
            <w:vAlign w:val="center"/>
          </w:tcPr>
          <w:p>
            <w:pPr>
              <w:jc w:val="center"/>
              <w:rPr>
                <w:color w:val="auto"/>
                <w:highlight w:val="none"/>
              </w:rPr>
            </w:pPr>
            <w:r>
              <w:rPr>
                <w:rFonts w:ascii="宋体" w:hAnsi="宋体" w:eastAsia="宋体" w:cs="宋体"/>
                <w:b w:val="0"/>
                <w:i w:val="0"/>
                <w:color w:val="auto"/>
                <w:sz w:val="11"/>
                <w:highlight w:val="none"/>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pPr>
              <w:jc w:val="center"/>
              <w:rPr>
                <w:color w:val="auto"/>
                <w:highlight w:val="none"/>
              </w:rPr>
            </w:pPr>
            <w:r>
              <w:rPr>
                <w:rFonts w:ascii="宋体" w:hAnsi="宋体" w:eastAsia="宋体" w:cs="宋体"/>
                <w:b w:val="0"/>
                <w:i w:val="0"/>
                <w:color w:val="auto"/>
                <w:sz w:val="11"/>
                <w:highlight w:val="none"/>
              </w:rPr>
              <w:t>支出功能分类科目编码</w:t>
            </w:r>
          </w:p>
        </w:tc>
        <w:tc>
          <w:tcPr>
            <w:tcW w:w="1760" w:type="dxa"/>
            <w:vMerge w:val="restart"/>
            <w:vAlign w:val="center"/>
          </w:tcPr>
          <w:p>
            <w:pPr>
              <w:jc w:val="center"/>
              <w:rPr>
                <w:color w:val="auto"/>
                <w:highlight w:val="none"/>
              </w:rPr>
            </w:pPr>
            <w:r>
              <w:rPr>
                <w:rFonts w:ascii="宋体" w:hAnsi="宋体" w:eastAsia="宋体" w:cs="宋体"/>
                <w:b w:val="0"/>
                <w:i w:val="0"/>
                <w:color w:val="auto"/>
                <w:sz w:val="11"/>
                <w:highlight w:val="none"/>
              </w:rPr>
              <w:t>科目名称</w:t>
            </w:r>
          </w:p>
        </w:tc>
        <w:tc>
          <w:tcPr>
            <w:tcW w:w="940" w:type="dxa"/>
            <w:vMerge w:val="continue"/>
            <w:vAlign w:val="center"/>
          </w:tcPr>
          <w:p>
            <w:pPr>
              <w:rPr>
                <w:color w:val="auto"/>
                <w:highlight w:val="none"/>
              </w:rPr>
            </w:pPr>
          </w:p>
        </w:tc>
        <w:tc>
          <w:tcPr>
            <w:tcW w:w="1000" w:type="dxa"/>
            <w:vMerge w:val="continue"/>
            <w:vAlign w:val="center"/>
          </w:tcPr>
          <w:p>
            <w:pPr>
              <w:rPr>
                <w:color w:val="auto"/>
                <w:highlight w:val="none"/>
              </w:rPr>
            </w:pPr>
          </w:p>
        </w:tc>
        <w:tc>
          <w:tcPr>
            <w:tcW w:w="980" w:type="dxa"/>
            <w:vMerge w:val="continue"/>
            <w:vAlign w:val="center"/>
          </w:tcPr>
          <w:p>
            <w:pPr>
              <w:rPr>
                <w:color w:val="auto"/>
                <w:highlight w:val="none"/>
              </w:rPr>
            </w:pPr>
          </w:p>
        </w:tc>
        <w:tc>
          <w:tcPr>
            <w:tcW w:w="920" w:type="dxa"/>
            <w:vMerge w:val="continue"/>
            <w:vAlign w:val="center"/>
          </w:tcPr>
          <w:p>
            <w:pPr>
              <w:rPr>
                <w:color w:val="auto"/>
                <w:highlight w:val="none"/>
              </w:rPr>
            </w:pPr>
          </w:p>
        </w:tc>
        <w:tc>
          <w:tcPr>
            <w:tcW w:w="960" w:type="dxa"/>
            <w:vMerge w:val="continue"/>
            <w:vAlign w:val="center"/>
          </w:tcPr>
          <w:p>
            <w:pPr>
              <w:rPr>
                <w:color w:val="auto"/>
                <w:highlight w:val="none"/>
              </w:rPr>
            </w:pPr>
          </w:p>
        </w:tc>
        <w:tc>
          <w:tcPr>
            <w:tcW w:w="92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pPr>
              <w:rPr>
                <w:color w:val="auto"/>
                <w:highlight w:val="none"/>
              </w:rPr>
            </w:pPr>
          </w:p>
        </w:tc>
        <w:tc>
          <w:tcPr>
            <w:tcW w:w="1760" w:type="dxa"/>
            <w:vMerge w:val="continue"/>
            <w:vAlign w:val="center"/>
          </w:tcPr>
          <w:p>
            <w:pPr>
              <w:rPr>
                <w:color w:val="auto"/>
                <w:highlight w:val="none"/>
              </w:rPr>
            </w:pPr>
          </w:p>
        </w:tc>
        <w:tc>
          <w:tcPr>
            <w:tcW w:w="940" w:type="dxa"/>
            <w:vMerge w:val="continue"/>
            <w:vAlign w:val="center"/>
          </w:tcPr>
          <w:p>
            <w:pPr>
              <w:rPr>
                <w:color w:val="auto"/>
                <w:highlight w:val="none"/>
              </w:rPr>
            </w:pPr>
          </w:p>
        </w:tc>
        <w:tc>
          <w:tcPr>
            <w:tcW w:w="1000" w:type="dxa"/>
            <w:vMerge w:val="continue"/>
            <w:vAlign w:val="center"/>
          </w:tcPr>
          <w:p>
            <w:pPr>
              <w:rPr>
                <w:color w:val="auto"/>
                <w:highlight w:val="none"/>
              </w:rPr>
            </w:pPr>
          </w:p>
        </w:tc>
        <w:tc>
          <w:tcPr>
            <w:tcW w:w="980" w:type="dxa"/>
            <w:vMerge w:val="continue"/>
            <w:vAlign w:val="center"/>
          </w:tcPr>
          <w:p>
            <w:pPr>
              <w:rPr>
                <w:color w:val="auto"/>
                <w:highlight w:val="none"/>
              </w:rPr>
            </w:pPr>
          </w:p>
        </w:tc>
        <w:tc>
          <w:tcPr>
            <w:tcW w:w="920" w:type="dxa"/>
            <w:vMerge w:val="continue"/>
            <w:vAlign w:val="center"/>
          </w:tcPr>
          <w:p>
            <w:pPr>
              <w:rPr>
                <w:color w:val="auto"/>
                <w:highlight w:val="none"/>
              </w:rPr>
            </w:pPr>
          </w:p>
        </w:tc>
        <w:tc>
          <w:tcPr>
            <w:tcW w:w="960" w:type="dxa"/>
            <w:vMerge w:val="continue"/>
            <w:vAlign w:val="center"/>
          </w:tcPr>
          <w:p>
            <w:pPr>
              <w:rPr>
                <w:color w:val="auto"/>
                <w:highlight w:val="none"/>
              </w:rPr>
            </w:pPr>
          </w:p>
        </w:tc>
        <w:tc>
          <w:tcPr>
            <w:tcW w:w="92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pPr>
              <w:rPr>
                <w:color w:val="auto"/>
                <w:highlight w:val="none"/>
              </w:rPr>
            </w:pPr>
          </w:p>
        </w:tc>
        <w:tc>
          <w:tcPr>
            <w:tcW w:w="1760" w:type="dxa"/>
            <w:vMerge w:val="continue"/>
            <w:vAlign w:val="center"/>
          </w:tcPr>
          <w:p>
            <w:pPr>
              <w:rPr>
                <w:color w:val="auto"/>
                <w:highlight w:val="none"/>
              </w:rPr>
            </w:pPr>
          </w:p>
        </w:tc>
        <w:tc>
          <w:tcPr>
            <w:tcW w:w="940" w:type="dxa"/>
            <w:vMerge w:val="continue"/>
            <w:vAlign w:val="center"/>
          </w:tcPr>
          <w:p>
            <w:pPr>
              <w:rPr>
                <w:color w:val="auto"/>
                <w:highlight w:val="none"/>
              </w:rPr>
            </w:pPr>
          </w:p>
        </w:tc>
        <w:tc>
          <w:tcPr>
            <w:tcW w:w="1000" w:type="dxa"/>
            <w:vMerge w:val="continue"/>
            <w:vAlign w:val="center"/>
          </w:tcPr>
          <w:p>
            <w:pPr>
              <w:rPr>
                <w:color w:val="auto"/>
                <w:highlight w:val="none"/>
              </w:rPr>
            </w:pPr>
          </w:p>
        </w:tc>
        <w:tc>
          <w:tcPr>
            <w:tcW w:w="980" w:type="dxa"/>
            <w:vMerge w:val="continue"/>
            <w:vAlign w:val="center"/>
          </w:tcPr>
          <w:p>
            <w:pPr>
              <w:rPr>
                <w:color w:val="auto"/>
                <w:highlight w:val="none"/>
              </w:rPr>
            </w:pPr>
          </w:p>
        </w:tc>
        <w:tc>
          <w:tcPr>
            <w:tcW w:w="920" w:type="dxa"/>
            <w:vMerge w:val="continue"/>
            <w:vAlign w:val="center"/>
          </w:tcPr>
          <w:p>
            <w:pPr>
              <w:rPr>
                <w:color w:val="auto"/>
                <w:highlight w:val="none"/>
              </w:rPr>
            </w:pPr>
          </w:p>
        </w:tc>
        <w:tc>
          <w:tcPr>
            <w:tcW w:w="960" w:type="dxa"/>
            <w:vMerge w:val="continue"/>
            <w:vAlign w:val="center"/>
          </w:tcPr>
          <w:p>
            <w:pPr>
              <w:rPr>
                <w:color w:val="auto"/>
                <w:highlight w:val="none"/>
              </w:rPr>
            </w:pPr>
          </w:p>
        </w:tc>
        <w:tc>
          <w:tcPr>
            <w:tcW w:w="92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pPr>
              <w:jc w:val="center"/>
              <w:rPr>
                <w:color w:val="auto"/>
                <w:highlight w:val="none"/>
              </w:rPr>
            </w:pPr>
            <w:r>
              <w:rPr>
                <w:rFonts w:ascii="宋体" w:hAnsi="宋体" w:eastAsia="宋体" w:cs="宋体"/>
                <w:b w:val="0"/>
                <w:i w:val="0"/>
                <w:color w:val="auto"/>
                <w:sz w:val="11"/>
                <w:highlight w:val="none"/>
              </w:rPr>
              <w:t>类</w:t>
            </w:r>
          </w:p>
        </w:tc>
        <w:tc>
          <w:tcPr>
            <w:tcW w:w="260" w:type="dxa"/>
            <w:vMerge w:val="restart"/>
            <w:vAlign w:val="center"/>
          </w:tcPr>
          <w:p>
            <w:pPr>
              <w:jc w:val="center"/>
              <w:rPr>
                <w:color w:val="auto"/>
                <w:highlight w:val="none"/>
              </w:rPr>
            </w:pPr>
            <w:r>
              <w:rPr>
                <w:rFonts w:ascii="宋体" w:hAnsi="宋体" w:eastAsia="宋体" w:cs="宋体"/>
                <w:b w:val="0"/>
                <w:i w:val="0"/>
                <w:color w:val="auto"/>
                <w:sz w:val="11"/>
                <w:highlight w:val="none"/>
              </w:rPr>
              <w:t>款</w:t>
            </w:r>
          </w:p>
        </w:tc>
        <w:tc>
          <w:tcPr>
            <w:tcW w:w="280" w:type="dxa"/>
            <w:vMerge w:val="restart"/>
            <w:vAlign w:val="center"/>
          </w:tcPr>
          <w:p>
            <w:pPr>
              <w:jc w:val="center"/>
              <w:rPr>
                <w:color w:val="auto"/>
                <w:highlight w:val="none"/>
              </w:rPr>
            </w:pPr>
            <w:r>
              <w:rPr>
                <w:rFonts w:ascii="宋体" w:hAnsi="宋体" w:eastAsia="宋体" w:cs="宋体"/>
                <w:b w:val="0"/>
                <w:i w:val="0"/>
                <w:color w:val="auto"/>
                <w:sz w:val="11"/>
                <w:highlight w:val="none"/>
              </w:rPr>
              <w:t>项</w:t>
            </w:r>
          </w:p>
        </w:tc>
        <w:tc>
          <w:tcPr>
            <w:tcW w:w="1760" w:type="dxa"/>
            <w:vAlign w:val="center"/>
          </w:tcPr>
          <w:p>
            <w:pPr>
              <w:jc w:val="center"/>
              <w:rPr>
                <w:color w:val="auto"/>
                <w:highlight w:val="none"/>
              </w:rPr>
            </w:pPr>
            <w:r>
              <w:rPr>
                <w:rFonts w:ascii="宋体" w:hAnsi="宋体" w:eastAsia="宋体" w:cs="宋体"/>
                <w:b w:val="0"/>
                <w:i w:val="0"/>
                <w:color w:val="auto"/>
                <w:sz w:val="11"/>
                <w:highlight w:val="none"/>
              </w:rPr>
              <w:t>栏次</w:t>
            </w:r>
          </w:p>
        </w:tc>
        <w:tc>
          <w:tcPr>
            <w:tcW w:w="940" w:type="dxa"/>
            <w:vAlign w:val="center"/>
          </w:tcPr>
          <w:p>
            <w:pPr>
              <w:jc w:val="center"/>
              <w:rPr>
                <w:color w:val="auto"/>
                <w:highlight w:val="none"/>
              </w:rPr>
            </w:pPr>
            <w:r>
              <w:rPr>
                <w:rFonts w:ascii="宋体" w:hAnsi="宋体" w:eastAsia="宋体" w:cs="宋体"/>
                <w:b w:val="0"/>
                <w:i w:val="0"/>
                <w:color w:val="auto"/>
                <w:sz w:val="11"/>
                <w:highlight w:val="none"/>
              </w:rPr>
              <w:t>1</w:t>
            </w:r>
          </w:p>
        </w:tc>
        <w:tc>
          <w:tcPr>
            <w:tcW w:w="1000" w:type="dxa"/>
            <w:vAlign w:val="center"/>
          </w:tcPr>
          <w:p>
            <w:pPr>
              <w:jc w:val="center"/>
              <w:rPr>
                <w:color w:val="auto"/>
                <w:highlight w:val="none"/>
              </w:rPr>
            </w:pPr>
            <w:r>
              <w:rPr>
                <w:rFonts w:ascii="宋体" w:hAnsi="宋体" w:eastAsia="宋体" w:cs="宋体"/>
                <w:b w:val="0"/>
                <w:i w:val="0"/>
                <w:color w:val="auto"/>
                <w:sz w:val="11"/>
                <w:highlight w:val="none"/>
              </w:rPr>
              <w:t>2</w:t>
            </w:r>
          </w:p>
        </w:tc>
        <w:tc>
          <w:tcPr>
            <w:tcW w:w="980" w:type="dxa"/>
            <w:vAlign w:val="center"/>
          </w:tcPr>
          <w:p>
            <w:pPr>
              <w:jc w:val="center"/>
              <w:rPr>
                <w:color w:val="auto"/>
                <w:highlight w:val="none"/>
              </w:rPr>
            </w:pPr>
            <w:r>
              <w:rPr>
                <w:rFonts w:ascii="宋体" w:hAnsi="宋体" w:eastAsia="宋体" w:cs="宋体"/>
                <w:b w:val="0"/>
                <w:i w:val="0"/>
                <w:color w:val="auto"/>
                <w:sz w:val="11"/>
                <w:highlight w:val="none"/>
              </w:rPr>
              <w:t>3</w:t>
            </w:r>
          </w:p>
        </w:tc>
        <w:tc>
          <w:tcPr>
            <w:tcW w:w="920" w:type="dxa"/>
            <w:vAlign w:val="center"/>
          </w:tcPr>
          <w:p>
            <w:pPr>
              <w:jc w:val="center"/>
              <w:rPr>
                <w:color w:val="auto"/>
                <w:highlight w:val="none"/>
              </w:rPr>
            </w:pPr>
            <w:r>
              <w:rPr>
                <w:rFonts w:ascii="宋体" w:hAnsi="宋体" w:eastAsia="宋体" w:cs="宋体"/>
                <w:b w:val="0"/>
                <w:i w:val="0"/>
                <w:color w:val="auto"/>
                <w:sz w:val="11"/>
                <w:highlight w:val="none"/>
              </w:rPr>
              <w:t>4</w:t>
            </w:r>
          </w:p>
        </w:tc>
        <w:tc>
          <w:tcPr>
            <w:tcW w:w="960" w:type="dxa"/>
            <w:vAlign w:val="center"/>
          </w:tcPr>
          <w:p>
            <w:pPr>
              <w:jc w:val="center"/>
              <w:rPr>
                <w:color w:val="auto"/>
                <w:highlight w:val="none"/>
              </w:rPr>
            </w:pPr>
            <w:r>
              <w:rPr>
                <w:rFonts w:ascii="宋体" w:hAnsi="宋体" w:eastAsia="宋体" w:cs="宋体"/>
                <w:b w:val="0"/>
                <w:i w:val="0"/>
                <w:color w:val="auto"/>
                <w:sz w:val="11"/>
                <w:highlight w:val="none"/>
              </w:rPr>
              <w:t>5</w:t>
            </w:r>
          </w:p>
        </w:tc>
        <w:tc>
          <w:tcPr>
            <w:tcW w:w="926" w:type="dxa"/>
            <w:vAlign w:val="center"/>
          </w:tcPr>
          <w:p>
            <w:pPr>
              <w:jc w:val="center"/>
              <w:rPr>
                <w:color w:val="auto"/>
                <w:highlight w:val="none"/>
              </w:rPr>
            </w:pPr>
            <w:r>
              <w:rPr>
                <w:rFonts w:ascii="宋体" w:hAnsi="宋体" w:eastAsia="宋体" w:cs="宋体"/>
                <w:b w:val="0"/>
                <w:i w:val="0"/>
                <w:color w:val="auto"/>
                <w:sz w:val="11"/>
                <w:highlight w:val="none"/>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pPr>
              <w:rPr>
                <w:color w:val="auto"/>
                <w:highlight w:val="none"/>
              </w:rPr>
            </w:pPr>
          </w:p>
        </w:tc>
        <w:tc>
          <w:tcPr>
            <w:tcW w:w="260" w:type="dxa"/>
            <w:vMerge w:val="continue"/>
            <w:vAlign w:val="center"/>
          </w:tcPr>
          <w:p>
            <w:pPr>
              <w:rPr>
                <w:color w:val="auto"/>
                <w:highlight w:val="none"/>
              </w:rPr>
            </w:pPr>
          </w:p>
        </w:tc>
        <w:tc>
          <w:tcPr>
            <w:tcW w:w="280" w:type="dxa"/>
            <w:vMerge w:val="continue"/>
            <w:vAlign w:val="center"/>
          </w:tcPr>
          <w:p>
            <w:pPr>
              <w:rPr>
                <w:color w:val="auto"/>
                <w:highlight w:val="none"/>
              </w:rPr>
            </w:pPr>
          </w:p>
        </w:tc>
        <w:tc>
          <w:tcPr>
            <w:tcW w:w="1760" w:type="dxa"/>
            <w:vAlign w:val="center"/>
          </w:tcPr>
          <w:p>
            <w:pPr>
              <w:jc w:val="center"/>
              <w:rPr>
                <w:color w:val="auto"/>
                <w:highlight w:val="none"/>
              </w:rPr>
            </w:pPr>
            <w:r>
              <w:rPr>
                <w:rFonts w:ascii="宋体" w:hAnsi="宋体" w:eastAsia="宋体" w:cs="宋体"/>
                <w:b w:val="0"/>
                <w:i w:val="0"/>
                <w:color w:val="auto"/>
                <w:sz w:val="11"/>
                <w:highlight w:val="none"/>
              </w:rPr>
              <w:t>合计</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1,060.16</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675.64</w:t>
            </w:r>
          </w:p>
        </w:tc>
        <w:tc>
          <w:tcPr>
            <w:tcW w:w="980" w:type="dxa"/>
            <w:vAlign w:val="center"/>
          </w:tcPr>
          <w:p>
            <w:pPr>
              <w:jc w:val="right"/>
              <w:rPr>
                <w:color w:val="auto"/>
                <w:highlight w:val="none"/>
              </w:rPr>
            </w:pPr>
            <w:r>
              <w:rPr>
                <w:rFonts w:ascii="宋体" w:hAnsi="宋体" w:eastAsia="宋体" w:cs="宋体"/>
                <w:b w:val="0"/>
                <w:i w:val="0"/>
                <w:color w:val="auto"/>
                <w:sz w:val="11"/>
                <w:highlight w:val="none"/>
              </w:rPr>
              <w:t>384.51</w:t>
            </w: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201</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一般公共服务支出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955.52</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571.00</w:t>
            </w:r>
          </w:p>
        </w:tc>
        <w:tc>
          <w:tcPr>
            <w:tcW w:w="980" w:type="dxa"/>
            <w:vAlign w:val="center"/>
          </w:tcPr>
          <w:p>
            <w:pPr>
              <w:jc w:val="right"/>
              <w:rPr>
                <w:color w:val="auto"/>
                <w:highlight w:val="none"/>
              </w:rPr>
            </w:pPr>
            <w:r>
              <w:rPr>
                <w:rFonts w:ascii="宋体" w:hAnsi="宋体" w:eastAsia="宋体" w:cs="宋体"/>
                <w:b w:val="0"/>
                <w:i w:val="0"/>
                <w:color w:val="auto"/>
                <w:sz w:val="11"/>
                <w:highlight w:val="none"/>
              </w:rPr>
              <w:t>384.51</w:t>
            </w: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20103</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政府办公厅（室）及相关机构事务</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872.37</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571.00</w:t>
            </w:r>
          </w:p>
        </w:tc>
        <w:tc>
          <w:tcPr>
            <w:tcW w:w="980" w:type="dxa"/>
            <w:vAlign w:val="center"/>
          </w:tcPr>
          <w:p>
            <w:pPr>
              <w:jc w:val="right"/>
              <w:rPr>
                <w:color w:val="auto"/>
                <w:highlight w:val="none"/>
              </w:rPr>
            </w:pPr>
            <w:r>
              <w:rPr>
                <w:rFonts w:ascii="宋体" w:hAnsi="宋体" w:eastAsia="宋体" w:cs="宋体"/>
                <w:b w:val="0"/>
                <w:i w:val="0"/>
                <w:color w:val="auto"/>
                <w:sz w:val="11"/>
                <w:highlight w:val="none"/>
              </w:rPr>
              <w:t>301.36</w:t>
            </w: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2010301</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行政运行</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504.27</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504.27</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2010399</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其他政府办公厅（室）及相关机构事务支出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368.09</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66.73</w:t>
            </w:r>
          </w:p>
        </w:tc>
        <w:tc>
          <w:tcPr>
            <w:tcW w:w="980" w:type="dxa"/>
            <w:vAlign w:val="center"/>
          </w:tcPr>
          <w:p>
            <w:pPr>
              <w:jc w:val="right"/>
              <w:rPr>
                <w:color w:val="auto"/>
                <w:highlight w:val="none"/>
              </w:rPr>
            </w:pPr>
            <w:r>
              <w:rPr>
                <w:rFonts w:ascii="宋体" w:hAnsi="宋体" w:eastAsia="宋体" w:cs="宋体"/>
                <w:b w:val="0"/>
                <w:i w:val="0"/>
                <w:color w:val="auto"/>
                <w:sz w:val="11"/>
                <w:highlight w:val="none"/>
              </w:rPr>
              <w:t>301.36</w:t>
            </w: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20199</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其他一般公共服务支出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83.15</w:t>
            </w:r>
          </w:p>
        </w:tc>
        <w:tc>
          <w:tcPr>
            <w:tcW w:w="1000" w:type="dxa"/>
            <w:vAlign w:val="center"/>
          </w:tcPr>
          <w:p>
            <w:pPr>
              <w:rPr>
                <w:color w:val="auto"/>
                <w:highlight w:val="none"/>
              </w:rPr>
            </w:pPr>
          </w:p>
        </w:tc>
        <w:tc>
          <w:tcPr>
            <w:tcW w:w="980" w:type="dxa"/>
            <w:vAlign w:val="center"/>
          </w:tcPr>
          <w:p>
            <w:pPr>
              <w:jc w:val="right"/>
              <w:rPr>
                <w:color w:val="auto"/>
                <w:highlight w:val="none"/>
              </w:rPr>
            </w:pPr>
            <w:r>
              <w:rPr>
                <w:rFonts w:ascii="宋体" w:hAnsi="宋体" w:eastAsia="宋体" w:cs="宋体"/>
                <w:b w:val="0"/>
                <w:i w:val="0"/>
                <w:color w:val="auto"/>
                <w:sz w:val="11"/>
                <w:highlight w:val="none"/>
              </w:rPr>
              <w:t>83.15</w:t>
            </w: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2019999</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其他一般公共服务支出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83.15</w:t>
            </w:r>
          </w:p>
        </w:tc>
        <w:tc>
          <w:tcPr>
            <w:tcW w:w="1000" w:type="dxa"/>
            <w:vAlign w:val="center"/>
          </w:tcPr>
          <w:p>
            <w:pPr>
              <w:rPr>
                <w:color w:val="auto"/>
                <w:highlight w:val="none"/>
              </w:rPr>
            </w:pPr>
          </w:p>
        </w:tc>
        <w:tc>
          <w:tcPr>
            <w:tcW w:w="980" w:type="dxa"/>
            <w:vAlign w:val="center"/>
          </w:tcPr>
          <w:p>
            <w:pPr>
              <w:jc w:val="right"/>
              <w:rPr>
                <w:color w:val="auto"/>
                <w:highlight w:val="none"/>
              </w:rPr>
            </w:pPr>
            <w:r>
              <w:rPr>
                <w:rFonts w:ascii="宋体" w:hAnsi="宋体" w:eastAsia="宋体" w:cs="宋体"/>
                <w:b w:val="0"/>
                <w:i w:val="0"/>
                <w:color w:val="auto"/>
                <w:sz w:val="11"/>
                <w:highlight w:val="none"/>
              </w:rPr>
              <w:t>83.15</w:t>
            </w: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社会保障和就业支出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45.98</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45.98</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20805</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行政事业单位养老支出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41.93</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41.93</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2080505</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机关事业单位基本养老保险缴费支出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30.80</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30.80</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2080506</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机关事业单位职业年金缴费支出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4.96</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4.96</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2080508</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对机关事业单位职业年金的补助</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6.17</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6.17</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20808</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抚恤</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3.55</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3.55</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2080801</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死亡抚恤</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3.55</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3.55</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20899</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其他社会保障和就业支出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0.49</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0.49</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2089999</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其他社会保障和就业支出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0.49</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0.49</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210</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卫生健康支出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26.78</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26.78</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21011</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行政事业单位医疗</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26.78</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26.78</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2101101</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行政单位医疗</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15.38</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15.38</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2101103</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公务员医疗补助</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11.40</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11.40</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221</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住房保障支出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31.88</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31.88</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22102</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住房改革支出</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31.88</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31.88</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pPr>
              <w:jc w:val="left"/>
              <w:rPr>
                <w:color w:val="auto"/>
                <w:highlight w:val="none"/>
              </w:rPr>
            </w:pPr>
            <w:r>
              <w:rPr>
                <w:rFonts w:ascii="宋体" w:hAnsi="宋体" w:eastAsia="宋体" w:cs="宋体"/>
                <w:b w:val="0"/>
                <w:i w:val="0"/>
                <w:color w:val="auto"/>
                <w:sz w:val="11"/>
                <w:highlight w:val="none"/>
              </w:rPr>
              <w:t>2210201</w:t>
            </w:r>
          </w:p>
        </w:tc>
        <w:tc>
          <w:tcPr>
            <w:tcW w:w="1760" w:type="dxa"/>
            <w:vAlign w:val="center"/>
          </w:tcPr>
          <w:p>
            <w:pPr>
              <w:jc w:val="left"/>
              <w:rPr>
                <w:color w:val="auto"/>
                <w:highlight w:val="none"/>
              </w:rPr>
            </w:pPr>
            <w:r>
              <w:rPr>
                <w:rFonts w:ascii="宋体" w:hAnsi="宋体" w:eastAsia="宋体" w:cs="宋体"/>
                <w:b w:val="0"/>
                <w:i w:val="0"/>
                <w:color w:val="auto"/>
                <w:sz w:val="11"/>
                <w:highlight w:val="none"/>
              </w:rPr>
              <w:t>住房公积金</w:t>
            </w:r>
          </w:p>
        </w:tc>
        <w:tc>
          <w:tcPr>
            <w:tcW w:w="940" w:type="dxa"/>
            <w:vAlign w:val="center"/>
          </w:tcPr>
          <w:p>
            <w:pPr>
              <w:jc w:val="right"/>
              <w:rPr>
                <w:color w:val="auto"/>
                <w:highlight w:val="none"/>
              </w:rPr>
            </w:pPr>
            <w:r>
              <w:rPr>
                <w:rFonts w:ascii="宋体" w:hAnsi="宋体" w:eastAsia="宋体" w:cs="宋体"/>
                <w:b w:val="0"/>
                <w:i w:val="0"/>
                <w:color w:val="auto"/>
                <w:sz w:val="11"/>
                <w:highlight w:val="none"/>
              </w:rPr>
              <w:t>31.88</w:t>
            </w:r>
          </w:p>
        </w:tc>
        <w:tc>
          <w:tcPr>
            <w:tcW w:w="1000" w:type="dxa"/>
            <w:vAlign w:val="center"/>
          </w:tcPr>
          <w:p>
            <w:pPr>
              <w:jc w:val="right"/>
              <w:rPr>
                <w:color w:val="auto"/>
                <w:highlight w:val="none"/>
              </w:rPr>
            </w:pPr>
            <w:r>
              <w:rPr>
                <w:rFonts w:ascii="宋体" w:hAnsi="宋体" w:eastAsia="宋体" w:cs="宋体"/>
                <w:b w:val="0"/>
                <w:i w:val="0"/>
                <w:color w:val="auto"/>
                <w:sz w:val="11"/>
                <w:highlight w:val="none"/>
              </w:rPr>
              <w:t>31.88</w:t>
            </w:r>
          </w:p>
        </w:tc>
        <w:tc>
          <w:tcPr>
            <w:tcW w:w="980" w:type="dxa"/>
            <w:vAlign w:val="center"/>
          </w:tcPr>
          <w:p>
            <w:pPr>
              <w:rPr>
                <w:color w:val="auto"/>
                <w:highlight w:val="none"/>
              </w:rPr>
            </w:pPr>
          </w:p>
        </w:tc>
        <w:tc>
          <w:tcPr>
            <w:tcW w:w="920" w:type="dxa"/>
            <w:vAlign w:val="center"/>
          </w:tcPr>
          <w:p>
            <w:pPr>
              <w:rPr>
                <w:color w:val="auto"/>
                <w:highlight w:val="none"/>
              </w:rPr>
            </w:pPr>
          </w:p>
        </w:tc>
        <w:tc>
          <w:tcPr>
            <w:tcW w:w="960" w:type="dxa"/>
            <w:vAlign w:val="center"/>
          </w:tcPr>
          <w:p>
            <w:pPr>
              <w:rPr>
                <w:color w:val="auto"/>
                <w:highlight w:val="none"/>
              </w:rPr>
            </w:pPr>
          </w:p>
        </w:tc>
        <w:tc>
          <w:tcPr>
            <w:tcW w:w="9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1"/>
                <w:highlight w:val="none"/>
              </w:rPr>
              <w:t>注：本表反映部门（单位）本年度各项支出情况。</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pPr>
              <w:jc w:val="right"/>
              <w:rPr>
                <w:color w:val="auto"/>
                <w:highlight w:val="none"/>
              </w:rPr>
            </w:pPr>
            <w:r>
              <w:rPr>
                <w:rFonts w:ascii="宋体" w:hAnsi="宋体" w:eastAsia="宋体" w:cs="宋体"/>
                <w:color w:val="auto"/>
                <w:sz w:val="20"/>
                <w:highlight w:val="none"/>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5979"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pPr>
              <w:jc w:val="center"/>
              <w:rPr>
                <w:color w:val="auto"/>
                <w:highlight w:val="none"/>
              </w:rPr>
            </w:pPr>
            <w:r>
              <w:rPr>
                <w:rFonts w:ascii="宋体" w:hAnsi="宋体" w:eastAsia="宋体" w:cs="宋体"/>
                <w:b w:val="0"/>
                <w:i w:val="0"/>
                <w:color w:val="auto"/>
                <w:sz w:val="17"/>
                <w:highlight w:val="none"/>
              </w:rPr>
              <w:t>收入</w:t>
            </w:r>
          </w:p>
        </w:tc>
        <w:tc>
          <w:tcPr>
            <w:tcW w:w="2980" w:type="dxa"/>
            <w:gridSpan w:val="6"/>
            <w:vAlign w:val="center"/>
          </w:tcPr>
          <w:p>
            <w:pPr>
              <w:jc w:val="center"/>
              <w:rPr>
                <w:color w:val="auto"/>
                <w:highlight w:val="none"/>
              </w:rPr>
            </w:pPr>
            <w:r>
              <w:rPr>
                <w:rFonts w:ascii="宋体" w:hAnsi="宋体" w:eastAsia="宋体" w:cs="宋体"/>
                <w:b w:val="0"/>
                <w:i w:val="0"/>
                <w:color w:val="auto"/>
                <w:sz w:val="17"/>
                <w:highlight w:val="none"/>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pPr>
              <w:jc w:val="center"/>
              <w:rPr>
                <w:color w:val="auto"/>
                <w:highlight w:val="none"/>
              </w:rPr>
            </w:pPr>
            <w:r>
              <w:rPr>
                <w:rFonts w:ascii="宋体" w:hAnsi="宋体" w:eastAsia="宋体" w:cs="宋体"/>
                <w:b w:val="0"/>
                <w:i w:val="0"/>
                <w:color w:val="auto"/>
                <w:sz w:val="17"/>
                <w:highlight w:val="none"/>
              </w:rPr>
              <w:t>项目</w:t>
            </w:r>
          </w:p>
        </w:tc>
        <w:tc>
          <w:tcPr>
            <w:tcW w:w="420" w:type="dxa"/>
            <w:vMerge w:val="restart"/>
            <w:vAlign w:val="center"/>
          </w:tcPr>
          <w:p>
            <w:pPr>
              <w:jc w:val="center"/>
              <w:rPr>
                <w:color w:val="auto"/>
                <w:highlight w:val="none"/>
              </w:rPr>
            </w:pPr>
            <w:r>
              <w:rPr>
                <w:rFonts w:ascii="宋体" w:hAnsi="宋体" w:eastAsia="宋体" w:cs="宋体"/>
                <w:b w:val="0"/>
                <w:i w:val="0"/>
                <w:color w:val="auto"/>
                <w:sz w:val="17"/>
                <w:highlight w:val="none"/>
              </w:rPr>
              <w:t>行次</w:t>
            </w:r>
          </w:p>
        </w:tc>
        <w:tc>
          <w:tcPr>
            <w:tcW w:w="1480" w:type="dxa"/>
            <w:vMerge w:val="restart"/>
            <w:vAlign w:val="center"/>
          </w:tcPr>
          <w:p>
            <w:pPr>
              <w:jc w:val="center"/>
              <w:rPr>
                <w:color w:val="auto"/>
                <w:highlight w:val="none"/>
              </w:rPr>
            </w:pPr>
            <w:r>
              <w:rPr>
                <w:rFonts w:ascii="宋体" w:hAnsi="宋体" w:eastAsia="宋体" w:cs="宋体"/>
                <w:b w:val="0"/>
                <w:i w:val="0"/>
                <w:color w:val="auto"/>
                <w:sz w:val="17"/>
                <w:highlight w:val="none"/>
              </w:rPr>
              <w:t>决算数</w:t>
            </w:r>
          </w:p>
        </w:tc>
        <w:tc>
          <w:tcPr>
            <w:tcW w:w="2980" w:type="dxa"/>
            <w:vMerge w:val="restart"/>
            <w:vAlign w:val="center"/>
          </w:tcPr>
          <w:p>
            <w:pPr>
              <w:jc w:val="center"/>
              <w:rPr>
                <w:color w:val="auto"/>
                <w:highlight w:val="none"/>
              </w:rPr>
            </w:pPr>
            <w:r>
              <w:rPr>
                <w:rFonts w:ascii="宋体" w:hAnsi="宋体" w:eastAsia="宋体" w:cs="宋体"/>
                <w:b w:val="0"/>
                <w:i w:val="0"/>
                <w:color w:val="auto"/>
                <w:sz w:val="17"/>
                <w:highlight w:val="none"/>
              </w:rPr>
              <w:t>项目（按功能分类）</w:t>
            </w:r>
          </w:p>
        </w:tc>
        <w:tc>
          <w:tcPr>
            <w:tcW w:w="420" w:type="dxa"/>
            <w:vMerge w:val="restart"/>
            <w:vAlign w:val="center"/>
          </w:tcPr>
          <w:p>
            <w:pPr>
              <w:jc w:val="center"/>
              <w:rPr>
                <w:color w:val="auto"/>
                <w:highlight w:val="none"/>
              </w:rPr>
            </w:pPr>
            <w:r>
              <w:rPr>
                <w:rFonts w:ascii="宋体" w:hAnsi="宋体" w:eastAsia="宋体" w:cs="宋体"/>
                <w:b w:val="0"/>
                <w:i w:val="0"/>
                <w:color w:val="auto"/>
                <w:sz w:val="17"/>
                <w:highlight w:val="none"/>
              </w:rPr>
              <w:t>行次</w:t>
            </w:r>
          </w:p>
        </w:tc>
        <w:tc>
          <w:tcPr>
            <w:tcW w:w="1460" w:type="dxa"/>
            <w:vMerge w:val="restart"/>
            <w:vAlign w:val="center"/>
          </w:tcPr>
          <w:p>
            <w:pPr>
              <w:jc w:val="center"/>
              <w:rPr>
                <w:color w:val="auto"/>
                <w:highlight w:val="none"/>
              </w:rPr>
            </w:pPr>
            <w:r>
              <w:rPr>
                <w:rFonts w:ascii="宋体" w:hAnsi="宋体" w:eastAsia="宋体" w:cs="宋体"/>
                <w:b w:val="0"/>
                <w:i w:val="0"/>
                <w:color w:val="auto"/>
                <w:sz w:val="17"/>
                <w:highlight w:val="none"/>
              </w:rPr>
              <w:t>小计</w:t>
            </w:r>
          </w:p>
        </w:tc>
        <w:tc>
          <w:tcPr>
            <w:tcW w:w="1460" w:type="dxa"/>
            <w:vMerge w:val="restart"/>
            <w:vAlign w:val="center"/>
          </w:tcPr>
          <w:p>
            <w:pPr>
              <w:jc w:val="center"/>
              <w:rPr>
                <w:color w:val="auto"/>
                <w:highlight w:val="none"/>
              </w:rPr>
            </w:pPr>
            <w:r>
              <w:rPr>
                <w:rFonts w:ascii="宋体" w:hAnsi="宋体" w:eastAsia="宋体" w:cs="宋体"/>
                <w:b w:val="0"/>
                <w:i w:val="0"/>
                <w:color w:val="auto"/>
                <w:sz w:val="17"/>
                <w:highlight w:val="none"/>
              </w:rPr>
              <w:t>一般公共预算财政拨款</w:t>
            </w:r>
          </w:p>
        </w:tc>
        <w:tc>
          <w:tcPr>
            <w:tcW w:w="1460" w:type="dxa"/>
            <w:vMerge w:val="restart"/>
            <w:vAlign w:val="center"/>
          </w:tcPr>
          <w:p>
            <w:pPr>
              <w:jc w:val="center"/>
              <w:rPr>
                <w:color w:val="auto"/>
                <w:highlight w:val="none"/>
              </w:rPr>
            </w:pPr>
            <w:r>
              <w:rPr>
                <w:rFonts w:ascii="宋体" w:hAnsi="宋体" w:eastAsia="宋体" w:cs="宋体"/>
                <w:b w:val="0"/>
                <w:i w:val="0"/>
                <w:color w:val="auto"/>
                <w:sz w:val="17"/>
                <w:highlight w:val="none"/>
              </w:rPr>
              <w:t>政府性基金预算财政拨款</w:t>
            </w:r>
          </w:p>
        </w:tc>
        <w:tc>
          <w:tcPr>
            <w:tcW w:w="1438" w:type="dxa"/>
            <w:vMerge w:val="restart"/>
            <w:vAlign w:val="center"/>
          </w:tcPr>
          <w:p>
            <w:pPr>
              <w:jc w:val="center"/>
              <w:rPr>
                <w:color w:val="auto"/>
                <w:highlight w:val="none"/>
              </w:rPr>
            </w:pPr>
            <w:r>
              <w:rPr>
                <w:rFonts w:ascii="宋体" w:hAnsi="宋体" w:eastAsia="宋体" w:cs="宋体"/>
                <w:b w:val="0"/>
                <w:i w:val="0"/>
                <w:color w:val="auto"/>
                <w:sz w:val="17"/>
                <w:highlight w:val="none"/>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pPr>
              <w:rPr>
                <w:color w:val="auto"/>
                <w:highlight w:val="none"/>
              </w:rPr>
            </w:pPr>
          </w:p>
        </w:tc>
        <w:tc>
          <w:tcPr>
            <w:tcW w:w="420" w:type="dxa"/>
            <w:vMerge w:val="continue"/>
            <w:vAlign w:val="center"/>
          </w:tcPr>
          <w:p>
            <w:pPr>
              <w:rPr>
                <w:color w:val="auto"/>
                <w:highlight w:val="none"/>
              </w:rPr>
            </w:pPr>
          </w:p>
        </w:tc>
        <w:tc>
          <w:tcPr>
            <w:tcW w:w="1480" w:type="dxa"/>
            <w:vMerge w:val="continue"/>
            <w:vAlign w:val="center"/>
          </w:tcPr>
          <w:p>
            <w:pPr>
              <w:rPr>
                <w:color w:val="auto"/>
                <w:highlight w:val="none"/>
              </w:rPr>
            </w:pPr>
          </w:p>
        </w:tc>
        <w:tc>
          <w:tcPr>
            <w:tcW w:w="2980" w:type="dxa"/>
            <w:vMerge w:val="continue"/>
            <w:vAlign w:val="center"/>
          </w:tcPr>
          <w:p>
            <w:pPr>
              <w:rPr>
                <w:color w:val="auto"/>
                <w:highlight w:val="none"/>
              </w:rPr>
            </w:pPr>
          </w:p>
        </w:tc>
        <w:tc>
          <w:tcPr>
            <w:tcW w:w="420" w:type="dxa"/>
            <w:vMerge w:val="continue"/>
            <w:vAlign w:val="center"/>
          </w:tcPr>
          <w:p>
            <w:pPr>
              <w:rPr>
                <w:color w:val="auto"/>
                <w:highlight w:val="none"/>
              </w:rPr>
            </w:pPr>
          </w:p>
        </w:tc>
        <w:tc>
          <w:tcPr>
            <w:tcW w:w="1460" w:type="dxa"/>
            <w:vMerge w:val="continue"/>
            <w:vAlign w:val="center"/>
          </w:tcPr>
          <w:p>
            <w:pPr>
              <w:rPr>
                <w:color w:val="auto"/>
                <w:highlight w:val="none"/>
              </w:rPr>
            </w:pPr>
          </w:p>
        </w:tc>
        <w:tc>
          <w:tcPr>
            <w:tcW w:w="1460" w:type="dxa"/>
            <w:vMerge w:val="continue"/>
            <w:vAlign w:val="center"/>
          </w:tcPr>
          <w:p>
            <w:pPr>
              <w:rPr>
                <w:color w:val="auto"/>
                <w:highlight w:val="none"/>
              </w:rPr>
            </w:pPr>
          </w:p>
        </w:tc>
        <w:tc>
          <w:tcPr>
            <w:tcW w:w="1460" w:type="dxa"/>
            <w:vMerge w:val="continue"/>
            <w:vAlign w:val="center"/>
          </w:tcPr>
          <w:p>
            <w:pPr>
              <w:rPr>
                <w:color w:val="auto"/>
                <w:highlight w:val="none"/>
              </w:rPr>
            </w:pPr>
          </w:p>
        </w:tc>
        <w:tc>
          <w:tcPr>
            <w:tcW w:w="1438"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rPr>
                <w:color w:val="auto"/>
                <w:highlight w:val="none"/>
              </w:rPr>
            </w:pPr>
            <w:r>
              <w:rPr>
                <w:rFonts w:ascii="宋体" w:hAnsi="宋体" w:eastAsia="宋体" w:cs="宋体"/>
                <w:b w:val="0"/>
                <w:i w:val="0"/>
                <w:color w:val="auto"/>
                <w:sz w:val="17"/>
                <w:highlight w:val="none"/>
              </w:rPr>
              <w:t>栏次</w:t>
            </w:r>
          </w:p>
        </w:tc>
        <w:tc>
          <w:tcPr>
            <w:tcW w:w="420" w:type="dxa"/>
            <w:vAlign w:val="center"/>
          </w:tcPr>
          <w:p>
            <w:pPr>
              <w:rPr>
                <w:color w:val="auto"/>
                <w:highlight w:val="none"/>
              </w:rPr>
            </w:pPr>
          </w:p>
        </w:tc>
        <w:tc>
          <w:tcPr>
            <w:tcW w:w="1480" w:type="dxa"/>
            <w:vAlign w:val="center"/>
          </w:tcPr>
          <w:p>
            <w:pPr>
              <w:jc w:val="center"/>
              <w:rPr>
                <w:color w:val="auto"/>
                <w:highlight w:val="none"/>
              </w:rPr>
            </w:pPr>
            <w:r>
              <w:rPr>
                <w:rFonts w:ascii="宋体" w:hAnsi="宋体" w:eastAsia="宋体" w:cs="宋体"/>
                <w:b w:val="0"/>
                <w:i w:val="0"/>
                <w:color w:val="auto"/>
                <w:sz w:val="17"/>
                <w:highlight w:val="none"/>
              </w:rPr>
              <w:t>1</w:t>
            </w:r>
          </w:p>
        </w:tc>
        <w:tc>
          <w:tcPr>
            <w:tcW w:w="2980" w:type="dxa"/>
            <w:vAlign w:val="center"/>
          </w:tcPr>
          <w:p>
            <w:pPr>
              <w:jc w:val="center"/>
              <w:rPr>
                <w:color w:val="auto"/>
                <w:highlight w:val="none"/>
              </w:rPr>
            </w:pPr>
            <w:r>
              <w:rPr>
                <w:rFonts w:ascii="宋体" w:hAnsi="宋体" w:eastAsia="宋体" w:cs="宋体"/>
                <w:b w:val="0"/>
                <w:i w:val="0"/>
                <w:color w:val="auto"/>
                <w:sz w:val="17"/>
                <w:highlight w:val="none"/>
              </w:rPr>
              <w:t>栏次</w:t>
            </w:r>
          </w:p>
        </w:tc>
        <w:tc>
          <w:tcPr>
            <w:tcW w:w="420" w:type="dxa"/>
            <w:vAlign w:val="center"/>
          </w:tcPr>
          <w:p>
            <w:pPr>
              <w:rPr>
                <w:color w:val="auto"/>
                <w:highlight w:val="none"/>
              </w:rPr>
            </w:pPr>
          </w:p>
        </w:tc>
        <w:tc>
          <w:tcPr>
            <w:tcW w:w="1460" w:type="dxa"/>
            <w:vAlign w:val="center"/>
          </w:tcPr>
          <w:p>
            <w:pPr>
              <w:jc w:val="center"/>
              <w:rPr>
                <w:color w:val="auto"/>
                <w:highlight w:val="none"/>
              </w:rPr>
            </w:pPr>
            <w:r>
              <w:rPr>
                <w:rFonts w:ascii="宋体" w:hAnsi="宋体" w:eastAsia="宋体" w:cs="宋体"/>
                <w:b w:val="0"/>
                <w:i w:val="0"/>
                <w:color w:val="auto"/>
                <w:sz w:val="17"/>
                <w:highlight w:val="none"/>
              </w:rPr>
              <w:t>2</w:t>
            </w:r>
          </w:p>
        </w:tc>
        <w:tc>
          <w:tcPr>
            <w:tcW w:w="1460" w:type="dxa"/>
            <w:vAlign w:val="center"/>
          </w:tcPr>
          <w:p>
            <w:pPr>
              <w:jc w:val="center"/>
              <w:rPr>
                <w:color w:val="auto"/>
                <w:highlight w:val="none"/>
              </w:rPr>
            </w:pPr>
            <w:r>
              <w:rPr>
                <w:rFonts w:ascii="宋体" w:hAnsi="宋体" w:eastAsia="宋体" w:cs="宋体"/>
                <w:b w:val="0"/>
                <w:i w:val="0"/>
                <w:color w:val="auto"/>
                <w:sz w:val="17"/>
                <w:highlight w:val="none"/>
              </w:rPr>
              <w:t>3</w:t>
            </w:r>
          </w:p>
        </w:tc>
        <w:tc>
          <w:tcPr>
            <w:tcW w:w="1460" w:type="dxa"/>
            <w:vAlign w:val="center"/>
          </w:tcPr>
          <w:p>
            <w:pPr>
              <w:jc w:val="center"/>
              <w:rPr>
                <w:color w:val="auto"/>
                <w:highlight w:val="none"/>
              </w:rPr>
            </w:pPr>
            <w:r>
              <w:rPr>
                <w:rFonts w:ascii="宋体" w:hAnsi="宋体" w:eastAsia="宋体" w:cs="宋体"/>
                <w:b w:val="0"/>
                <w:i w:val="0"/>
                <w:color w:val="auto"/>
                <w:sz w:val="17"/>
                <w:highlight w:val="none"/>
              </w:rPr>
              <w:t>4</w:t>
            </w:r>
          </w:p>
        </w:tc>
        <w:tc>
          <w:tcPr>
            <w:tcW w:w="1438" w:type="dxa"/>
            <w:vAlign w:val="center"/>
          </w:tcPr>
          <w:p>
            <w:pPr>
              <w:jc w:val="center"/>
              <w:rPr>
                <w:color w:val="auto"/>
                <w:highlight w:val="none"/>
              </w:rPr>
            </w:pPr>
            <w:r>
              <w:rPr>
                <w:rFonts w:ascii="宋体" w:hAnsi="宋体" w:eastAsia="宋体" w:cs="宋体"/>
                <w:b w:val="0"/>
                <w:i w:val="0"/>
                <w:color w:val="auto"/>
                <w:sz w:val="17"/>
                <w:highlight w:val="none"/>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color w:val="auto"/>
                <w:highlight w:val="none"/>
              </w:rPr>
            </w:pPr>
            <w:r>
              <w:rPr>
                <w:rFonts w:ascii="宋体" w:hAnsi="宋体" w:eastAsia="宋体" w:cs="宋体"/>
                <w:b w:val="0"/>
                <w:i w:val="0"/>
                <w:color w:val="auto"/>
                <w:sz w:val="17"/>
                <w:highlight w:val="none"/>
              </w:rPr>
              <w:t>一、一般公共预算财政拨款</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1</w:t>
            </w:r>
          </w:p>
        </w:tc>
        <w:tc>
          <w:tcPr>
            <w:tcW w:w="1480" w:type="dxa"/>
            <w:vAlign w:val="center"/>
          </w:tcPr>
          <w:p>
            <w:pPr>
              <w:jc w:val="right"/>
              <w:rPr>
                <w:color w:val="auto"/>
                <w:highlight w:val="none"/>
              </w:rPr>
            </w:pPr>
            <w:r>
              <w:rPr>
                <w:rFonts w:ascii="宋体" w:hAnsi="宋体" w:eastAsia="宋体" w:cs="宋体"/>
                <w:b w:val="0"/>
                <w:i w:val="0"/>
                <w:color w:val="auto"/>
                <w:sz w:val="17"/>
                <w:highlight w:val="none"/>
              </w:rPr>
              <w:t>1,034.23</w:t>
            </w:r>
          </w:p>
        </w:tc>
        <w:tc>
          <w:tcPr>
            <w:tcW w:w="2980" w:type="dxa"/>
            <w:vAlign w:val="center"/>
          </w:tcPr>
          <w:p>
            <w:pPr>
              <w:jc w:val="left"/>
              <w:rPr>
                <w:color w:val="auto"/>
                <w:highlight w:val="none"/>
              </w:rPr>
            </w:pPr>
            <w:r>
              <w:rPr>
                <w:rFonts w:ascii="宋体" w:hAnsi="宋体" w:eastAsia="宋体" w:cs="宋体"/>
                <w:b w:val="0"/>
                <w:i w:val="0"/>
                <w:color w:val="auto"/>
                <w:sz w:val="17"/>
                <w:highlight w:val="none"/>
              </w:rPr>
              <w:t>一、一般公共服务支出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33</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929.59</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929.59</w:t>
            </w: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color w:val="auto"/>
                <w:highlight w:val="none"/>
              </w:rPr>
            </w:pPr>
            <w:r>
              <w:rPr>
                <w:rFonts w:ascii="宋体" w:hAnsi="宋体" w:eastAsia="宋体" w:cs="宋体"/>
                <w:b w:val="0"/>
                <w:i w:val="0"/>
                <w:color w:val="auto"/>
                <w:sz w:val="17"/>
                <w:highlight w:val="none"/>
              </w:rPr>
              <w:t>二、政府性基金预算财政拨款</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2</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二、外交支出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34</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color w:val="auto"/>
                <w:highlight w:val="none"/>
              </w:rPr>
            </w:pPr>
            <w:r>
              <w:rPr>
                <w:rFonts w:ascii="宋体" w:hAnsi="宋体" w:eastAsia="宋体" w:cs="宋体"/>
                <w:b w:val="0"/>
                <w:i w:val="0"/>
                <w:color w:val="auto"/>
                <w:sz w:val="17"/>
                <w:highlight w:val="none"/>
              </w:rPr>
              <w:t>三、国有资本经营预算财政拨款</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三、国防支出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35</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4</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四、公共安全支出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36</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5</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五、教育支出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37</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6</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六、科学技术支出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38</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7</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七、文化旅游体育与传媒支出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39</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8</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八、社会保障和就业支出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40</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45.98</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45.98</w:t>
            </w: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9</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九、卫生健康支出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41</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26.78</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26.78</w:t>
            </w: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10</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十、节能环保支出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42</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11</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十一、城乡社区支出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43</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12</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十二、农林水支出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44</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13</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十三、交通运输支出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45</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14</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十四、资源勘探工业信息等支出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46</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15</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十五、商业服务业等支出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47</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16</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十六、金融支出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48</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17</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十七、援助其他地区支出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49</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18</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十八、自然资源海洋气象等支出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50</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19</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十九、住房保障支出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51</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31.88</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31.88</w:t>
            </w: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20</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二十、粮油物资储备支出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52</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21</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二十一、国有资本经营预算支出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53</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22</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二十二、灾害防治及应急管理支出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54</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23</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二十三、其他支出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55</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24</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二十四、债务还本支出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56</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25</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二十五、债务付息支出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57</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26</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二十六、抗疫特别国债安排的支出</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58</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center"/>
              <w:rPr>
                <w:color w:val="auto"/>
                <w:highlight w:val="none"/>
              </w:rPr>
            </w:pPr>
            <w:r>
              <w:rPr>
                <w:rFonts w:ascii="宋体" w:hAnsi="宋体" w:eastAsia="宋体" w:cs="宋体"/>
                <w:b/>
                <w:i w:val="0"/>
                <w:color w:val="auto"/>
                <w:sz w:val="17"/>
                <w:highlight w:val="none"/>
              </w:rPr>
              <w:t>本年收入合计</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27</w:t>
            </w:r>
          </w:p>
        </w:tc>
        <w:tc>
          <w:tcPr>
            <w:tcW w:w="1480" w:type="dxa"/>
            <w:vAlign w:val="center"/>
          </w:tcPr>
          <w:p>
            <w:pPr>
              <w:jc w:val="right"/>
              <w:rPr>
                <w:color w:val="auto"/>
                <w:highlight w:val="none"/>
              </w:rPr>
            </w:pPr>
            <w:r>
              <w:rPr>
                <w:rFonts w:ascii="宋体" w:hAnsi="宋体" w:eastAsia="宋体" w:cs="宋体"/>
                <w:b w:val="0"/>
                <w:i w:val="0"/>
                <w:color w:val="auto"/>
                <w:sz w:val="17"/>
                <w:highlight w:val="none"/>
              </w:rPr>
              <w:t>1,034.23</w:t>
            </w:r>
          </w:p>
        </w:tc>
        <w:tc>
          <w:tcPr>
            <w:tcW w:w="2980" w:type="dxa"/>
            <w:vAlign w:val="center"/>
          </w:tcPr>
          <w:p>
            <w:pPr>
              <w:jc w:val="center"/>
              <w:rPr>
                <w:color w:val="auto"/>
                <w:highlight w:val="none"/>
              </w:rPr>
            </w:pPr>
            <w:r>
              <w:rPr>
                <w:rFonts w:ascii="宋体" w:hAnsi="宋体" w:eastAsia="宋体" w:cs="宋体"/>
                <w:b/>
                <w:i w:val="0"/>
                <w:color w:val="auto"/>
                <w:sz w:val="17"/>
                <w:highlight w:val="none"/>
              </w:rPr>
              <w:t>本年支出合计</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59</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1,034.23</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1,034.23</w:t>
            </w: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color w:val="auto"/>
                <w:highlight w:val="none"/>
              </w:rPr>
            </w:pPr>
            <w:r>
              <w:rPr>
                <w:rFonts w:ascii="宋体" w:hAnsi="宋体" w:eastAsia="宋体" w:cs="宋体"/>
                <w:b w:val="0"/>
                <w:i w:val="0"/>
                <w:color w:val="auto"/>
                <w:sz w:val="17"/>
                <w:highlight w:val="none"/>
              </w:rPr>
              <w:t>年初财政拨款结转和结余</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28</w:t>
            </w:r>
          </w:p>
        </w:tc>
        <w:tc>
          <w:tcPr>
            <w:tcW w:w="1480" w:type="dxa"/>
            <w:vAlign w:val="center"/>
          </w:tcPr>
          <w:p>
            <w:pPr>
              <w:rPr>
                <w:color w:val="auto"/>
                <w:highlight w:val="none"/>
              </w:rPr>
            </w:pPr>
          </w:p>
        </w:tc>
        <w:tc>
          <w:tcPr>
            <w:tcW w:w="2980" w:type="dxa"/>
            <w:vAlign w:val="center"/>
          </w:tcPr>
          <w:p>
            <w:pPr>
              <w:jc w:val="left"/>
              <w:rPr>
                <w:color w:val="auto"/>
                <w:highlight w:val="none"/>
              </w:rPr>
            </w:pPr>
            <w:r>
              <w:rPr>
                <w:rFonts w:ascii="宋体" w:hAnsi="宋体" w:eastAsia="宋体" w:cs="宋体"/>
                <w:b w:val="0"/>
                <w:i w:val="0"/>
                <w:color w:val="auto"/>
                <w:sz w:val="17"/>
                <w:highlight w:val="none"/>
              </w:rPr>
              <w:t>年末财政拨款结转和结余</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60</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pPr>
              <w:jc w:val="left"/>
              <w:rPr>
                <w:color w:val="auto"/>
                <w:highlight w:val="none"/>
              </w:rPr>
            </w:pPr>
            <w:r>
              <w:rPr>
                <w:rFonts w:ascii="宋体" w:hAnsi="宋体" w:eastAsia="宋体" w:cs="宋体"/>
                <w:b w:val="0"/>
                <w:i w:val="0"/>
                <w:color w:val="auto"/>
                <w:sz w:val="17"/>
                <w:highlight w:val="none"/>
              </w:rPr>
              <w:t>一、一般公共预算财政拨款</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29</w:t>
            </w:r>
          </w:p>
        </w:tc>
        <w:tc>
          <w:tcPr>
            <w:tcW w:w="1480" w:type="dxa"/>
            <w:vAlign w:val="center"/>
          </w:tcPr>
          <w:p>
            <w:pPr>
              <w:rPr>
                <w:color w:val="auto"/>
                <w:highlight w:val="none"/>
              </w:rPr>
            </w:pPr>
          </w:p>
        </w:tc>
        <w:tc>
          <w:tcPr>
            <w:tcW w:w="298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61</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rPr>
                <w:color w:val="auto"/>
                <w:highlight w:val="none"/>
              </w:rPr>
            </w:pPr>
            <w:r>
              <w:rPr>
                <w:rFonts w:ascii="宋体" w:hAnsi="宋体" w:eastAsia="宋体" w:cs="宋体"/>
                <w:b w:val="0"/>
                <w:i w:val="0"/>
                <w:color w:val="auto"/>
                <w:sz w:val="17"/>
                <w:highlight w:val="none"/>
              </w:rPr>
              <w:t>二、政府性基金预算财政拨款</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30</w:t>
            </w:r>
          </w:p>
        </w:tc>
        <w:tc>
          <w:tcPr>
            <w:tcW w:w="1480" w:type="dxa"/>
            <w:vAlign w:val="center"/>
          </w:tcPr>
          <w:p>
            <w:pPr>
              <w:rPr>
                <w:color w:val="auto"/>
                <w:highlight w:val="none"/>
              </w:rPr>
            </w:pPr>
          </w:p>
        </w:tc>
        <w:tc>
          <w:tcPr>
            <w:tcW w:w="298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62</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left"/>
              <w:rPr>
                <w:color w:val="auto"/>
                <w:highlight w:val="none"/>
              </w:rPr>
            </w:pPr>
            <w:r>
              <w:rPr>
                <w:rFonts w:ascii="宋体" w:hAnsi="宋体" w:eastAsia="宋体" w:cs="宋体"/>
                <w:b w:val="0"/>
                <w:i w:val="0"/>
                <w:color w:val="auto"/>
                <w:sz w:val="17"/>
                <w:highlight w:val="none"/>
              </w:rPr>
              <w:t>三、国有资本经营预算财政拨款</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31</w:t>
            </w:r>
          </w:p>
        </w:tc>
        <w:tc>
          <w:tcPr>
            <w:tcW w:w="1480" w:type="dxa"/>
            <w:vAlign w:val="center"/>
          </w:tcPr>
          <w:p>
            <w:pPr>
              <w:rPr>
                <w:color w:val="auto"/>
                <w:highlight w:val="none"/>
              </w:rPr>
            </w:pPr>
          </w:p>
        </w:tc>
        <w:tc>
          <w:tcPr>
            <w:tcW w:w="2980" w:type="dxa"/>
            <w:vAlign w:val="center"/>
          </w:tcPr>
          <w:p>
            <w:pPr>
              <w:rPr>
                <w:color w:val="auto"/>
                <w:highlight w:val="none"/>
              </w:rPr>
            </w:pPr>
          </w:p>
        </w:tc>
        <w:tc>
          <w:tcPr>
            <w:tcW w:w="420" w:type="dxa"/>
            <w:vAlign w:val="center"/>
          </w:tcPr>
          <w:p>
            <w:pPr>
              <w:jc w:val="center"/>
              <w:rPr>
                <w:color w:val="auto"/>
                <w:highlight w:val="none"/>
              </w:rPr>
            </w:pPr>
            <w:r>
              <w:rPr>
                <w:rFonts w:ascii="宋体" w:hAnsi="宋体" w:eastAsia="宋体" w:cs="宋体"/>
                <w:b w:val="0"/>
                <w:i w:val="0"/>
                <w:color w:val="auto"/>
                <w:sz w:val="17"/>
                <w:highlight w:val="none"/>
              </w:rPr>
              <w:t>63</w:t>
            </w:r>
          </w:p>
        </w:tc>
        <w:tc>
          <w:tcPr>
            <w:tcW w:w="1460" w:type="dxa"/>
            <w:vAlign w:val="center"/>
          </w:tcPr>
          <w:p>
            <w:pPr>
              <w:rPr>
                <w:color w:val="auto"/>
                <w:highlight w:val="none"/>
              </w:rPr>
            </w:pPr>
          </w:p>
        </w:tc>
        <w:tc>
          <w:tcPr>
            <w:tcW w:w="1460" w:type="dxa"/>
            <w:vAlign w:val="center"/>
          </w:tcPr>
          <w:p>
            <w:pPr>
              <w:rPr>
                <w:color w:val="auto"/>
                <w:highlight w:val="none"/>
              </w:rPr>
            </w:pP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pPr>
              <w:jc w:val="center"/>
              <w:rPr>
                <w:color w:val="auto"/>
                <w:highlight w:val="none"/>
              </w:rPr>
            </w:pPr>
            <w:r>
              <w:rPr>
                <w:rFonts w:ascii="宋体" w:hAnsi="宋体" w:eastAsia="宋体" w:cs="宋体"/>
                <w:b/>
                <w:i w:val="0"/>
                <w:color w:val="auto"/>
                <w:sz w:val="17"/>
                <w:highlight w:val="none"/>
              </w:rPr>
              <w:t>总计</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32</w:t>
            </w:r>
          </w:p>
        </w:tc>
        <w:tc>
          <w:tcPr>
            <w:tcW w:w="1480" w:type="dxa"/>
            <w:vAlign w:val="center"/>
          </w:tcPr>
          <w:p>
            <w:pPr>
              <w:jc w:val="right"/>
              <w:rPr>
                <w:color w:val="auto"/>
                <w:highlight w:val="none"/>
              </w:rPr>
            </w:pPr>
            <w:r>
              <w:rPr>
                <w:rFonts w:ascii="宋体" w:hAnsi="宋体" w:eastAsia="宋体" w:cs="宋体"/>
                <w:b w:val="0"/>
                <w:i w:val="0"/>
                <w:color w:val="auto"/>
                <w:sz w:val="17"/>
                <w:highlight w:val="none"/>
              </w:rPr>
              <w:t>1,034.23</w:t>
            </w:r>
          </w:p>
        </w:tc>
        <w:tc>
          <w:tcPr>
            <w:tcW w:w="2980" w:type="dxa"/>
            <w:vAlign w:val="center"/>
          </w:tcPr>
          <w:p>
            <w:pPr>
              <w:jc w:val="center"/>
              <w:rPr>
                <w:color w:val="auto"/>
                <w:highlight w:val="none"/>
              </w:rPr>
            </w:pPr>
            <w:r>
              <w:rPr>
                <w:rFonts w:ascii="宋体" w:hAnsi="宋体" w:eastAsia="宋体" w:cs="宋体"/>
                <w:b/>
                <w:i w:val="0"/>
                <w:color w:val="auto"/>
                <w:sz w:val="17"/>
                <w:highlight w:val="none"/>
              </w:rPr>
              <w:t>总计</w:t>
            </w:r>
          </w:p>
        </w:tc>
        <w:tc>
          <w:tcPr>
            <w:tcW w:w="420" w:type="dxa"/>
            <w:vAlign w:val="center"/>
          </w:tcPr>
          <w:p>
            <w:pPr>
              <w:jc w:val="center"/>
              <w:rPr>
                <w:color w:val="auto"/>
                <w:highlight w:val="none"/>
              </w:rPr>
            </w:pPr>
            <w:r>
              <w:rPr>
                <w:rFonts w:ascii="宋体" w:hAnsi="宋体" w:eastAsia="宋体" w:cs="宋体"/>
                <w:b w:val="0"/>
                <w:i w:val="0"/>
                <w:color w:val="auto"/>
                <w:sz w:val="17"/>
                <w:highlight w:val="none"/>
              </w:rPr>
              <w:t>64</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1,034.23</w:t>
            </w:r>
          </w:p>
        </w:tc>
        <w:tc>
          <w:tcPr>
            <w:tcW w:w="1460" w:type="dxa"/>
            <w:vAlign w:val="center"/>
          </w:tcPr>
          <w:p>
            <w:pPr>
              <w:jc w:val="right"/>
              <w:rPr>
                <w:color w:val="auto"/>
                <w:highlight w:val="none"/>
              </w:rPr>
            </w:pPr>
            <w:r>
              <w:rPr>
                <w:rFonts w:ascii="宋体" w:hAnsi="宋体" w:eastAsia="宋体" w:cs="宋体"/>
                <w:b w:val="0"/>
                <w:i w:val="0"/>
                <w:color w:val="auto"/>
                <w:sz w:val="17"/>
                <w:highlight w:val="none"/>
              </w:rPr>
              <w:t>1,034.23</w:t>
            </w:r>
          </w:p>
        </w:tc>
        <w:tc>
          <w:tcPr>
            <w:tcW w:w="1460" w:type="dxa"/>
            <w:vAlign w:val="center"/>
          </w:tcPr>
          <w:p>
            <w:pPr>
              <w:rPr>
                <w:color w:val="auto"/>
                <w:highlight w:val="none"/>
              </w:rPr>
            </w:pPr>
          </w:p>
        </w:tc>
        <w:tc>
          <w:tcPr>
            <w:tcW w:w="1438"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7"/>
                <w:highlight w:val="none"/>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highlight w:val="none"/>
              </w:rPr>
            </w:pPr>
            <w:r>
              <w:rPr>
                <w:rFonts w:ascii="宋体" w:hAnsi="宋体" w:eastAsia="宋体" w:cs="宋体"/>
                <w:color w:val="auto"/>
                <w:sz w:val="20"/>
                <w:highlight w:val="none"/>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3153"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pPr>
              <w:jc w:val="center"/>
              <w:rPr>
                <w:color w:val="auto"/>
                <w:highlight w:val="none"/>
              </w:rPr>
            </w:pPr>
            <w:r>
              <w:rPr>
                <w:rFonts w:ascii="宋体" w:hAnsi="宋体" w:eastAsia="宋体" w:cs="宋体"/>
                <w:b w:val="0"/>
                <w:i w:val="0"/>
                <w:color w:val="auto"/>
                <w:sz w:val="16"/>
                <w:highlight w:val="none"/>
              </w:rPr>
              <w:t>项目</w:t>
            </w:r>
          </w:p>
        </w:tc>
        <w:tc>
          <w:tcPr>
            <w:tcW w:w="1420" w:type="dxa"/>
            <w:vMerge w:val="restart"/>
            <w:vAlign w:val="center"/>
          </w:tcPr>
          <w:p>
            <w:pPr>
              <w:jc w:val="center"/>
              <w:rPr>
                <w:color w:val="auto"/>
                <w:highlight w:val="none"/>
              </w:rPr>
            </w:pPr>
            <w:r>
              <w:rPr>
                <w:rFonts w:ascii="宋体" w:hAnsi="宋体" w:eastAsia="宋体" w:cs="宋体"/>
                <w:b w:val="0"/>
                <w:i w:val="0"/>
                <w:color w:val="auto"/>
                <w:sz w:val="16"/>
                <w:highlight w:val="none"/>
              </w:rPr>
              <w:t>本年支出合计</w:t>
            </w:r>
          </w:p>
        </w:tc>
        <w:tc>
          <w:tcPr>
            <w:tcW w:w="1520" w:type="dxa"/>
            <w:vMerge w:val="restart"/>
            <w:vAlign w:val="center"/>
          </w:tcPr>
          <w:p>
            <w:pPr>
              <w:jc w:val="center"/>
              <w:rPr>
                <w:color w:val="auto"/>
                <w:highlight w:val="none"/>
              </w:rPr>
            </w:pPr>
            <w:r>
              <w:rPr>
                <w:rFonts w:ascii="宋体" w:hAnsi="宋体" w:eastAsia="宋体" w:cs="宋体"/>
                <w:b w:val="0"/>
                <w:i w:val="0"/>
                <w:color w:val="auto"/>
                <w:sz w:val="16"/>
                <w:highlight w:val="none"/>
              </w:rPr>
              <w:t>基本支出</w:t>
            </w:r>
          </w:p>
        </w:tc>
        <w:tc>
          <w:tcPr>
            <w:tcW w:w="1526" w:type="dxa"/>
            <w:vMerge w:val="restart"/>
            <w:vAlign w:val="center"/>
          </w:tcPr>
          <w:p>
            <w:pPr>
              <w:jc w:val="center"/>
              <w:rPr>
                <w:color w:val="auto"/>
                <w:highlight w:val="none"/>
              </w:rPr>
            </w:pPr>
            <w:r>
              <w:rPr>
                <w:rFonts w:ascii="宋体" w:hAnsi="宋体" w:eastAsia="宋体" w:cs="宋体"/>
                <w:b w:val="0"/>
                <w:i w:val="0"/>
                <w:color w:val="auto"/>
                <w:sz w:val="16"/>
                <w:highlight w:val="none"/>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pPr>
              <w:jc w:val="center"/>
              <w:rPr>
                <w:color w:val="auto"/>
                <w:highlight w:val="none"/>
              </w:rPr>
            </w:pPr>
            <w:r>
              <w:rPr>
                <w:rFonts w:ascii="宋体" w:hAnsi="宋体" w:eastAsia="宋体" w:cs="宋体"/>
                <w:b w:val="0"/>
                <w:i w:val="0"/>
                <w:color w:val="auto"/>
                <w:sz w:val="16"/>
                <w:highlight w:val="none"/>
              </w:rPr>
              <w:t>支出功能分类科目编码</w:t>
            </w:r>
          </w:p>
        </w:tc>
        <w:tc>
          <w:tcPr>
            <w:tcW w:w="2700" w:type="dxa"/>
            <w:vMerge w:val="restart"/>
            <w:vAlign w:val="center"/>
          </w:tcPr>
          <w:p>
            <w:pPr>
              <w:jc w:val="center"/>
              <w:rPr>
                <w:color w:val="auto"/>
                <w:highlight w:val="none"/>
              </w:rPr>
            </w:pPr>
            <w:r>
              <w:rPr>
                <w:rFonts w:ascii="宋体" w:hAnsi="宋体" w:eastAsia="宋体" w:cs="宋体"/>
                <w:b w:val="0"/>
                <w:i w:val="0"/>
                <w:color w:val="auto"/>
                <w:sz w:val="16"/>
                <w:highlight w:val="none"/>
              </w:rPr>
              <w:t>科目名称</w:t>
            </w:r>
          </w:p>
        </w:tc>
        <w:tc>
          <w:tcPr>
            <w:tcW w:w="1420" w:type="dxa"/>
            <w:vMerge w:val="continue"/>
            <w:vAlign w:val="center"/>
          </w:tcPr>
          <w:p>
            <w:pPr>
              <w:rPr>
                <w:color w:val="auto"/>
                <w:highlight w:val="none"/>
              </w:rPr>
            </w:pPr>
          </w:p>
        </w:tc>
        <w:tc>
          <w:tcPr>
            <w:tcW w:w="1520" w:type="dxa"/>
            <w:vMerge w:val="continue"/>
            <w:vAlign w:val="center"/>
          </w:tcPr>
          <w:p>
            <w:pPr>
              <w:rPr>
                <w:color w:val="auto"/>
                <w:highlight w:val="none"/>
              </w:rPr>
            </w:pPr>
          </w:p>
        </w:tc>
        <w:tc>
          <w:tcPr>
            <w:tcW w:w="152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pPr>
              <w:rPr>
                <w:color w:val="auto"/>
                <w:highlight w:val="none"/>
              </w:rPr>
            </w:pPr>
          </w:p>
        </w:tc>
        <w:tc>
          <w:tcPr>
            <w:tcW w:w="2700" w:type="dxa"/>
            <w:vMerge w:val="continue"/>
            <w:vAlign w:val="center"/>
          </w:tcPr>
          <w:p>
            <w:pPr>
              <w:rPr>
                <w:color w:val="auto"/>
                <w:highlight w:val="none"/>
              </w:rPr>
            </w:pPr>
          </w:p>
        </w:tc>
        <w:tc>
          <w:tcPr>
            <w:tcW w:w="1420" w:type="dxa"/>
            <w:vMerge w:val="continue"/>
            <w:vAlign w:val="center"/>
          </w:tcPr>
          <w:p>
            <w:pPr>
              <w:rPr>
                <w:color w:val="auto"/>
                <w:highlight w:val="none"/>
              </w:rPr>
            </w:pPr>
          </w:p>
        </w:tc>
        <w:tc>
          <w:tcPr>
            <w:tcW w:w="1520" w:type="dxa"/>
            <w:vMerge w:val="continue"/>
            <w:vAlign w:val="center"/>
          </w:tcPr>
          <w:p>
            <w:pPr>
              <w:rPr>
                <w:color w:val="auto"/>
                <w:highlight w:val="none"/>
              </w:rPr>
            </w:pPr>
          </w:p>
        </w:tc>
        <w:tc>
          <w:tcPr>
            <w:tcW w:w="152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pPr>
              <w:rPr>
                <w:color w:val="auto"/>
                <w:highlight w:val="none"/>
              </w:rPr>
            </w:pPr>
          </w:p>
        </w:tc>
        <w:tc>
          <w:tcPr>
            <w:tcW w:w="2700" w:type="dxa"/>
            <w:vMerge w:val="continue"/>
            <w:vAlign w:val="center"/>
          </w:tcPr>
          <w:p>
            <w:pPr>
              <w:rPr>
                <w:color w:val="auto"/>
                <w:highlight w:val="none"/>
              </w:rPr>
            </w:pPr>
          </w:p>
        </w:tc>
        <w:tc>
          <w:tcPr>
            <w:tcW w:w="1420" w:type="dxa"/>
            <w:vMerge w:val="continue"/>
            <w:vAlign w:val="center"/>
          </w:tcPr>
          <w:p>
            <w:pPr>
              <w:rPr>
                <w:color w:val="auto"/>
                <w:highlight w:val="none"/>
              </w:rPr>
            </w:pPr>
          </w:p>
        </w:tc>
        <w:tc>
          <w:tcPr>
            <w:tcW w:w="1520" w:type="dxa"/>
            <w:vMerge w:val="continue"/>
            <w:vAlign w:val="center"/>
          </w:tcPr>
          <w:p>
            <w:pPr>
              <w:rPr>
                <w:color w:val="auto"/>
                <w:highlight w:val="none"/>
              </w:rPr>
            </w:pPr>
          </w:p>
        </w:tc>
        <w:tc>
          <w:tcPr>
            <w:tcW w:w="152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pPr>
              <w:jc w:val="center"/>
              <w:rPr>
                <w:color w:val="auto"/>
                <w:highlight w:val="none"/>
              </w:rPr>
            </w:pPr>
            <w:r>
              <w:rPr>
                <w:rFonts w:ascii="宋体" w:hAnsi="宋体" w:eastAsia="宋体" w:cs="宋体"/>
                <w:b w:val="0"/>
                <w:i w:val="0"/>
                <w:color w:val="auto"/>
                <w:sz w:val="16"/>
                <w:highlight w:val="none"/>
              </w:rPr>
              <w:t>类</w:t>
            </w:r>
          </w:p>
        </w:tc>
        <w:tc>
          <w:tcPr>
            <w:tcW w:w="400" w:type="dxa"/>
            <w:vMerge w:val="restart"/>
            <w:vAlign w:val="center"/>
          </w:tcPr>
          <w:p>
            <w:pPr>
              <w:jc w:val="center"/>
              <w:rPr>
                <w:color w:val="auto"/>
                <w:highlight w:val="none"/>
              </w:rPr>
            </w:pPr>
            <w:r>
              <w:rPr>
                <w:rFonts w:ascii="宋体" w:hAnsi="宋体" w:eastAsia="宋体" w:cs="宋体"/>
                <w:b w:val="0"/>
                <w:i w:val="0"/>
                <w:color w:val="auto"/>
                <w:sz w:val="16"/>
                <w:highlight w:val="none"/>
              </w:rPr>
              <w:t>款</w:t>
            </w:r>
          </w:p>
        </w:tc>
        <w:tc>
          <w:tcPr>
            <w:tcW w:w="380" w:type="dxa"/>
            <w:vMerge w:val="restart"/>
            <w:vAlign w:val="center"/>
          </w:tcPr>
          <w:p>
            <w:pPr>
              <w:jc w:val="center"/>
              <w:rPr>
                <w:color w:val="auto"/>
                <w:highlight w:val="none"/>
              </w:rPr>
            </w:pPr>
            <w:r>
              <w:rPr>
                <w:rFonts w:ascii="宋体" w:hAnsi="宋体" w:eastAsia="宋体" w:cs="宋体"/>
                <w:b w:val="0"/>
                <w:i w:val="0"/>
                <w:color w:val="auto"/>
                <w:sz w:val="16"/>
                <w:highlight w:val="none"/>
              </w:rPr>
              <w:t>项</w:t>
            </w:r>
          </w:p>
        </w:tc>
        <w:tc>
          <w:tcPr>
            <w:tcW w:w="2700" w:type="dxa"/>
            <w:vAlign w:val="center"/>
          </w:tcPr>
          <w:p>
            <w:pPr>
              <w:jc w:val="center"/>
              <w:rPr>
                <w:color w:val="auto"/>
                <w:highlight w:val="none"/>
              </w:rPr>
            </w:pPr>
            <w:r>
              <w:rPr>
                <w:rFonts w:ascii="宋体" w:hAnsi="宋体" w:eastAsia="宋体" w:cs="宋体"/>
                <w:b w:val="0"/>
                <w:i w:val="0"/>
                <w:color w:val="auto"/>
                <w:sz w:val="16"/>
                <w:highlight w:val="none"/>
              </w:rPr>
              <w:t>栏次</w:t>
            </w:r>
          </w:p>
        </w:tc>
        <w:tc>
          <w:tcPr>
            <w:tcW w:w="1420" w:type="dxa"/>
            <w:vAlign w:val="center"/>
          </w:tcPr>
          <w:p>
            <w:pPr>
              <w:jc w:val="center"/>
              <w:rPr>
                <w:color w:val="auto"/>
                <w:highlight w:val="none"/>
              </w:rPr>
            </w:pPr>
            <w:r>
              <w:rPr>
                <w:rFonts w:ascii="宋体" w:hAnsi="宋体" w:eastAsia="宋体" w:cs="宋体"/>
                <w:b w:val="0"/>
                <w:i w:val="0"/>
                <w:color w:val="auto"/>
                <w:sz w:val="16"/>
                <w:highlight w:val="none"/>
              </w:rPr>
              <w:t>1</w:t>
            </w:r>
          </w:p>
        </w:tc>
        <w:tc>
          <w:tcPr>
            <w:tcW w:w="1520" w:type="dxa"/>
            <w:vAlign w:val="center"/>
          </w:tcPr>
          <w:p>
            <w:pPr>
              <w:jc w:val="center"/>
              <w:rPr>
                <w:color w:val="auto"/>
                <w:highlight w:val="none"/>
              </w:rPr>
            </w:pPr>
            <w:r>
              <w:rPr>
                <w:rFonts w:ascii="宋体" w:hAnsi="宋体" w:eastAsia="宋体" w:cs="宋体"/>
                <w:b w:val="0"/>
                <w:i w:val="0"/>
                <w:color w:val="auto"/>
                <w:sz w:val="16"/>
                <w:highlight w:val="none"/>
              </w:rPr>
              <w:t>2</w:t>
            </w:r>
          </w:p>
        </w:tc>
        <w:tc>
          <w:tcPr>
            <w:tcW w:w="1526" w:type="dxa"/>
            <w:vAlign w:val="center"/>
          </w:tcPr>
          <w:p>
            <w:pPr>
              <w:jc w:val="center"/>
              <w:rPr>
                <w:color w:val="auto"/>
                <w:highlight w:val="none"/>
              </w:rPr>
            </w:pPr>
            <w:r>
              <w:rPr>
                <w:rFonts w:ascii="宋体" w:hAnsi="宋体" w:eastAsia="宋体" w:cs="宋体"/>
                <w:b w:val="0"/>
                <w:i w:val="0"/>
                <w:color w:val="auto"/>
                <w:sz w:val="16"/>
                <w:highlight w:val="none"/>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pPr>
              <w:rPr>
                <w:color w:val="auto"/>
                <w:highlight w:val="none"/>
              </w:rPr>
            </w:pPr>
          </w:p>
        </w:tc>
        <w:tc>
          <w:tcPr>
            <w:tcW w:w="400" w:type="dxa"/>
            <w:vMerge w:val="continue"/>
            <w:vAlign w:val="center"/>
          </w:tcPr>
          <w:p>
            <w:pPr>
              <w:rPr>
                <w:color w:val="auto"/>
                <w:highlight w:val="none"/>
              </w:rPr>
            </w:pPr>
          </w:p>
        </w:tc>
        <w:tc>
          <w:tcPr>
            <w:tcW w:w="380" w:type="dxa"/>
            <w:vMerge w:val="continue"/>
            <w:vAlign w:val="center"/>
          </w:tcPr>
          <w:p>
            <w:pPr>
              <w:rPr>
                <w:color w:val="auto"/>
                <w:highlight w:val="none"/>
              </w:rPr>
            </w:pPr>
          </w:p>
        </w:tc>
        <w:tc>
          <w:tcPr>
            <w:tcW w:w="2700" w:type="dxa"/>
            <w:vAlign w:val="center"/>
          </w:tcPr>
          <w:p>
            <w:pPr>
              <w:jc w:val="center"/>
              <w:rPr>
                <w:color w:val="auto"/>
                <w:highlight w:val="none"/>
              </w:rPr>
            </w:pPr>
            <w:r>
              <w:rPr>
                <w:rFonts w:ascii="宋体" w:hAnsi="宋体" w:eastAsia="宋体" w:cs="宋体"/>
                <w:b w:val="0"/>
                <w:i w:val="0"/>
                <w:color w:val="auto"/>
                <w:sz w:val="16"/>
                <w:highlight w:val="none"/>
              </w:rPr>
              <w:t>合计</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1,034.23</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675.64</w:t>
            </w:r>
          </w:p>
        </w:tc>
        <w:tc>
          <w:tcPr>
            <w:tcW w:w="1526" w:type="dxa"/>
            <w:vAlign w:val="center"/>
          </w:tcPr>
          <w:p>
            <w:pPr>
              <w:jc w:val="right"/>
              <w:rPr>
                <w:color w:val="auto"/>
                <w:highlight w:val="none"/>
              </w:rPr>
            </w:pPr>
            <w:r>
              <w:rPr>
                <w:rFonts w:ascii="宋体" w:hAnsi="宋体" w:eastAsia="宋体" w:cs="宋体"/>
                <w:b w:val="0"/>
                <w:i w:val="0"/>
                <w:color w:val="auto"/>
                <w:sz w:val="16"/>
                <w:highlight w:val="none"/>
              </w:rPr>
              <w:t>358.58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201</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一般公共服务支出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929.59</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571.00</w:t>
            </w:r>
          </w:p>
        </w:tc>
        <w:tc>
          <w:tcPr>
            <w:tcW w:w="1526" w:type="dxa"/>
            <w:vAlign w:val="center"/>
          </w:tcPr>
          <w:p>
            <w:pPr>
              <w:jc w:val="right"/>
              <w:rPr>
                <w:color w:val="auto"/>
                <w:highlight w:val="none"/>
              </w:rPr>
            </w:pPr>
            <w:r>
              <w:rPr>
                <w:rFonts w:ascii="宋体" w:hAnsi="宋体" w:eastAsia="宋体" w:cs="宋体"/>
                <w:b w:val="0"/>
                <w:i w:val="0"/>
                <w:color w:val="auto"/>
                <w:sz w:val="16"/>
                <w:highlight w:val="none"/>
              </w:rPr>
              <w:t>358.58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20103</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政府办公厅（室）及相关机构事务</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846.44</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571.00</w:t>
            </w:r>
          </w:p>
        </w:tc>
        <w:tc>
          <w:tcPr>
            <w:tcW w:w="1526" w:type="dxa"/>
            <w:vAlign w:val="center"/>
          </w:tcPr>
          <w:p>
            <w:pPr>
              <w:jc w:val="right"/>
              <w:rPr>
                <w:color w:val="auto"/>
                <w:highlight w:val="none"/>
              </w:rPr>
            </w:pPr>
            <w:r>
              <w:rPr>
                <w:rFonts w:ascii="宋体" w:hAnsi="宋体" w:eastAsia="宋体" w:cs="宋体"/>
                <w:b w:val="0"/>
                <w:i w:val="0"/>
                <w:color w:val="auto"/>
                <w:sz w:val="16"/>
                <w:highlight w:val="none"/>
              </w:rPr>
              <w:t>275.43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2010301</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行政运行</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504.27</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504.27</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2010399</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其他政府办公厅（室）及相关机构事务支出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342.16</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66.73</w:t>
            </w:r>
          </w:p>
        </w:tc>
        <w:tc>
          <w:tcPr>
            <w:tcW w:w="1526" w:type="dxa"/>
            <w:vAlign w:val="center"/>
          </w:tcPr>
          <w:p>
            <w:pPr>
              <w:jc w:val="right"/>
              <w:rPr>
                <w:color w:val="auto"/>
                <w:highlight w:val="none"/>
              </w:rPr>
            </w:pPr>
            <w:r>
              <w:rPr>
                <w:rFonts w:ascii="宋体" w:hAnsi="宋体" w:eastAsia="宋体" w:cs="宋体"/>
                <w:b w:val="0"/>
                <w:i w:val="0"/>
                <w:color w:val="auto"/>
                <w:sz w:val="16"/>
                <w:highlight w:val="none"/>
              </w:rPr>
              <w:t>275.43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20199</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其他一般公共服务支出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83.15</w:t>
            </w:r>
          </w:p>
        </w:tc>
        <w:tc>
          <w:tcPr>
            <w:tcW w:w="1520" w:type="dxa"/>
            <w:vAlign w:val="center"/>
          </w:tcPr>
          <w:p>
            <w:pPr>
              <w:rPr>
                <w:color w:val="auto"/>
                <w:highlight w:val="none"/>
              </w:rPr>
            </w:pPr>
          </w:p>
        </w:tc>
        <w:tc>
          <w:tcPr>
            <w:tcW w:w="1526" w:type="dxa"/>
            <w:vAlign w:val="center"/>
          </w:tcPr>
          <w:p>
            <w:pPr>
              <w:jc w:val="right"/>
              <w:rPr>
                <w:color w:val="auto"/>
                <w:highlight w:val="none"/>
              </w:rPr>
            </w:pPr>
            <w:r>
              <w:rPr>
                <w:rFonts w:ascii="宋体" w:hAnsi="宋体" w:eastAsia="宋体" w:cs="宋体"/>
                <w:b w:val="0"/>
                <w:i w:val="0"/>
                <w:color w:val="auto"/>
                <w:sz w:val="16"/>
                <w:highlight w:val="none"/>
              </w:rPr>
              <w:t>83.15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2019999</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其他一般公共服务支出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83.15</w:t>
            </w:r>
          </w:p>
        </w:tc>
        <w:tc>
          <w:tcPr>
            <w:tcW w:w="1520" w:type="dxa"/>
            <w:vAlign w:val="center"/>
          </w:tcPr>
          <w:p>
            <w:pPr>
              <w:rPr>
                <w:color w:val="auto"/>
                <w:highlight w:val="none"/>
              </w:rPr>
            </w:pPr>
          </w:p>
        </w:tc>
        <w:tc>
          <w:tcPr>
            <w:tcW w:w="1526" w:type="dxa"/>
            <w:vAlign w:val="center"/>
          </w:tcPr>
          <w:p>
            <w:pPr>
              <w:jc w:val="right"/>
              <w:rPr>
                <w:color w:val="auto"/>
                <w:highlight w:val="none"/>
              </w:rPr>
            </w:pPr>
            <w:r>
              <w:rPr>
                <w:rFonts w:ascii="宋体" w:hAnsi="宋体" w:eastAsia="宋体" w:cs="宋体"/>
                <w:b w:val="0"/>
                <w:i w:val="0"/>
                <w:color w:val="auto"/>
                <w:sz w:val="16"/>
                <w:highlight w:val="none"/>
              </w:rPr>
              <w:t>83.15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社会保障和就业支出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45.98</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45.98</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20805</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行政事业单位养老支出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41.93</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41.93</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2080505</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机关事业单位基本养老保险缴费支出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30.80</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30.80</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2080506</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机关事业单位职业年金缴费支出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4.96</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4.96</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2080508</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对机关事业单位职业年金的补助</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6.17</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6.17</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20808</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抚恤</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3.55</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3.55</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2080801</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死亡抚恤</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3.55</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3.55</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20899</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其他社会保障和就业支出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0.49</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0.49</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2089999</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其他社会保障和就业支出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0.49</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0.49</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210</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卫生健康支出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26.78</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26.78</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21011</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行政事业单位医疗</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26.78</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26.78</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2101101</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行政单位医疗</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15.38</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15.38</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2101103</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公务员医疗补助</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11.40</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11.40</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221</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住房保障支出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31.88</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31.88</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22102</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住房改革支出</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31.88</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31.88</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pPr>
              <w:jc w:val="left"/>
              <w:rPr>
                <w:color w:val="auto"/>
                <w:highlight w:val="none"/>
              </w:rPr>
            </w:pPr>
            <w:r>
              <w:rPr>
                <w:rFonts w:ascii="宋体" w:hAnsi="宋体" w:eastAsia="宋体" w:cs="宋体"/>
                <w:b w:val="0"/>
                <w:i w:val="0"/>
                <w:color w:val="auto"/>
                <w:sz w:val="16"/>
                <w:highlight w:val="none"/>
              </w:rPr>
              <w:t>2210201</w:t>
            </w:r>
          </w:p>
        </w:tc>
        <w:tc>
          <w:tcPr>
            <w:tcW w:w="2700" w:type="dxa"/>
            <w:vAlign w:val="center"/>
          </w:tcPr>
          <w:p>
            <w:pPr>
              <w:jc w:val="left"/>
              <w:rPr>
                <w:color w:val="auto"/>
                <w:highlight w:val="none"/>
              </w:rPr>
            </w:pPr>
            <w:r>
              <w:rPr>
                <w:rFonts w:ascii="宋体" w:hAnsi="宋体" w:eastAsia="宋体" w:cs="宋体"/>
                <w:b w:val="0"/>
                <w:i w:val="0"/>
                <w:color w:val="auto"/>
                <w:sz w:val="16"/>
                <w:highlight w:val="none"/>
              </w:rPr>
              <w:t>住房公积金</w:t>
            </w:r>
          </w:p>
        </w:tc>
        <w:tc>
          <w:tcPr>
            <w:tcW w:w="1420" w:type="dxa"/>
            <w:vAlign w:val="center"/>
          </w:tcPr>
          <w:p>
            <w:pPr>
              <w:jc w:val="right"/>
              <w:rPr>
                <w:color w:val="auto"/>
                <w:highlight w:val="none"/>
              </w:rPr>
            </w:pPr>
            <w:r>
              <w:rPr>
                <w:rFonts w:ascii="宋体" w:hAnsi="宋体" w:eastAsia="宋体" w:cs="宋体"/>
                <w:b w:val="0"/>
                <w:i w:val="0"/>
                <w:color w:val="auto"/>
                <w:sz w:val="16"/>
                <w:highlight w:val="none"/>
              </w:rPr>
              <w:t>31.88</w:t>
            </w:r>
          </w:p>
        </w:tc>
        <w:tc>
          <w:tcPr>
            <w:tcW w:w="1520" w:type="dxa"/>
            <w:vAlign w:val="center"/>
          </w:tcPr>
          <w:p>
            <w:pPr>
              <w:jc w:val="right"/>
              <w:rPr>
                <w:color w:val="auto"/>
                <w:highlight w:val="none"/>
              </w:rPr>
            </w:pPr>
            <w:r>
              <w:rPr>
                <w:rFonts w:ascii="宋体" w:hAnsi="宋体" w:eastAsia="宋体" w:cs="宋体"/>
                <w:b w:val="0"/>
                <w:i w:val="0"/>
                <w:color w:val="auto"/>
                <w:sz w:val="16"/>
                <w:highlight w:val="none"/>
              </w:rPr>
              <w:t>31.88</w:t>
            </w:r>
          </w:p>
        </w:tc>
        <w:tc>
          <w:tcPr>
            <w:tcW w:w="152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6"/>
                <w:highlight w:val="none"/>
              </w:rPr>
              <w:t>注：本表反映部门(单位)本年度一般公共预算财政拨款支出情况。</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highlight w:val="none"/>
              </w:rPr>
            </w:pPr>
            <w:r>
              <w:rPr>
                <w:rFonts w:ascii="宋体" w:hAnsi="宋体" w:eastAsia="宋体" w:cs="宋体"/>
                <w:color w:val="auto"/>
                <w:sz w:val="20"/>
                <w:highlight w:val="none"/>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3153"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pPr>
              <w:jc w:val="center"/>
              <w:rPr>
                <w:color w:val="auto"/>
                <w:highlight w:val="none"/>
              </w:rPr>
            </w:pPr>
            <w:r>
              <w:rPr>
                <w:rFonts w:ascii="宋体" w:hAnsi="宋体" w:eastAsia="宋体" w:cs="宋体"/>
                <w:b w:val="0"/>
                <w:i w:val="0"/>
                <w:color w:val="auto"/>
                <w:sz w:val="9"/>
                <w:highlight w:val="none"/>
              </w:rPr>
              <w:t>人员经费</w:t>
            </w:r>
          </w:p>
        </w:tc>
        <w:tc>
          <w:tcPr>
            <w:tcW w:w="540" w:type="dxa"/>
            <w:gridSpan w:val="6"/>
            <w:vAlign w:val="center"/>
          </w:tcPr>
          <w:p>
            <w:pPr>
              <w:jc w:val="center"/>
              <w:rPr>
                <w:color w:val="auto"/>
                <w:highlight w:val="none"/>
              </w:rPr>
            </w:pPr>
            <w:r>
              <w:rPr>
                <w:rFonts w:ascii="宋体" w:hAnsi="宋体" w:eastAsia="宋体" w:cs="宋体"/>
                <w:b w:val="0"/>
                <w:i w:val="0"/>
                <w:color w:val="auto"/>
                <w:sz w:val="9"/>
                <w:highlight w:val="none"/>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pPr>
              <w:jc w:val="center"/>
              <w:rPr>
                <w:color w:val="auto"/>
                <w:highlight w:val="none"/>
              </w:rPr>
            </w:pPr>
            <w:r>
              <w:rPr>
                <w:rFonts w:ascii="宋体" w:hAnsi="宋体" w:eastAsia="宋体" w:cs="宋体"/>
                <w:b w:val="0"/>
                <w:i w:val="0"/>
                <w:color w:val="auto"/>
                <w:sz w:val="9"/>
                <w:highlight w:val="none"/>
              </w:rPr>
              <w:t>经济分类科目编码</w:t>
            </w:r>
          </w:p>
        </w:tc>
        <w:tc>
          <w:tcPr>
            <w:tcW w:w="1740" w:type="dxa"/>
            <w:vAlign w:val="center"/>
          </w:tcPr>
          <w:p>
            <w:pPr>
              <w:jc w:val="center"/>
              <w:rPr>
                <w:color w:val="auto"/>
                <w:highlight w:val="none"/>
              </w:rPr>
            </w:pPr>
            <w:r>
              <w:rPr>
                <w:rFonts w:ascii="宋体" w:hAnsi="宋体" w:eastAsia="宋体" w:cs="宋体"/>
                <w:b w:val="0"/>
                <w:i w:val="0"/>
                <w:color w:val="auto"/>
                <w:sz w:val="9"/>
                <w:highlight w:val="none"/>
              </w:rPr>
              <w:t>科目名称</w:t>
            </w:r>
          </w:p>
        </w:tc>
        <w:tc>
          <w:tcPr>
            <w:tcW w:w="800" w:type="dxa"/>
            <w:vAlign w:val="center"/>
          </w:tcPr>
          <w:p>
            <w:pPr>
              <w:jc w:val="center"/>
              <w:rPr>
                <w:color w:val="auto"/>
                <w:highlight w:val="none"/>
              </w:rPr>
            </w:pPr>
            <w:r>
              <w:rPr>
                <w:rFonts w:ascii="宋体" w:hAnsi="宋体" w:eastAsia="宋体" w:cs="宋体"/>
                <w:b w:val="0"/>
                <w:i w:val="0"/>
                <w:color w:val="auto"/>
                <w:sz w:val="9"/>
                <w:highlight w:val="none"/>
              </w:rPr>
              <w:t>金额</w:t>
            </w:r>
          </w:p>
        </w:tc>
        <w:tc>
          <w:tcPr>
            <w:tcW w:w="540" w:type="dxa"/>
            <w:vAlign w:val="center"/>
          </w:tcPr>
          <w:p>
            <w:pPr>
              <w:jc w:val="center"/>
              <w:rPr>
                <w:color w:val="auto"/>
                <w:highlight w:val="none"/>
              </w:rPr>
            </w:pPr>
            <w:r>
              <w:rPr>
                <w:rFonts w:ascii="宋体" w:hAnsi="宋体" w:eastAsia="宋体" w:cs="宋体"/>
                <w:b w:val="0"/>
                <w:i w:val="0"/>
                <w:color w:val="auto"/>
                <w:sz w:val="9"/>
                <w:highlight w:val="none"/>
              </w:rPr>
              <w:t>经济分类科目编码</w:t>
            </w:r>
          </w:p>
        </w:tc>
        <w:tc>
          <w:tcPr>
            <w:tcW w:w="1380" w:type="dxa"/>
            <w:vAlign w:val="center"/>
          </w:tcPr>
          <w:p>
            <w:pPr>
              <w:jc w:val="center"/>
              <w:rPr>
                <w:color w:val="auto"/>
                <w:highlight w:val="none"/>
              </w:rPr>
            </w:pPr>
            <w:r>
              <w:rPr>
                <w:rFonts w:ascii="宋体" w:hAnsi="宋体" w:eastAsia="宋体" w:cs="宋体"/>
                <w:b w:val="0"/>
                <w:i w:val="0"/>
                <w:color w:val="auto"/>
                <w:sz w:val="9"/>
                <w:highlight w:val="none"/>
              </w:rPr>
              <w:t>科目名称</w:t>
            </w:r>
          </w:p>
        </w:tc>
        <w:tc>
          <w:tcPr>
            <w:tcW w:w="820" w:type="dxa"/>
            <w:vAlign w:val="center"/>
          </w:tcPr>
          <w:p>
            <w:pPr>
              <w:jc w:val="center"/>
              <w:rPr>
                <w:color w:val="auto"/>
                <w:highlight w:val="none"/>
              </w:rPr>
            </w:pPr>
            <w:r>
              <w:rPr>
                <w:rFonts w:ascii="宋体" w:hAnsi="宋体" w:eastAsia="宋体" w:cs="宋体"/>
                <w:b w:val="0"/>
                <w:i w:val="0"/>
                <w:color w:val="auto"/>
                <w:sz w:val="9"/>
                <w:highlight w:val="none"/>
              </w:rPr>
              <w:t>金额</w:t>
            </w:r>
          </w:p>
        </w:tc>
        <w:tc>
          <w:tcPr>
            <w:tcW w:w="540" w:type="dxa"/>
            <w:vAlign w:val="center"/>
          </w:tcPr>
          <w:p>
            <w:pPr>
              <w:jc w:val="center"/>
              <w:rPr>
                <w:color w:val="auto"/>
                <w:highlight w:val="none"/>
              </w:rPr>
            </w:pPr>
            <w:r>
              <w:rPr>
                <w:rFonts w:ascii="宋体" w:hAnsi="宋体" w:eastAsia="宋体" w:cs="宋体"/>
                <w:b w:val="0"/>
                <w:i w:val="0"/>
                <w:color w:val="auto"/>
                <w:sz w:val="9"/>
                <w:highlight w:val="none"/>
              </w:rPr>
              <w:t>经济分类科目编码</w:t>
            </w:r>
          </w:p>
        </w:tc>
        <w:tc>
          <w:tcPr>
            <w:tcW w:w="1260" w:type="dxa"/>
            <w:vAlign w:val="center"/>
          </w:tcPr>
          <w:p>
            <w:pPr>
              <w:jc w:val="center"/>
              <w:rPr>
                <w:color w:val="auto"/>
                <w:highlight w:val="none"/>
              </w:rPr>
            </w:pPr>
            <w:r>
              <w:rPr>
                <w:rFonts w:ascii="宋体" w:hAnsi="宋体" w:eastAsia="宋体" w:cs="宋体"/>
                <w:b w:val="0"/>
                <w:i w:val="0"/>
                <w:color w:val="auto"/>
                <w:sz w:val="9"/>
                <w:highlight w:val="none"/>
              </w:rPr>
              <w:t>科目名称</w:t>
            </w:r>
          </w:p>
        </w:tc>
        <w:tc>
          <w:tcPr>
            <w:tcW w:w="786" w:type="dxa"/>
            <w:vAlign w:val="center"/>
          </w:tcPr>
          <w:p>
            <w:pPr>
              <w:jc w:val="center"/>
              <w:rPr>
                <w:color w:val="auto"/>
                <w:highlight w:val="none"/>
              </w:rPr>
            </w:pPr>
            <w:r>
              <w:rPr>
                <w:rFonts w:ascii="宋体" w:hAnsi="宋体" w:eastAsia="宋体" w:cs="宋体"/>
                <w:b w:val="0"/>
                <w:i w:val="0"/>
                <w:color w:val="auto"/>
                <w:sz w:val="9"/>
                <w:highlight w:val="none"/>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i w:val="0"/>
                <w:color w:val="auto"/>
                <w:sz w:val="9"/>
                <w:highlight w:val="none"/>
              </w:rPr>
              <w:t>301</w:t>
            </w:r>
          </w:p>
        </w:tc>
        <w:tc>
          <w:tcPr>
            <w:tcW w:w="1740" w:type="dxa"/>
            <w:vAlign w:val="center"/>
          </w:tcPr>
          <w:p>
            <w:pPr>
              <w:jc w:val="left"/>
              <w:rPr>
                <w:color w:val="auto"/>
                <w:highlight w:val="none"/>
              </w:rPr>
            </w:pPr>
            <w:r>
              <w:rPr>
                <w:rFonts w:ascii="宋体" w:hAnsi="宋体" w:eastAsia="宋体" w:cs="宋体"/>
                <w:b/>
                <w:i w:val="0"/>
                <w:color w:val="auto"/>
                <w:sz w:val="9"/>
                <w:highlight w:val="none"/>
              </w:rPr>
              <w:t>工资福利支出</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484.57</w:t>
            </w:r>
          </w:p>
        </w:tc>
        <w:tc>
          <w:tcPr>
            <w:tcW w:w="540" w:type="dxa"/>
            <w:vAlign w:val="center"/>
          </w:tcPr>
          <w:p>
            <w:pPr>
              <w:jc w:val="left"/>
              <w:rPr>
                <w:color w:val="auto"/>
                <w:highlight w:val="none"/>
              </w:rPr>
            </w:pPr>
            <w:r>
              <w:rPr>
                <w:rFonts w:ascii="宋体" w:hAnsi="宋体" w:eastAsia="宋体" w:cs="宋体"/>
                <w:b/>
                <w:i w:val="0"/>
                <w:color w:val="auto"/>
                <w:sz w:val="9"/>
                <w:highlight w:val="none"/>
              </w:rPr>
              <w:t>302</w:t>
            </w:r>
          </w:p>
        </w:tc>
        <w:tc>
          <w:tcPr>
            <w:tcW w:w="1380" w:type="dxa"/>
            <w:vAlign w:val="center"/>
          </w:tcPr>
          <w:p>
            <w:pPr>
              <w:jc w:val="left"/>
              <w:rPr>
                <w:color w:val="auto"/>
                <w:highlight w:val="none"/>
              </w:rPr>
            </w:pPr>
            <w:r>
              <w:rPr>
                <w:rFonts w:ascii="宋体" w:hAnsi="宋体" w:eastAsia="宋体" w:cs="宋体"/>
                <w:b/>
                <w:i w:val="0"/>
                <w:color w:val="auto"/>
                <w:sz w:val="9"/>
                <w:highlight w:val="none"/>
              </w:rPr>
              <w:t>商品和服务支出</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186.54</w:t>
            </w:r>
          </w:p>
        </w:tc>
        <w:tc>
          <w:tcPr>
            <w:tcW w:w="540" w:type="dxa"/>
            <w:vAlign w:val="center"/>
          </w:tcPr>
          <w:p>
            <w:pPr>
              <w:jc w:val="left"/>
              <w:rPr>
                <w:color w:val="auto"/>
                <w:highlight w:val="none"/>
              </w:rPr>
            </w:pPr>
            <w:r>
              <w:rPr>
                <w:rFonts w:ascii="宋体" w:hAnsi="宋体" w:eastAsia="宋体" w:cs="宋体"/>
                <w:b/>
                <w:i w:val="0"/>
                <w:color w:val="auto"/>
                <w:sz w:val="9"/>
                <w:highlight w:val="none"/>
              </w:rPr>
              <w:t>307</w:t>
            </w:r>
          </w:p>
        </w:tc>
        <w:tc>
          <w:tcPr>
            <w:tcW w:w="1260" w:type="dxa"/>
            <w:vAlign w:val="center"/>
          </w:tcPr>
          <w:p>
            <w:pPr>
              <w:jc w:val="left"/>
              <w:rPr>
                <w:color w:val="auto"/>
                <w:highlight w:val="none"/>
              </w:rPr>
            </w:pPr>
            <w:r>
              <w:rPr>
                <w:rFonts w:ascii="宋体" w:hAnsi="宋体" w:eastAsia="宋体" w:cs="宋体"/>
                <w:b/>
                <w:i w:val="0"/>
                <w:color w:val="auto"/>
                <w:sz w:val="9"/>
                <w:highlight w:val="none"/>
              </w:rPr>
              <w:t>债务利息及费用支出</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30101</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基本工资</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104.87</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30201</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办公费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32.83</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30701</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国内债务付息</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30102</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津贴补贴</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66.75</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30202</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印刷费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0.12</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30702</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国外债务付息</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30103</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奖金</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9.12</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30203</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咨询费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30703</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国内债务发行费用</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30106</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伙食补助费</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7.69</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30204</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手续费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30704</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国外债务发行费用</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30107</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绩效工资</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195.05</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30205</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水费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i w:val="0"/>
                <w:color w:val="auto"/>
                <w:sz w:val="9"/>
                <w:highlight w:val="none"/>
              </w:rPr>
              <w:t>310</w:t>
            </w:r>
          </w:p>
        </w:tc>
        <w:tc>
          <w:tcPr>
            <w:tcW w:w="1260" w:type="dxa"/>
            <w:vAlign w:val="center"/>
          </w:tcPr>
          <w:p>
            <w:pPr>
              <w:jc w:val="left"/>
              <w:rPr>
                <w:color w:val="auto"/>
                <w:highlight w:val="none"/>
              </w:rPr>
            </w:pPr>
            <w:r>
              <w:rPr>
                <w:rFonts w:ascii="宋体" w:hAnsi="宋体" w:eastAsia="宋体" w:cs="宋体"/>
                <w:b/>
                <w:i w:val="0"/>
                <w:color w:val="auto"/>
                <w:sz w:val="9"/>
                <w:highlight w:val="none"/>
              </w:rPr>
              <w:t>资本性支出</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30108</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机关事业单位基本养老保险缴费</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30.80</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30206</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电费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31001</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房屋建筑物购建</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30109</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职业年金缴费</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11.13</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30207</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邮电费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31002</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办公设备购置</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30110</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职工基本医疗保险缴费</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15.38</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30208</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取暖费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31003</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专用设备购置</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30111</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公务员医疗补助缴款</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11.40</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30209</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物业管理费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31005</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基础设施建设</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30112</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其他社会保障缴费</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0.49</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30211</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差旅费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12.45</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31006</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大型修缮</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30113</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住房公积金</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31.88</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30212</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因公出国（境）费用</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31007</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信息网络及软件购置更新</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30114</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医疗费</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30213</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维修（护）费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5.38</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31008</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物资储备</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30199</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其他工资福利支出</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30214</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租赁费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31009</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土地补偿</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i w:val="0"/>
                <w:color w:val="auto"/>
                <w:sz w:val="9"/>
                <w:highlight w:val="none"/>
              </w:rPr>
              <w:t>303</w:t>
            </w:r>
          </w:p>
        </w:tc>
        <w:tc>
          <w:tcPr>
            <w:tcW w:w="1740" w:type="dxa"/>
            <w:vAlign w:val="center"/>
          </w:tcPr>
          <w:p>
            <w:pPr>
              <w:jc w:val="left"/>
              <w:rPr>
                <w:color w:val="auto"/>
                <w:highlight w:val="none"/>
              </w:rPr>
            </w:pPr>
            <w:r>
              <w:rPr>
                <w:rFonts w:ascii="宋体" w:hAnsi="宋体" w:eastAsia="宋体" w:cs="宋体"/>
                <w:b/>
                <w:i w:val="0"/>
                <w:color w:val="auto"/>
                <w:sz w:val="9"/>
                <w:highlight w:val="none"/>
              </w:rPr>
              <w:t>对个人和家庭的补助</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4.53</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30215</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会议费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4.85</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31010</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安置补助</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30301</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离休费</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30216</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培训费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0.54</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310111</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地上附着物和青苗补偿</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30302</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退休费</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30217</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公务接待费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31012</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拆迁补偿</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30303</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退职（役）费</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30218</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专用材料费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31013</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公务用车购置</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30304</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抚恤金</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1.70</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30224</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被装购置费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31019</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其他交通工具购置</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30305</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生活补贴</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2.52</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30225</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专用燃料费</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31021</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文物和陈列品购置</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30306</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救济费</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30226</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劳务费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5.85</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31022</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无形资产购置</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30307</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医疗费补助</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30227</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委托业务费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0.84</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31099</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其他资本性支出</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30308</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助学金</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30228</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工会经费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18.63</w:t>
            </w:r>
          </w:p>
        </w:tc>
        <w:tc>
          <w:tcPr>
            <w:tcW w:w="540" w:type="dxa"/>
            <w:vAlign w:val="center"/>
          </w:tcPr>
          <w:p>
            <w:pPr>
              <w:jc w:val="left"/>
              <w:rPr>
                <w:color w:val="auto"/>
                <w:highlight w:val="none"/>
              </w:rPr>
            </w:pPr>
            <w:r>
              <w:rPr>
                <w:rFonts w:ascii="宋体" w:hAnsi="宋体" w:eastAsia="宋体" w:cs="宋体"/>
                <w:b/>
                <w:i w:val="0"/>
                <w:color w:val="auto"/>
                <w:sz w:val="9"/>
                <w:highlight w:val="none"/>
              </w:rPr>
              <w:t>312</w:t>
            </w:r>
          </w:p>
        </w:tc>
        <w:tc>
          <w:tcPr>
            <w:tcW w:w="1260" w:type="dxa"/>
            <w:vAlign w:val="center"/>
          </w:tcPr>
          <w:p>
            <w:pPr>
              <w:jc w:val="left"/>
              <w:rPr>
                <w:color w:val="auto"/>
                <w:highlight w:val="none"/>
              </w:rPr>
            </w:pPr>
            <w:r>
              <w:rPr>
                <w:rFonts w:ascii="宋体" w:hAnsi="宋体" w:eastAsia="宋体" w:cs="宋体"/>
                <w:b/>
                <w:i w:val="0"/>
                <w:color w:val="auto"/>
                <w:sz w:val="9"/>
                <w:highlight w:val="none"/>
              </w:rPr>
              <w:t>对企业补助</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30309</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奖励金</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0.32</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30229</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福利费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32.27</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31201</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资本金注入</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30310</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个人农业生产补贴</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30231</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公务用车运行维护费</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0.25</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31203</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政府投资基金股权投资</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30311</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代缴社会保险费</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30239</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其他交通费用</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30.10</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31204</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费用补贴</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jc w:val="left"/>
              <w:rPr>
                <w:color w:val="auto"/>
                <w:highlight w:val="none"/>
              </w:rPr>
            </w:pPr>
            <w:r>
              <w:rPr>
                <w:rFonts w:ascii="宋体" w:hAnsi="宋体" w:eastAsia="宋体" w:cs="宋体"/>
                <w:b w:val="0"/>
                <w:i w:val="0"/>
                <w:color w:val="auto"/>
                <w:sz w:val="9"/>
                <w:highlight w:val="none"/>
              </w:rPr>
              <w:t>30399</w:t>
            </w:r>
          </w:p>
        </w:tc>
        <w:tc>
          <w:tcPr>
            <w:tcW w:w="1740" w:type="dxa"/>
            <w:vAlign w:val="center"/>
          </w:tcPr>
          <w:p>
            <w:pPr>
              <w:jc w:val="left"/>
              <w:rPr>
                <w:color w:val="auto"/>
                <w:highlight w:val="none"/>
              </w:rPr>
            </w:pPr>
            <w:r>
              <w:rPr>
                <w:rFonts w:ascii="宋体" w:hAnsi="宋体" w:eastAsia="宋体" w:cs="宋体"/>
                <w:b w:val="0"/>
                <w:i w:val="0"/>
                <w:color w:val="auto"/>
                <w:sz w:val="9"/>
                <w:highlight w:val="none"/>
              </w:rPr>
              <w:t>其他对个人和家庭的补助支出</w:t>
            </w: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30240</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税金及附加费用</w:t>
            </w: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31205</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利息补贴</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rPr>
                <w:color w:val="auto"/>
                <w:highlight w:val="none"/>
              </w:rPr>
            </w:pPr>
          </w:p>
        </w:tc>
        <w:tc>
          <w:tcPr>
            <w:tcW w:w="1740" w:type="dxa"/>
            <w:vAlign w:val="center"/>
          </w:tcPr>
          <w:p>
            <w:pPr>
              <w:rPr>
                <w:color w:val="auto"/>
                <w:highlight w:val="none"/>
              </w:rPr>
            </w:pPr>
          </w:p>
        </w:tc>
        <w:tc>
          <w:tcPr>
            <w:tcW w:w="80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30299</w:t>
            </w:r>
          </w:p>
        </w:tc>
        <w:tc>
          <w:tcPr>
            <w:tcW w:w="1380" w:type="dxa"/>
            <w:vAlign w:val="center"/>
          </w:tcPr>
          <w:p>
            <w:pPr>
              <w:jc w:val="left"/>
              <w:rPr>
                <w:color w:val="auto"/>
                <w:highlight w:val="none"/>
              </w:rPr>
            </w:pPr>
            <w:r>
              <w:rPr>
                <w:rFonts w:ascii="宋体" w:hAnsi="宋体" w:eastAsia="宋体" w:cs="宋体"/>
                <w:b w:val="0"/>
                <w:i w:val="0"/>
                <w:color w:val="auto"/>
                <w:sz w:val="9"/>
                <w:highlight w:val="none"/>
              </w:rPr>
              <w:t>其他商品和服务支出</w:t>
            </w:r>
          </w:p>
        </w:tc>
        <w:tc>
          <w:tcPr>
            <w:tcW w:w="820" w:type="dxa"/>
            <w:vAlign w:val="center"/>
          </w:tcPr>
          <w:p>
            <w:pPr>
              <w:jc w:val="right"/>
              <w:rPr>
                <w:color w:val="auto"/>
                <w:highlight w:val="none"/>
              </w:rPr>
            </w:pPr>
            <w:r>
              <w:rPr>
                <w:rFonts w:ascii="宋体" w:hAnsi="宋体" w:eastAsia="宋体" w:cs="宋体"/>
                <w:b w:val="0"/>
                <w:i w:val="0"/>
                <w:color w:val="auto"/>
                <w:sz w:val="9"/>
                <w:highlight w:val="none"/>
              </w:rPr>
              <w:t>42.43</w:t>
            </w:r>
          </w:p>
        </w:tc>
        <w:tc>
          <w:tcPr>
            <w:tcW w:w="540" w:type="dxa"/>
            <w:vAlign w:val="center"/>
          </w:tcPr>
          <w:p>
            <w:pPr>
              <w:jc w:val="left"/>
              <w:rPr>
                <w:color w:val="auto"/>
                <w:highlight w:val="none"/>
              </w:rPr>
            </w:pPr>
            <w:r>
              <w:rPr>
                <w:rFonts w:ascii="宋体" w:hAnsi="宋体" w:eastAsia="宋体" w:cs="宋体"/>
                <w:b w:val="0"/>
                <w:i w:val="0"/>
                <w:color w:val="auto"/>
                <w:sz w:val="9"/>
                <w:highlight w:val="none"/>
              </w:rPr>
              <w:t>31299</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其他对企业补助</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rPr>
                <w:color w:val="auto"/>
                <w:highlight w:val="none"/>
              </w:rPr>
            </w:pPr>
          </w:p>
        </w:tc>
        <w:tc>
          <w:tcPr>
            <w:tcW w:w="1740" w:type="dxa"/>
            <w:vAlign w:val="center"/>
          </w:tcPr>
          <w:p>
            <w:pPr>
              <w:rPr>
                <w:color w:val="auto"/>
                <w:highlight w:val="none"/>
              </w:rPr>
            </w:pPr>
          </w:p>
        </w:tc>
        <w:tc>
          <w:tcPr>
            <w:tcW w:w="800" w:type="dxa"/>
            <w:vAlign w:val="center"/>
          </w:tcPr>
          <w:p>
            <w:pPr>
              <w:rPr>
                <w:color w:val="auto"/>
                <w:highlight w:val="none"/>
              </w:rPr>
            </w:pPr>
          </w:p>
        </w:tc>
        <w:tc>
          <w:tcPr>
            <w:tcW w:w="540" w:type="dxa"/>
            <w:vAlign w:val="center"/>
          </w:tcPr>
          <w:p>
            <w:pPr>
              <w:rPr>
                <w:color w:val="auto"/>
                <w:highlight w:val="none"/>
              </w:rPr>
            </w:pPr>
          </w:p>
        </w:tc>
        <w:tc>
          <w:tcPr>
            <w:tcW w:w="1380" w:type="dxa"/>
            <w:vAlign w:val="center"/>
          </w:tcPr>
          <w:p>
            <w:pPr>
              <w:rPr>
                <w:color w:val="auto"/>
                <w:highlight w:val="none"/>
              </w:rPr>
            </w:pP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i w:val="0"/>
                <w:color w:val="auto"/>
                <w:sz w:val="9"/>
                <w:highlight w:val="none"/>
              </w:rPr>
              <w:t>399</w:t>
            </w:r>
          </w:p>
        </w:tc>
        <w:tc>
          <w:tcPr>
            <w:tcW w:w="1260" w:type="dxa"/>
            <w:vAlign w:val="center"/>
          </w:tcPr>
          <w:p>
            <w:pPr>
              <w:jc w:val="left"/>
              <w:rPr>
                <w:color w:val="auto"/>
                <w:highlight w:val="none"/>
              </w:rPr>
            </w:pPr>
            <w:r>
              <w:rPr>
                <w:rFonts w:ascii="宋体" w:hAnsi="宋体" w:eastAsia="宋体" w:cs="宋体"/>
                <w:b/>
                <w:i w:val="0"/>
                <w:color w:val="auto"/>
                <w:sz w:val="9"/>
                <w:highlight w:val="none"/>
              </w:rPr>
              <w:t>其他支出</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rPr>
                <w:color w:val="auto"/>
                <w:highlight w:val="none"/>
              </w:rPr>
            </w:pPr>
          </w:p>
        </w:tc>
        <w:tc>
          <w:tcPr>
            <w:tcW w:w="1740" w:type="dxa"/>
            <w:vAlign w:val="center"/>
          </w:tcPr>
          <w:p>
            <w:pPr>
              <w:rPr>
                <w:color w:val="auto"/>
                <w:highlight w:val="none"/>
              </w:rPr>
            </w:pPr>
          </w:p>
        </w:tc>
        <w:tc>
          <w:tcPr>
            <w:tcW w:w="800" w:type="dxa"/>
            <w:vAlign w:val="center"/>
          </w:tcPr>
          <w:p>
            <w:pPr>
              <w:rPr>
                <w:color w:val="auto"/>
                <w:highlight w:val="none"/>
              </w:rPr>
            </w:pPr>
          </w:p>
        </w:tc>
        <w:tc>
          <w:tcPr>
            <w:tcW w:w="540" w:type="dxa"/>
            <w:vAlign w:val="center"/>
          </w:tcPr>
          <w:p>
            <w:pPr>
              <w:rPr>
                <w:color w:val="auto"/>
                <w:highlight w:val="none"/>
              </w:rPr>
            </w:pPr>
          </w:p>
        </w:tc>
        <w:tc>
          <w:tcPr>
            <w:tcW w:w="1380" w:type="dxa"/>
            <w:vAlign w:val="center"/>
          </w:tcPr>
          <w:p>
            <w:pPr>
              <w:rPr>
                <w:color w:val="auto"/>
                <w:highlight w:val="none"/>
              </w:rPr>
            </w:pP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39907</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国家赔偿费用支出</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pPr>
              <w:rPr>
                <w:color w:val="auto"/>
                <w:highlight w:val="none"/>
              </w:rPr>
            </w:pPr>
          </w:p>
        </w:tc>
        <w:tc>
          <w:tcPr>
            <w:tcW w:w="1740" w:type="dxa"/>
            <w:vAlign w:val="center"/>
          </w:tcPr>
          <w:p>
            <w:pPr>
              <w:rPr>
                <w:color w:val="auto"/>
                <w:highlight w:val="none"/>
              </w:rPr>
            </w:pPr>
          </w:p>
        </w:tc>
        <w:tc>
          <w:tcPr>
            <w:tcW w:w="800" w:type="dxa"/>
            <w:vAlign w:val="center"/>
          </w:tcPr>
          <w:p>
            <w:pPr>
              <w:rPr>
                <w:color w:val="auto"/>
                <w:highlight w:val="none"/>
              </w:rPr>
            </w:pPr>
          </w:p>
        </w:tc>
        <w:tc>
          <w:tcPr>
            <w:tcW w:w="540" w:type="dxa"/>
            <w:vAlign w:val="center"/>
          </w:tcPr>
          <w:p>
            <w:pPr>
              <w:rPr>
                <w:color w:val="auto"/>
                <w:highlight w:val="none"/>
              </w:rPr>
            </w:pPr>
          </w:p>
        </w:tc>
        <w:tc>
          <w:tcPr>
            <w:tcW w:w="1380" w:type="dxa"/>
            <w:vAlign w:val="center"/>
          </w:tcPr>
          <w:p>
            <w:pPr>
              <w:rPr>
                <w:color w:val="auto"/>
                <w:highlight w:val="none"/>
              </w:rPr>
            </w:pP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39908</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对民间非营利组织和群众性自治组织补贴</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rPr>
                <w:color w:val="auto"/>
                <w:highlight w:val="none"/>
              </w:rPr>
            </w:pPr>
          </w:p>
        </w:tc>
        <w:tc>
          <w:tcPr>
            <w:tcW w:w="1740" w:type="dxa"/>
            <w:vAlign w:val="center"/>
          </w:tcPr>
          <w:p>
            <w:pPr>
              <w:rPr>
                <w:color w:val="auto"/>
                <w:highlight w:val="none"/>
              </w:rPr>
            </w:pPr>
          </w:p>
        </w:tc>
        <w:tc>
          <w:tcPr>
            <w:tcW w:w="800" w:type="dxa"/>
            <w:vAlign w:val="center"/>
          </w:tcPr>
          <w:p>
            <w:pPr>
              <w:rPr>
                <w:color w:val="auto"/>
                <w:highlight w:val="none"/>
              </w:rPr>
            </w:pPr>
          </w:p>
        </w:tc>
        <w:tc>
          <w:tcPr>
            <w:tcW w:w="540" w:type="dxa"/>
            <w:vAlign w:val="center"/>
          </w:tcPr>
          <w:p>
            <w:pPr>
              <w:rPr>
                <w:color w:val="auto"/>
                <w:highlight w:val="none"/>
              </w:rPr>
            </w:pPr>
          </w:p>
        </w:tc>
        <w:tc>
          <w:tcPr>
            <w:tcW w:w="1380" w:type="dxa"/>
            <w:vAlign w:val="center"/>
          </w:tcPr>
          <w:p>
            <w:pPr>
              <w:rPr>
                <w:color w:val="auto"/>
                <w:highlight w:val="none"/>
              </w:rPr>
            </w:pP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39909</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经常性赠与</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pPr>
              <w:rPr>
                <w:color w:val="auto"/>
                <w:highlight w:val="none"/>
              </w:rPr>
            </w:pPr>
          </w:p>
        </w:tc>
        <w:tc>
          <w:tcPr>
            <w:tcW w:w="1740" w:type="dxa"/>
            <w:vAlign w:val="center"/>
          </w:tcPr>
          <w:p>
            <w:pPr>
              <w:rPr>
                <w:color w:val="auto"/>
                <w:highlight w:val="none"/>
              </w:rPr>
            </w:pPr>
          </w:p>
        </w:tc>
        <w:tc>
          <w:tcPr>
            <w:tcW w:w="800" w:type="dxa"/>
            <w:vAlign w:val="center"/>
          </w:tcPr>
          <w:p>
            <w:pPr>
              <w:rPr>
                <w:color w:val="auto"/>
                <w:highlight w:val="none"/>
              </w:rPr>
            </w:pPr>
          </w:p>
        </w:tc>
        <w:tc>
          <w:tcPr>
            <w:tcW w:w="540" w:type="dxa"/>
            <w:vAlign w:val="center"/>
          </w:tcPr>
          <w:p>
            <w:pPr>
              <w:rPr>
                <w:color w:val="auto"/>
                <w:highlight w:val="none"/>
              </w:rPr>
            </w:pPr>
          </w:p>
        </w:tc>
        <w:tc>
          <w:tcPr>
            <w:tcW w:w="1380" w:type="dxa"/>
            <w:vAlign w:val="center"/>
          </w:tcPr>
          <w:p>
            <w:pPr>
              <w:rPr>
                <w:color w:val="auto"/>
                <w:highlight w:val="none"/>
              </w:rPr>
            </w:pP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39910</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资本性赠与</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pPr>
              <w:rPr>
                <w:color w:val="auto"/>
                <w:highlight w:val="none"/>
              </w:rPr>
            </w:pPr>
          </w:p>
        </w:tc>
        <w:tc>
          <w:tcPr>
            <w:tcW w:w="1740" w:type="dxa"/>
            <w:vAlign w:val="center"/>
          </w:tcPr>
          <w:p>
            <w:pPr>
              <w:rPr>
                <w:color w:val="auto"/>
                <w:highlight w:val="none"/>
              </w:rPr>
            </w:pPr>
          </w:p>
        </w:tc>
        <w:tc>
          <w:tcPr>
            <w:tcW w:w="800" w:type="dxa"/>
            <w:vAlign w:val="center"/>
          </w:tcPr>
          <w:p>
            <w:pPr>
              <w:rPr>
                <w:color w:val="auto"/>
                <w:highlight w:val="none"/>
              </w:rPr>
            </w:pPr>
          </w:p>
        </w:tc>
        <w:tc>
          <w:tcPr>
            <w:tcW w:w="540" w:type="dxa"/>
            <w:vAlign w:val="center"/>
          </w:tcPr>
          <w:p>
            <w:pPr>
              <w:rPr>
                <w:color w:val="auto"/>
                <w:highlight w:val="none"/>
              </w:rPr>
            </w:pPr>
          </w:p>
        </w:tc>
        <w:tc>
          <w:tcPr>
            <w:tcW w:w="1380" w:type="dxa"/>
            <w:vAlign w:val="center"/>
          </w:tcPr>
          <w:p>
            <w:pPr>
              <w:rPr>
                <w:color w:val="auto"/>
                <w:highlight w:val="none"/>
              </w:rPr>
            </w:pPr>
          </w:p>
        </w:tc>
        <w:tc>
          <w:tcPr>
            <w:tcW w:w="820" w:type="dxa"/>
            <w:vAlign w:val="center"/>
          </w:tcPr>
          <w:p>
            <w:pPr>
              <w:rPr>
                <w:color w:val="auto"/>
                <w:highlight w:val="none"/>
              </w:rPr>
            </w:pPr>
          </w:p>
        </w:tc>
        <w:tc>
          <w:tcPr>
            <w:tcW w:w="540" w:type="dxa"/>
            <w:vAlign w:val="center"/>
          </w:tcPr>
          <w:p>
            <w:pPr>
              <w:jc w:val="left"/>
              <w:rPr>
                <w:color w:val="auto"/>
                <w:highlight w:val="none"/>
              </w:rPr>
            </w:pPr>
            <w:r>
              <w:rPr>
                <w:rFonts w:ascii="宋体" w:hAnsi="宋体" w:eastAsia="宋体" w:cs="宋体"/>
                <w:b w:val="0"/>
                <w:i w:val="0"/>
                <w:color w:val="auto"/>
                <w:sz w:val="9"/>
                <w:highlight w:val="none"/>
              </w:rPr>
              <w:t>39999</w:t>
            </w:r>
          </w:p>
        </w:tc>
        <w:tc>
          <w:tcPr>
            <w:tcW w:w="1260" w:type="dxa"/>
            <w:vAlign w:val="center"/>
          </w:tcPr>
          <w:p>
            <w:pPr>
              <w:jc w:val="left"/>
              <w:rPr>
                <w:color w:val="auto"/>
                <w:highlight w:val="none"/>
              </w:rPr>
            </w:pPr>
            <w:r>
              <w:rPr>
                <w:rFonts w:ascii="宋体" w:hAnsi="宋体" w:eastAsia="宋体" w:cs="宋体"/>
                <w:b w:val="0"/>
                <w:i w:val="0"/>
                <w:color w:val="auto"/>
                <w:sz w:val="9"/>
                <w:highlight w:val="none"/>
              </w:rPr>
              <w:t>其他支出</w:t>
            </w:r>
          </w:p>
        </w:tc>
        <w:tc>
          <w:tcPr>
            <w:tcW w:w="7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pPr>
              <w:jc w:val="center"/>
              <w:rPr>
                <w:color w:val="auto"/>
                <w:highlight w:val="none"/>
              </w:rPr>
            </w:pPr>
            <w:r>
              <w:rPr>
                <w:rFonts w:ascii="宋体" w:hAnsi="宋体" w:eastAsia="宋体" w:cs="宋体"/>
                <w:b w:val="0"/>
                <w:i w:val="0"/>
                <w:color w:val="auto"/>
                <w:sz w:val="9"/>
                <w:highlight w:val="none"/>
              </w:rPr>
              <w:t>人员经费合计</w:t>
            </w:r>
          </w:p>
        </w:tc>
        <w:tc>
          <w:tcPr>
            <w:tcW w:w="800" w:type="dxa"/>
            <w:vAlign w:val="center"/>
          </w:tcPr>
          <w:p>
            <w:pPr>
              <w:jc w:val="right"/>
              <w:rPr>
                <w:color w:val="auto"/>
                <w:highlight w:val="none"/>
              </w:rPr>
            </w:pPr>
            <w:r>
              <w:rPr>
                <w:rFonts w:ascii="宋体" w:hAnsi="宋体" w:eastAsia="宋体" w:cs="宋体"/>
                <w:b w:val="0"/>
                <w:i w:val="0"/>
                <w:color w:val="auto"/>
                <w:sz w:val="9"/>
                <w:highlight w:val="none"/>
              </w:rPr>
              <w:t>489.11</w:t>
            </w:r>
          </w:p>
        </w:tc>
        <w:tc>
          <w:tcPr>
            <w:tcW w:w="540" w:type="dxa"/>
            <w:gridSpan w:val="5"/>
            <w:vAlign w:val="center"/>
          </w:tcPr>
          <w:p>
            <w:pPr>
              <w:jc w:val="center"/>
              <w:rPr>
                <w:color w:val="auto"/>
                <w:highlight w:val="none"/>
              </w:rPr>
            </w:pPr>
            <w:r>
              <w:rPr>
                <w:rFonts w:ascii="宋体" w:hAnsi="宋体" w:eastAsia="宋体" w:cs="宋体"/>
                <w:b w:val="0"/>
                <w:i w:val="0"/>
                <w:color w:val="auto"/>
                <w:sz w:val="9"/>
                <w:highlight w:val="none"/>
              </w:rPr>
              <w:t>公用支出合计</w:t>
            </w:r>
          </w:p>
        </w:tc>
        <w:tc>
          <w:tcPr>
            <w:tcW w:w="786" w:type="dxa"/>
            <w:vAlign w:val="center"/>
          </w:tcPr>
          <w:p>
            <w:pPr>
              <w:jc w:val="right"/>
              <w:rPr>
                <w:color w:val="auto"/>
                <w:highlight w:val="none"/>
              </w:rPr>
            </w:pPr>
            <w:r>
              <w:rPr>
                <w:rFonts w:ascii="宋体" w:hAnsi="宋体" w:eastAsia="宋体" w:cs="宋体"/>
                <w:b w:val="0"/>
                <w:i w:val="0"/>
                <w:color w:val="auto"/>
                <w:sz w:val="9"/>
                <w:highlight w:val="none"/>
              </w:rPr>
              <w:t>186.54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1"/>
                <w:highlight w:val="none"/>
              </w:rPr>
              <w:t>注：本表反映部门(单位)本年度一般公共预算财政拨款基本支出明细情况。</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highlight w:val="none"/>
              </w:rPr>
            </w:pPr>
            <w:r>
              <w:rPr>
                <w:rFonts w:ascii="宋体" w:hAnsi="宋体" w:eastAsia="宋体" w:cs="宋体"/>
                <w:color w:val="auto"/>
                <w:sz w:val="20"/>
                <w:highlight w:val="none"/>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3153"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pPr>
              <w:jc w:val="center"/>
              <w:rPr>
                <w:color w:val="auto"/>
                <w:highlight w:val="none"/>
              </w:rPr>
            </w:pPr>
            <w:r>
              <w:rPr>
                <w:rFonts w:ascii="宋体" w:hAnsi="宋体" w:eastAsia="宋体" w:cs="宋体"/>
                <w:b w:val="0"/>
                <w:i w:val="0"/>
                <w:color w:val="auto"/>
                <w:sz w:val="11"/>
                <w:highlight w:val="none"/>
              </w:rPr>
              <w:t>项目</w:t>
            </w:r>
          </w:p>
        </w:tc>
        <w:tc>
          <w:tcPr>
            <w:tcW w:w="1040" w:type="dxa"/>
            <w:vMerge w:val="restart"/>
            <w:vAlign w:val="center"/>
          </w:tcPr>
          <w:p>
            <w:pPr>
              <w:jc w:val="center"/>
              <w:rPr>
                <w:color w:val="auto"/>
                <w:highlight w:val="none"/>
              </w:rPr>
            </w:pPr>
            <w:r>
              <w:rPr>
                <w:rFonts w:ascii="宋体" w:hAnsi="宋体" w:eastAsia="宋体" w:cs="宋体"/>
                <w:b w:val="0"/>
                <w:i w:val="0"/>
                <w:color w:val="auto"/>
                <w:sz w:val="11"/>
                <w:highlight w:val="none"/>
              </w:rPr>
              <w:t>年初结转和结余</w:t>
            </w:r>
          </w:p>
        </w:tc>
        <w:tc>
          <w:tcPr>
            <w:tcW w:w="940" w:type="dxa"/>
            <w:vMerge w:val="restart"/>
            <w:vAlign w:val="center"/>
          </w:tcPr>
          <w:p>
            <w:pPr>
              <w:jc w:val="center"/>
              <w:rPr>
                <w:color w:val="auto"/>
                <w:highlight w:val="none"/>
              </w:rPr>
            </w:pPr>
            <w:r>
              <w:rPr>
                <w:rFonts w:ascii="宋体" w:hAnsi="宋体" w:eastAsia="宋体" w:cs="宋体"/>
                <w:b w:val="0"/>
                <w:i w:val="0"/>
                <w:color w:val="auto"/>
                <w:sz w:val="11"/>
                <w:highlight w:val="none"/>
              </w:rPr>
              <w:t>本年收入</w:t>
            </w:r>
          </w:p>
        </w:tc>
        <w:tc>
          <w:tcPr>
            <w:tcW w:w="940" w:type="dxa"/>
            <w:gridSpan w:val="3"/>
            <w:vAlign w:val="center"/>
          </w:tcPr>
          <w:p>
            <w:pPr>
              <w:jc w:val="center"/>
              <w:rPr>
                <w:color w:val="auto"/>
                <w:highlight w:val="none"/>
              </w:rPr>
            </w:pPr>
            <w:r>
              <w:rPr>
                <w:rFonts w:ascii="宋体" w:hAnsi="宋体" w:eastAsia="宋体" w:cs="宋体"/>
                <w:b w:val="0"/>
                <w:i w:val="0"/>
                <w:color w:val="auto"/>
                <w:sz w:val="11"/>
                <w:highlight w:val="none"/>
              </w:rPr>
              <w:t>本年支出</w:t>
            </w:r>
          </w:p>
        </w:tc>
        <w:tc>
          <w:tcPr>
            <w:tcW w:w="986" w:type="dxa"/>
            <w:vMerge w:val="restart"/>
            <w:vAlign w:val="center"/>
          </w:tcPr>
          <w:p>
            <w:pPr>
              <w:jc w:val="center"/>
              <w:rPr>
                <w:color w:val="auto"/>
                <w:highlight w:val="none"/>
              </w:rPr>
            </w:pPr>
            <w:r>
              <w:rPr>
                <w:rFonts w:ascii="宋体" w:hAnsi="宋体" w:eastAsia="宋体" w:cs="宋体"/>
                <w:b w:val="0"/>
                <w:i w:val="0"/>
                <w:color w:val="auto"/>
                <w:sz w:val="11"/>
                <w:highlight w:val="none"/>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pPr>
              <w:jc w:val="center"/>
              <w:rPr>
                <w:color w:val="auto"/>
                <w:highlight w:val="none"/>
              </w:rPr>
            </w:pPr>
            <w:r>
              <w:rPr>
                <w:rFonts w:ascii="宋体" w:hAnsi="宋体" w:eastAsia="宋体" w:cs="宋体"/>
                <w:b w:val="0"/>
                <w:i w:val="0"/>
                <w:color w:val="auto"/>
                <w:sz w:val="11"/>
                <w:highlight w:val="none"/>
              </w:rPr>
              <w:t>支出功能分类科目编码</w:t>
            </w:r>
          </w:p>
        </w:tc>
        <w:tc>
          <w:tcPr>
            <w:tcW w:w="1700" w:type="dxa"/>
            <w:vMerge w:val="restart"/>
            <w:vAlign w:val="center"/>
          </w:tcPr>
          <w:p>
            <w:pPr>
              <w:jc w:val="center"/>
              <w:rPr>
                <w:color w:val="auto"/>
                <w:highlight w:val="none"/>
              </w:rPr>
            </w:pPr>
            <w:r>
              <w:rPr>
                <w:rFonts w:ascii="宋体" w:hAnsi="宋体" w:eastAsia="宋体" w:cs="宋体"/>
                <w:b w:val="0"/>
                <w:i w:val="0"/>
                <w:color w:val="auto"/>
                <w:sz w:val="11"/>
                <w:highlight w:val="none"/>
              </w:rPr>
              <w:t>科目名称</w:t>
            </w:r>
          </w:p>
        </w:tc>
        <w:tc>
          <w:tcPr>
            <w:tcW w:w="1040" w:type="dxa"/>
            <w:vMerge w:val="continue"/>
            <w:vAlign w:val="center"/>
          </w:tcPr>
          <w:p>
            <w:pPr>
              <w:rPr>
                <w:color w:val="auto"/>
                <w:highlight w:val="none"/>
              </w:rPr>
            </w:pPr>
          </w:p>
        </w:tc>
        <w:tc>
          <w:tcPr>
            <w:tcW w:w="940" w:type="dxa"/>
            <w:vMerge w:val="continue"/>
            <w:vAlign w:val="center"/>
          </w:tcPr>
          <w:p>
            <w:pPr>
              <w:rPr>
                <w:color w:val="auto"/>
                <w:highlight w:val="none"/>
              </w:rPr>
            </w:pPr>
          </w:p>
        </w:tc>
        <w:tc>
          <w:tcPr>
            <w:tcW w:w="940" w:type="dxa"/>
            <w:vMerge w:val="restart"/>
            <w:vAlign w:val="center"/>
          </w:tcPr>
          <w:p>
            <w:pPr>
              <w:jc w:val="center"/>
              <w:rPr>
                <w:color w:val="auto"/>
                <w:highlight w:val="none"/>
              </w:rPr>
            </w:pPr>
            <w:r>
              <w:rPr>
                <w:rFonts w:ascii="宋体" w:hAnsi="宋体" w:eastAsia="宋体" w:cs="宋体"/>
                <w:b w:val="0"/>
                <w:i w:val="0"/>
                <w:color w:val="auto"/>
                <w:sz w:val="11"/>
                <w:highlight w:val="none"/>
              </w:rPr>
              <w:t>小计</w:t>
            </w:r>
          </w:p>
        </w:tc>
        <w:tc>
          <w:tcPr>
            <w:tcW w:w="980" w:type="dxa"/>
            <w:vMerge w:val="restart"/>
            <w:vAlign w:val="center"/>
          </w:tcPr>
          <w:p>
            <w:pPr>
              <w:jc w:val="center"/>
              <w:rPr>
                <w:color w:val="auto"/>
                <w:highlight w:val="none"/>
              </w:rPr>
            </w:pPr>
            <w:r>
              <w:rPr>
                <w:rFonts w:ascii="宋体" w:hAnsi="宋体" w:eastAsia="宋体" w:cs="宋体"/>
                <w:b w:val="0"/>
                <w:i w:val="0"/>
                <w:color w:val="auto"/>
                <w:sz w:val="11"/>
                <w:highlight w:val="none"/>
              </w:rPr>
              <w:t>基本支出</w:t>
            </w:r>
          </w:p>
        </w:tc>
        <w:tc>
          <w:tcPr>
            <w:tcW w:w="980" w:type="dxa"/>
            <w:vMerge w:val="restart"/>
            <w:vAlign w:val="center"/>
          </w:tcPr>
          <w:p>
            <w:pPr>
              <w:jc w:val="center"/>
              <w:rPr>
                <w:color w:val="auto"/>
                <w:highlight w:val="none"/>
              </w:rPr>
            </w:pPr>
            <w:r>
              <w:rPr>
                <w:rFonts w:ascii="宋体" w:hAnsi="宋体" w:eastAsia="宋体" w:cs="宋体"/>
                <w:b w:val="0"/>
                <w:i w:val="0"/>
                <w:color w:val="auto"/>
                <w:sz w:val="11"/>
                <w:highlight w:val="none"/>
              </w:rPr>
              <w:t>项目支出</w:t>
            </w:r>
          </w:p>
        </w:tc>
        <w:tc>
          <w:tcPr>
            <w:tcW w:w="98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pPr>
              <w:rPr>
                <w:color w:val="auto"/>
                <w:highlight w:val="none"/>
              </w:rPr>
            </w:pPr>
          </w:p>
        </w:tc>
        <w:tc>
          <w:tcPr>
            <w:tcW w:w="1700" w:type="dxa"/>
            <w:vMerge w:val="continue"/>
            <w:vAlign w:val="center"/>
          </w:tcPr>
          <w:p>
            <w:pPr>
              <w:rPr>
                <w:color w:val="auto"/>
                <w:highlight w:val="none"/>
              </w:rPr>
            </w:pPr>
          </w:p>
        </w:tc>
        <w:tc>
          <w:tcPr>
            <w:tcW w:w="1040" w:type="dxa"/>
            <w:vMerge w:val="continue"/>
            <w:vAlign w:val="center"/>
          </w:tcPr>
          <w:p>
            <w:pPr>
              <w:rPr>
                <w:color w:val="auto"/>
                <w:highlight w:val="none"/>
              </w:rPr>
            </w:pPr>
          </w:p>
        </w:tc>
        <w:tc>
          <w:tcPr>
            <w:tcW w:w="940" w:type="dxa"/>
            <w:vMerge w:val="continue"/>
            <w:vAlign w:val="center"/>
          </w:tcPr>
          <w:p>
            <w:pPr>
              <w:rPr>
                <w:color w:val="auto"/>
                <w:highlight w:val="none"/>
              </w:rPr>
            </w:pPr>
          </w:p>
        </w:tc>
        <w:tc>
          <w:tcPr>
            <w:tcW w:w="940" w:type="dxa"/>
            <w:vMerge w:val="continue"/>
            <w:vAlign w:val="center"/>
          </w:tcPr>
          <w:p>
            <w:pPr>
              <w:rPr>
                <w:color w:val="auto"/>
                <w:highlight w:val="none"/>
              </w:rPr>
            </w:pPr>
          </w:p>
        </w:tc>
        <w:tc>
          <w:tcPr>
            <w:tcW w:w="980" w:type="dxa"/>
            <w:vMerge w:val="continue"/>
            <w:vAlign w:val="center"/>
          </w:tcPr>
          <w:p>
            <w:pPr>
              <w:rPr>
                <w:color w:val="auto"/>
                <w:highlight w:val="none"/>
              </w:rPr>
            </w:pPr>
          </w:p>
        </w:tc>
        <w:tc>
          <w:tcPr>
            <w:tcW w:w="980" w:type="dxa"/>
            <w:vMerge w:val="continue"/>
            <w:vAlign w:val="center"/>
          </w:tcPr>
          <w:p>
            <w:pPr>
              <w:rPr>
                <w:color w:val="auto"/>
                <w:highlight w:val="none"/>
              </w:rPr>
            </w:pPr>
          </w:p>
        </w:tc>
        <w:tc>
          <w:tcPr>
            <w:tcW w:w="98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pPr>
              <w:rPr>
                <w:color w:val="auto"/>
                <w:highlight w:val="none"/>
              </w:rPr>
            </w:pPr>
          </w:p>
        </w:tc>
        <w:tc>
          <w:tcPr>
            <w:tcW w:w="1700" w:type="dxa"/>
            <w:vMerge w:val="continue"/>
            <w:vAlign w:val="center"/>
          </w:tcPr>
          <w:p>
            <w:pPr>
              <w:rPr>
                <w:color w:val="auto"/>
                <w:highlight w:val="none"/>
              </w:rPr>
            </w:pPr>
          </w:p>
        </w:tc>
        <w:tc>
          <w:tcPr>
            <w:tcW w:w="1040" w:type="dxa"/>
            <w:vMerge w:val="continue"/>
            <w:vAlign w:val="center"/>
          </w:tcPr>
          <w:p>
            <w:pPr>
              <w:rPr>
                <w:color w:val="auto"/>
                <w:highlight w:val="none"/>
              </w:rPr>
            </w:pPr>
          </w:p>
        </w:tc>
        <w:tc>
          <w:tcPr>
            <w:tcW w:w="940" w:type="dxa"/>
            <w:vMerge w:val="continue"/>
            <w:vAlign w:val="center"/>
          </w:tcPr>
          <w:p>
            <w:pPr>
              <w:rPr>
                <w:color w:val="auto"/>
                <w:highlight w:val="none"/>
              </w:rPr>
            </w:pPr>
          </w:p>
        </w:tc>
        <w:tc>
          <w:tcPr>
            <w:tcW w:w="940" w:type="dxa"/>
            <w:vMerge w:val="continue"/>
            <w:vAlign w:val="center"/>
          </w:tcPr>
          <w:p>
            <w:pPr>
              <w:rPr>
                <w:color w:val="auto"/>
                <w:highlight w:val="none"/>
              </w:rPr>
            </w:pPr>
          </w:p>
        </w:tc>
        <w:tc>
          <w:tcPr>
            <w:tcW w:w="980" w:type="dxa"/>
            <w:vMerge w:val="continue"/>
            <w:vAlign w:val="center"/>
          </w:tcPr>
          <w:p>
            <w:pPr>
              <w:rPr>
                <w:color w:val="auto"/>
                <w:highlight w:val="none"/>
              </w:rPr>
            </w:pPr>
          </w:p>
        </w:tc>
        <w:tc>
          <w:tcPr>
            <w:tcW w:w="980" w:type="dxa"/>
            <w:vMerge w:val="continue"/>
            <w:vAlign w:val="center"/>
          </w:tcPr>
          <w:p>
            <w:pPr>
              <w:rPr>
                <w:color w:val="auto"/>
                <w:highlight w:val="none"/>
              </w:rPr>
            </w:pPr>
          </w:p>
        </w:tc>
        <w:tc>
          <w:tcPr>
            <w:tcW w:w="98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pPr>
              <w:jc w:val="center"/>
              <w:rPr>
                <w:color w:val="auto"/>
                <w:highlight w:val="none"/>
              </w:rPr>
            </w:pPr>
            <w:r>
              <w:rPr>
                <w:rFonts w:ascii="宋体" w:hAnsi="宋体" w:eastAsia="宋体" w:cs="宋体"/>
                <w:b w:val="0"/>
                <w:i w:val="0"/>
                <w:color w:val="auto"/>
                <w:sz w:val="11"/>
                <w:highlight w:val="none"/>
              </w:rPr>
              <w:t>类</w:t>
            </w:r>
          </w:p>
        </w:tc>
        <w:tc>
          <w:tcPr>
            <w:tcW w:w="220" w:type="dxa"/>
            <w:vMerge w:val="restart"/>
            <w:vAlign w:val="center"/>
          </w:tcPr>
          <w:p>
            <w:pPr>
              <w:jc w:val="center"/>
              <w:rPr>
                <w:color w:val="auto"/>
                <w:highlight w:val="none"/>
              </w:rPr>
            </w:pPr>
            <w:r>
              <w:rPr>
                <w:rFonts w:ascii="宋体" w:hAnsi="宋体" w:eastAsia="宋体" w:cs="宋体"/>
                <w:b w:val="0"/>
                <w:i w:val="0"/>
                <w:color w:val="auto"/>
                <w:sz w:val="11"/>
                <w:highlight w:val="none"/>
              </w:rPr>
              <w:t>款</w:t>
            </w:r>
          </w:p>
        </w:tc>
        <w:tc>
          <w:tcPr>
            <w:tcW w:w="300" w:type="dxa"/>
            <w:vMerge w:val="restart"/>
            <w:vAlign w:val="center"/>
          </w:tcPr>
          <w:p>
            <w:pPr>
              <w:jc w:val="center"/>
              <w:rPr>
                <w:color w:val="auto"/>
                <w:highlight w:val="none"/>
              </w:rPr>
            </w:pPr>
            <w:r>
              <w:rPr>
                <w:rFonts w:ascii="宋体" w:hAnsi="宋体" w:eastAsia="宋体" w:cs="宋体"/>
                <w:b w:val="0"/>
                <w:i w:val="0"/>
                <w:color w:val="auto"/>
                <w:sz w:val="11"/>
                <w:highlight w:val="none"/>
              </w:rPr>
              <w:t>项</w:t>
            </w:r>
          </w:p>
        </w:tc>
        <w:tc>
          <w:tcPr>
            <w:tcW w:w="1700" w:type="dxa"/>
            <w:vAlign w:val="center"/>
          </w:tcPr>
          <w:p>
            <w:pPr>
              <w:jc w:val="center"/>
              <w:rPr>
                <w:color w:val="auto"/>
                <w:highlight w:val="none"/>
              </w:rPr>
            </w:pPr>
            <w:r>
              <w:rPr>
                <w:rFonts w:ascii="宋体" w:hAnsi="宋体" w:eastAsia="宋体" w:cs="宋体"/>
                <w:b w:val="0"/>
                <w:i w:val="0"/>
                <w:color w:val="auto"/>
                <w:sz w:val="11"/>
                <w:highlight w:val="none"/>
              </w:rPr>
              <w:t>栏次</w:t>
            </w:r>
          </w:p>
        </w:tc>
        <w:tc>
          <w:tcPr>
            <w:tcW w:w="1040" w:type="dxa"/>
            <w:vAlign w:val="center"/>
          </w:tcPr>
          <w:p>
            <w:pPr>
              <w:jc w:val="center"/>
              <w:rPr>
                <w:color w:val="auto"/>
                <w:highlight w:val="none"/>
              </w:rPr>
            </w:pPr>
            <w:r>
              <w:rPr>
                <w:rFonts w:ascii="宋体" w:hAnsi="宋体" w:eastAsia="宋体" w:cs="宋体"/>
                <w:b w:val="0"/>
                <w:i w:val="0"/>
                <w:color w:val="auto"/>
                <w:sz w:val="11"/>
                <w:highlight w:val="none"/>
              </w:rPr>
              <w:t>1</w:t>
            </w:r>
          </w:p>
        </w:tc>
        <w:tc>
          <w:tcPr>
            <w:tcW w:w="940" w:type="dxa"/>
            <w:vAlign w:val="center"/>
          </w:tcPr>
          <w:p>
            <w:pPr>
              <w:jc w:val="center"/>
              <w:rPr>
                <w:color w:val="auto"/>
                <w:highlight w:val="none"/>
              </w:rPr>
            </w:pPr>
            <w:r>
              <w:rPr>
                <w:rFonts w:ascii="宋体" w:hAnsi="宋体" w:eastAsia="宋体" w:cs="宋体"/>
                <w:b w:val="0"/>
                <w:i w:val="0"/>
                <w:color w:val="auto"/>
                <w:sz w:val="11"/>
                <w:highlight w:val="none"/>
              </w:rPr>
              <w:t>2</w:t>
            </w:r>
          </w:p>
        </w:tc>
        <w:tc>
          <w:tcPr>
            <w:tcW w:w="940" w:type="dxa"/>
            <w:vAlign w:val="center"/>
          </w:tcPr>
          <w:p>
            <w:pPr>
              <w:jc w:val="center"/>
              <w:rPr>
                <w:color w:val="auto"/>
                <w:highlight w:val="none"/>
              </w:rPr>
            </w:pPr>
            <w:r>
              <w:rPr>
                <w:rFonts w:ascii="宋体" w:hAnsi="宋体" w:eastAsia="宋体" w:cs="宋体"/>
                <w:b w:val="0"/>
                <w:i w:val="0"/>
                <w:color w:val="auto"/>
                <w:sz w:val="11"/>
                <w:highlight w:val="none"/>
              </w:rPr>
              <w:t>3</w:t>
            </w:r>
          </w:p>
        </w:tc>
        <w:tc>
          <w:tcPr>
            <w:tcW w:w="980" w:type="dxa"/>
            <w:vAlign w:val="center"/>
          </w:tcPr>
          <w:p>
            <w:pPr>
              <w:jc w:val="center"/>
              <w:rPr>
                <w:color w:val="auto"/>
                <w:highlight w:val="none"/>
              </w:rPr>
            </w:pPr>
            <w:r>
              <w:rPr>
                <w:rFonts w:ascii="宋体" w:hAnsi="宋体" w:eastAsia="宋体" w:cs="宋体"/>
                <w:b w:val="0"/>
                <w:i w:val="0"/>
                <w:color w:val="auto"/>
                <w:sz w:val="11"/>
                <w:highlight w:val="none"/>
              </w:rPr>
              <w:t>4</w:t>
            </w:r>
          </w:p>
        </w:tc>
        <w:tc>
          <w:tcPr>
            <w:tcW w:w="980" w:type="dxa"/>
            <w:vAlign w:val="center"/>
          </w:tcPr>
          <w:p>
            <w:pPr>
              <w:jc w:val="center"/>
              <w:rPr>
                <w:color w:val="auto"/>
                <w:highlight w:val="none"/>
              </w:rPr>
            </w:pPr>
            <w:r>
              <w:rPr>
                <w:rFonts w:ascii="宋体" w:hAnsi="宋体" w:eastAsia="宋体" w:cs="宋体"/>
                <w:b w:val="0"/>
                <w:i w:val="0"/>
                <w:color w:val="auto"/>
                <w:sz w:val="11"/>
                <w:highlight w:val="none"/>
              </w:rPr>
              <w:t>5</w:t>
            </w:r>
          </w:p>
        </w:tc>
        <w:tc>
          <w:tcPr>
            <w:tcW w:w="986" w:type="dxa"/>
            <w:vAlign w:val="center"/>
          </w:tcPr>
          <w:p>
            <w:pPr>
              <w:jc w:val="center"/>
              <w:rPr>
                <w:color w:val="auto"/>
                <w:highlight w:val="none"/>
              </w:rPr>
            </w:pPr>
            <w:r>
              <w:rPr>
                <w:rFonts w:ascii="宋体" w:hAnsi="宋体" w:eastAsia="宋体" w:cs="宋体"/>
                <w:b w:val="0"/>
                <w:i w:val="0"/>
                <w:color w:val="auto"/>
                <w:sz w:val="11"/>
                <w:highlight w:val="none"/>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pPr>
              <w:rPr>
                <w:color w:val="auto"/>
                <w:highlight w:val="none"/>
              </w:rPr>
            </w:pPr>
          </w:p>
        </w:tc>
        <w:tc>
          <w:tcPr>
            <w:tcW w:w="220" w:type="dxa"/>
            <w:vMerge w:val="continue"/>
            <w:vAlign w:val="center"/>
          </w:tcPr>
          <w:p>
            <w:pPr>
              <w:rPr>
                <w:color w:val="auto"/>
                <w:highlight w:val="none"/>
              </w:rPr>
            </w:pPr>
          </w:p>
        </w:tc>
        <w:tc>
          <w:tcPr>
            <w:tcW w:w="300" w:type="dxa"/>
            <w:vMerge w:val="continue"/>
            <w:vAlign w:val="center"/>
          </w:tcPr>
          <w:p>
            <w:pPr>
              <w:rPr>
                <w:color w:val="auto"/>
                <w:highlight w:val="none"/>
              </w:rPr>
            </w:pPr>
          </w:p>
        </w:tc>
        <w:tc>
          <w:tcPr>
            <w:tcW w:w="1700" w:type="dxa"/>
            <w:vAlign w:val="center"/>
          </w:tcPr>
          <w:p>
            <w:pPr>
              <w:jc w:val="center"/>
              <w:rPr>
                <w:color w:val="auto"/>
                <w:highlight w:val="none"/>
              </w:rPr>
            </w:pPr>
            <w:r>
              <w:rPr>
                <w:rFonts w:ascii="宋体" w:hAnsi="宋体" w:eastAsia="宋体" w:cs="宋体"/>
                <w:b w:val="0"/>
                <w:i w:val="0"/>
                <w:color w:val="auto"/>
                <w:sz w:val="11"/>
                <w:highlight w:val="none"/>
              </w:rPr>
              <w:t>合计</w:t>
            </w:r>
          </w:p>
        </w:tc>
        <w:tc>
          <w:tcPr>
            <w:tcW w:w="1040" w:type="dxa"/>
            <w:vAlign w:val="center"/>
          </w:tcPr>
          <w:p>
            <w:pPr>
              <w:rPr>
                <w:color w:val="auto"/>
                <w:highlight w:val="none"/>
              </w:rPr>
            </w:pPr>
          </w:p>
        </w:tc>
        <w:tc>
          <w:tcPr>
            <w:tcW w:w="940" w:type="dxa"/>
            <w:vAlign w:val="center"/>
          </w:tcPr>
          <w:p>
            <w:pPr>
              <w:rPr>
                <w:color w:val="auto"/>
                <w:highlight w:val="none"/>
              </w:rPr>
            </w:pPr>
          </w:p>
        </w:tc>
        <w:tc>
          <w:tcPr>
            <w:tcW w:w="940" w:type="dxa"/>
            <w:vAlign w:val="center"/>
          </w:tcPr>
          <w:p>
            <w:pPr>
              <w:rPr>
                <w:color w:val="auto"/>
                <w:highlight w:val="none"/>
              </w:rPr>
            </w:pPr>
          </w:p>
        </w:tc>
        <w:tc>
          <w:tcPr>
            <w:tcW w:w="980" w:type="dxa"/>
            <w:vAlign w:val="center"/>
          </w:tcPr>
          <w:p>
            <w:pPr>
              <w:rPr>
                <w:color w:val="auto"/>
                <w:highlight w:val="none"/>
              </w:rPr>
            </w:pPr>
          </w:p>
        </w:tc>
        <w:tc>
          <w:tcPr>
            <w:tcW w:w="9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pPr>
              <w:rPr>
                <w:color w:val="auto"/>
                <w:highlight w:val="none"/>
              </w:rPr>
            </w:pPr>
          </w:p>
        </w:tc>
        <w:tc>
          <w:tcPr>
            <w:tcW w:w="1700" w:type="dxa"/>
            <w:vAlign w:val="center"/>
          </w:tcPr>
          <w:p>
            <w:pPr>
              <w:rPr>
                <w:color w:val="auto"/>
                <w:highlight w:val="none"/>
              </w:rPr>
            </w:pPr>
          </w:p>
        </w:tc>
        <w:tc>
          <w:tcPr>
            <w:tcW w:w="1040" w:type="dxa"/>
            <w:vAlign w:val="center"/>
          </w:tcPr>
          <w:p>
            <w:pPr>
              <w:rPr>
                <w:color w:val="auto"/>
                <w:highlight w:val="none"/>
              </w:rPr>
            </w:pPr>
          </w:p>
        </w:tc>
        <w:tc>
          <w:tcPr>
            <w:tcW w:w="940" w:type="dxa"/>
            <w:vAlign w:val="center"/>
          </w:tcPr>
          <w:p>
            <w:pPr>
              <w:rPr>
                <w:color w:val="auto"/>
                <w:highlight w:val="none"/>
              </w:rPr>
            </w:pPr>
          </w:p>
        </w:tc>
        <w:tc>
          <w:tcPr>
            <w:tcW w:w="940" w:type="dxa"/>
            <w:vAlign w:val="center"/>
          </w:tcPr>
          <w:p>
            <w:pPr>
              <w:rPr>
                <w:color w:val="auto"/>
                <w:highlight w:val="none"/>
              </w:rPr>
            </w:pPr>
          </w:p>
        </w:tc>
        <w:tc>
          <w:tcPr>
            <w:tcW w:w="980" w:type="dxa"/>
            <w:vAlign w:val="center"/>
          </w:tcPr>
          <w:p>
            <w:pPr>
              <w:rPr>
                <w:color w:val="auto"/>
                <w:highlight w:val="none"/>
              </w:rPr>
            </w:pPr>
          </w:p>
        </w:tc>
        <w:tc>
          <w:tcPr>
            <w:tcW w:w="980" w:type="dxa"/>
            <w:vAlign w:val="center"/>
          </w:tcPr>
          <w:p>
            <w:pPr>
              <w:rPr>
                <w:color w:val="auto"/>
                <w:highlight w:val="none"/>
              </w:rPr>
            </w:pPr>
          </w:p>
        </w:tc>
        <w:tc>
          <w:tcPr>
            <w:tcW w:w="9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1"/>
                <w:highlight w:val="none"/>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1"/>
                <w:highlight w:val="none"/>
              </w:rPr>
              <w:t>2.当此表数据为零时，即本部门(单位)无政府性基金预算财政拨款收入、支出。</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highlight w:val="none"/>
              </w:rPr>
            </w:pPr>
            <w:r>
              <w:rPr>
                <w:rFonts w:ascii="宋体" w:hAnsi="宋体" w:eastAsia="宋体" w:cs="宋体"/>
                <w:color w:val="auto"/>
                <w:sz w:val="20"/>
                <w:highlight w:val="none"/>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3153"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pPr>
              <w:jc w:val="center"/>
              <w:rPr>
                <w:color w:val="auto"/>
                <w:highlight w:val="none"/>
              </w:rPr>
            </w:pPr>
            <w:r>
              <w:rPr>
                <w:rFonts w:ascii="宋体" w:hAnsi="宋体" w:eastAsia="宋体" w:cs="宋体"/>
                <w:b w:val="0"/>
                <w:i w:val="0"/>
                <w:color w:val="auto"/>
                <w:sz w:val="17"/>
                <w:highlight w:val="none"/>
              </w:rPr>
              <w:t>项目</w:t>
            </w:r>
          </w:p>
        </w:tc>
        <w:tc>
          <w:tcPr>
            <w:tcW w:w="1380" w:type="dxa"/>
            <w:vMerge w:val="restart"/>
            <w:vAlign w:val="center"/>
          </w:tcPr>
          <w:p>
            <w:pPr>
              <w:jc w:val="center"/>
              <w:rPr>
                <w:color w:val="auto"/>
                <w:highlight w:val="none"/>
              </w:rPr>
            </w:pPr>
            <w:r>
              <w:rPr>
                <w:rFonts w:ascii="宋体" w:hAnsi="宋体" w:eastAsia="宋体" w:cs="宋体"/>
                <w:b w:val="0"/>
                <w:i w:val="0"/>
                <w:color w:val="auto"/>
                <w:sz w:val="17"/>
                <w:highlight w:val="none"/>
              </w:rPr>
              <w:t>合计</w:t>
            </w:r>
          </w:p>
        </w:tc>
        <w:tc>
          <w:tcPr>
            <w:tcW w:w="1520" w:type="dxa"/>
            <w:vMerge w:val="restart"/>
            <w:vAlign w:val="center"/>
          </w:tcPr>
          <w:p>
            <w:pPr>
              <w:jc w:val="center"/>
              <w:rPr>
                <w:color w:val="auto"/>
                <w:highlight w:val="none"/>
              </w:rPr>
            </w:pPr>
            <w:r>
              <w:rPr>
                <w:rFonts w:ascii="宋体" w:hAnsi="宋体" w:eastAsia="宋体" w:cs="宋体"/>
                <w:b w:val="0"/>
                <w:i w:val="0"/>
                <w:color w:val="auto"/>
                <w:sz w:val="17"/>
                <w:highlight w:val="none"/>
              </w:rPr>
              <w:t>基本支出</w:t>
            </w:r>
          </w:p>
        </w:tc>
        <w:tc>
          <w:tcPr>
            <w:tcW w:w="1366" w:type="dxa"/>
            <w:vMerge w:val="restart"/>
            <w:vAlign w:val="center"/>
          </w:tcPr>
          <w:p>
            <w:pPr>
              <w:jc w:val="center"/>
              <w:rPr>
                <w:color w:val="auto"/>
                <w:highlight w:val="none"/>
              </w:rPr>
            </w:pPr>
            <w:r>
              <w:rPr>
                <w:rFonts w:ascii="宋体" w:hAnsi="宋体" w:eastAsia="宋体" w:cs="宋体"/>
                <w:b w:val="0"/>
                <w:i w:val="0"/>
                <w:color w:val="auto"/>
                <w:sz w:val="17"/>
                <w:highlight w:val="none"/>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pPr>
              <w:jc w:val="center"/>
              <w:rPr>
                <w:color w:val="auto"/>
                <w:highlight w:val="none"/>
              </w:rPr>
            </w:pPr>
            <w:r>
              <w:rPr>
                <w:rFonts w:ascii="宋体" w:hAnsi="宋体" w:eastAsia="宋体" w:cs="宋体"/>
                <w:b w:val="0"/>
                <w:i w:val="0"/>
                <w:color w:val="auto"/>
                <w:sz w:val="17"/>
                <w:highlight w:val="none"/>
              </w:rPr>
              <w:t>支出功能分类科目编码</w:t>
            </w:r>
          </w:p>
        </w:tc>
        <w:tc>
          <w:tcPr>
            <w:tcW w:w="2740" w:type="dxa"/>
            <w:vMerge w:val="restart"/>
            <w:vAlign w:val="center"/>
          </w:tcPr>
          <w:p>
            <w:pPr>
              <w:jc w:val="center"/>
              <w:rPr>
                <w:color w:val="auto"/>
                <w:highlight w:val="none"/>
              </w:rPr>
            </w:pPr>
            <w:r>
              <w:rPr>
                <w:rFonts w:ascii="宋体" w:hAnsi="宋体" w:eastAsia="宋体" w:cs="宋体"/>
                <w:b w:val="0"/>
                <w:i w:val="0"/>
                <w:color w:val="auto"/>
                <w:sz w:val="17"/>
                <w:highlight w:val="none"/>
              </w:rPr>
              <w:t>科目名称</w:t>
            </w:r>
          </w:p>
        </w:tc>
        <w:tc>
          <w:tcPr>
            <w:tcW w:w="1380" w:type="dxa"/>
            <w:vMerge w:val="continue"/>
            <w:vAlign w:val="center"/>
          </w:tcPr>
          <w:p>
            <w:pPr>
              <w:rPr>
                <w:color w:val="auto"/>
                <w:highlight w:val="none"/>
              </w:rPr>
            </w:pPr>
          </w:p>
        </w:tc>
        <w:tc>
          <w:tcPr>
            <w:tcW w:w="1520" w:type="dxa"/>
            <w:vMerge w:val="continue"/>
            <w:vAlign w:val="center"/>
          </w:tcPr>
          <w:p>
            <w:pPr>
              <w:rPr>
                <w:color w:val="auto"/>
                <w:highlight w:val="none"/>
              </w:rPr>
            </w:pPr>
          </w:p>
        </w:tc>
        <w:tc>
          <w:tcPr>
            <w:tcW w:w="136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pPr>
              <w:rPr>
                <w:color w:val="auto"/>
                <w:highlight w:val="none"/>
              </w:rPr>
            </w:pPr>
          </w:p>
        </w:tc>
        <w:tc>
          <w:tcPr>
            <w:tcW w:w="2740" w:type="dxa"/>
            <w:vMerge w:val="continue"/>
            <w:vAlign w:val="center"/>
          </w:tcPr>
          <w:p>
            <w:pPr>
              <w:rPr>
                <w:color w:val="auto"/>
                <w:highlight w:val="none"/>
              </w:rPr>
            </w:pPr>
          </w:p>
        </w:tc>
        <w:tc>
          <w:tcPr>
            <w:tcW w:w="1380" w:type="dxa"/>
            <w:vMerge w:val="continue"/>
            <w:vAlign w:val="center"/>
          </w:tcPr>
          <w:p>
            <w:pPr>
              <w:rPr>
                <w:color w:val="auto"/>
                <w:highlight w:val="none"/>
              </w:rPr>
            </w:pPr>
          </w:p>
        </w:tc>
        <w:tc>
          <w:tcPr>
            <w:tcW w:w="1520" w:type="dxa"/>
            <w:vMerge w:val="continue"/>
            <w:vAlign w:val="center"/>
          </w:tcPr>
          <w:p>
            <w:pPr>
              <w:rPr>
                <w:color w:val="auto"/>
                <w:highlight w:val="none"/>
              </w:rPr>
            </w:pPr>
          </w:p>
        </w:tc>
        <w:tc>
          <w:tcPr>
            <w:tcW w:w="136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pPr>
              <w:rPr>
                <w:color w:val="auto"/>
                <w:highlight w:val="none"/>
              </w:rPr>
            </w:pPr>
          </w:p>
        </w:tc>
        <w:tc>
          <w:tcPr>
            <w:tcW w:w="2740" w:type="dxa"/>
            <w:vMerge w:val="continue"/>
            <w:vAlign w:val="center"/>
          </w:tcPr>
          <w:p>
            <w:pPr>
              <w:rPr>
                <w:color w:val="auto"/>
                <w:highlight w:val="none"/>
              </w:rPr>
            </w:pPr>
          </w:p>
        </w:tc>
        <w:tc>
          <w:tcPr>
            <w:tcW w:w="1380" w:type="dxa"/>
            <w:vMerge w:val="continue"/>
            <w:vAlign w:val="center"/>
          </w:tcPr>
          <w:p>
            <w:pPr>
              <w:rPr>
                <w:color w:val="auto"/>
                <w:highlight w:val="none"/>
              </w:rPr>
            </w:pPr>
          </w:p>
        </w:tc>
        <w:tc>
          <w:tcPr>
            <w:tcW w:w="1520" w:type="dxa"/>
            <w:vMerge w:val="continue"/>
            <w:vAlign w:val="center"/>
          </w:tcPr>
          <w:p>
            <w:pPr>
              <w:rPr>
                <w:color w:val="auto"/>
                <w:highlight w:val="none"/>
              </w:rPr>
            </w:pPr>
          </w:p>
        </w:tc>
        <w:tc>
          <w:tcPr>
            <w:tcW w:w="1366" w:type="dxa"/>
            <w:vMerge w:val="continue"/>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pPr>
              <w:jc w:val="center"/>
              <w:rPr>
                <w:color w:val="auto"/>
                <w:highlight w:val="none"/>
              </w:rPr>
            </w:pPr>
            <w:r>
              <w:rPr>
                <w:rFonts w:ascii="宋体" w:hAnsi="宋体" w:eastAsia="宋体" w:cs="宋体"/>
                <w:b w:val="0"/>
                <w:i w:val="0"/>
                <w:color w:val="auto"/>
                <w:sz w:val="17"/>
                <w:highlight w:val="none"/>
              </w:rPr>
              <w:t>类</w:t>
            </w:r>
          </w:p>
        </w:tc>
        <w:tc>
          <w:tcPr>
            <w:tcW w:w="420" w:type="dxa"/>
            <w:vMerge w:val="restart"/>
            <w:vAlign w:val="center"/>
          </w:tcPr>
          <w:p>
            <w:pPr>
              <w:jc w:val="center"/>
              <w:rPr>
                <w:color w:val="auto"/>
                <w:highlight w:val="none"/>
              </w:rPr>
            </w:pPr>
            <w:r>
              <w:rPr>
                <w:rFonts w:ascii="宋体" w:hAnsi="宋体" w:eastAsia="宋体" w:cs="宋体"/>
                <w:b w:val="0"/>
                <w:i w:val="0"/>
                <w:color w:val="auto"/>
                <w:sz w:val="17"/>
                <w:highlight w:val="none"/>
              </w:rPr>
              <w:t>款</w:t>
            </w:r>
          </w:p>
        </w:tc>
        <w:tc>
          <w:tcPr>
            <w:tcW w:w="440" w:type="dxa"/>
            <w:vMerge w:val="restart"/>
            <w:vAlign w:val="center"/>
          </w:tcPr>
          <w:p>
            <w:pPr>
              <w:jc w:val="center"/>
              <w:rPr>
                <w:color w:val="auto"/>
                <w:highlight w:val="none"/>
              </w:rPr>
            </w:pPr>
            <w:r>
              <w:rPr>
                <w:rFonts w:ascii="宋体" w:hAnsi="宋体" w:eastAsia="宋体" w:cs="宋体"/>
                <w:b w:val="0"/>
                <w:i w:val="0"/>
                <w:color w:val="auto"/>
                <w:sz w:val="17"/>
                <w:highlight w:val="none"/>
              </w:rPr>
              <w:t>项</w:t>
            </w:r>
          </w:p>
        </w:tc>
        <w:tc>
          <w:tcPr>
            <w:tcW w:w="2740" w:type="dxa"/>
            <w:vAlign w:val="center"/>
          </w:tcPr>
          <w:p>
            <w:pPr>
              <w:jc w:val="center"/>
              <w:rPr>
                <w:color w:val="auto"/>
                <w:highlight w:val="none"/>
              </w:rPr>
            </w:pPr>
            <w:r>
              <w:rPr>
                <w:rFonts w:ascii="宋体" w:hAnsi="宋体" w:eastAsia="宋体" w:cs="宋体"/>
                <w:b w:val="0"/>
                <w:i w:val="0"/>
                <w:color w:val="auto"/>
                <w:sz w:val="17"/>
                <w:highlight w:val="none"/>
              </w:rPr>
              <w:t>栏次</w:t>
            </w:r>
          </w:p>
        </w:tc>
        <w:tc>
          <w:tcPr>
            <w:tcW w:w="1380" w:type="dxa"/>
            <w:vAlign w:val="center"/>
          </w:tcPr>
          <w:p>
            <w:pPr>
              <w:jc w:val="center"/>
              <w:rPr>
                <w:color w:val="auto"/>
                <w:highlight w:val="none"/>
              </w:rPr>
            </w:pPr>
            <w:r>
              <w:rPr>
                <w:rFonts w:ascii="宋体" w:hAnsi="宋体" w:eastAsia="宋体" w:cs="宋体"/>
                <w:b w:val="0"/>
                <w:i w:val="0"/>
                <w:color w:val="auto"/>
                <w:sz w:val="17"/>
                <w:highlight w:val="none"/>
              </w:rPr>
              <w:t>1</w:t>
            </w:r>
          </w:p>
        </w:tc>
        <w:tc>
          <w:tcPr>
            <w:tcW w:w="1520" w:type="dxa"/>
            <w:vAlign w:val="center"/>
          </w:tcPr>
          <w:p>
            <w:pPr>
              <w:jc w:val="center"/>
              <w:rPr>
                <w:color w:val="auto"/>
                <w:highlight w:val="none"/>
              </w:rPr>
            </w:pPr>
            <w:r>
              <w:rPr>
                <w:rFonts w:ascii="宋体" w:hAnsi="宋体" w:eastAsia="宋体" w:cs="宋体"/>
                <w:b w:val="0"/>
                <w:i w:val="0"/>
                <w:color w:val="auto"/>
                <w:sz w:val="17"/>
                <w:highlight w:val="none"/>
              </w:rPr>
              <w:t>2</w:t>
            </w:r>
          </w:p>
        </w:tc>
        <w:tc>
          <w:tcPr>
            <w:tcW w:w="1366" w:type="dxa"/>
            <w:vAlign w:val="center"/>
          </w:tcPr>
          <w:p>
            <w:pPr>
              <w:jc w:val="center"/>
              <w:rPr>
                <w:color w:val="auto"/>
                <w:highlight w:val="none"/>
              </w:rPr>
            </w:pPr>
            <w:r>
              <w:rPr>
                <w:rFonts w:ascii="宋体" w:hAnsi="宋体" w:eastAsia="宋体" w:cs="宋体"/>
                <w:b w:val="0"/>
                <w:i w:val="0"/>
                <w:color w:val="auto"/>
                <w:sz w:val="17"/>
                <w:highlight w:val="none"/>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pPr>
              <w:rPr>
                <w:color w:val="auto"/>
                <w:highlight w:val="none"/>
              </w:rPr>
            </w:pPr>
          </w:p>
        </w:tc>
        <w:tc>
          <w:tcPr>
            <w:tcW w:w="420" w:type="dxa"/>
            <w:vMerge w:val="continue"/>
            <w:vAlign w:val="center"/>
          </w:tcPr>
          <w:p>
            <w:pPr>
              <w:rPr>
                <w:color w:val="auto"/>
                <w:highlight w:val="none"/>
              </w:rPr>
            </w:pPr>
          </w:p>
        </w:tc>
        <w:tc>
          <w:tcPr>
            <w:tcW w:w="440" w:type="dxa"/>
            <w:vMerge w:val="continue"/>
            <w:vAlign w:val="center"/>
          </w:tcPr>
          <w:p>
            <w:pPr>
              <w:rPr>
                <w:color w:val="auto"/>
                <w:highlight w:val="none"/>
              </w:rPr>
            </w:pPr>
          </w:p>
        </w:tc>
        <w:tc>
          <w:tcPr>
            <w:tcW w:w="2740" w:type="dxa"/>
            <w:vAlign w:val="center"/>
          </w:tcPr>
          <w:p>
            <w:pPr>
              <w:jc w:val="center"/>
              <w:rPr>
                <w:color w:val="auto"/>
                <w:highlight w:val="none"/>
              </w:rPr>
            </w:pPr>
            <w:r>
              <w:rPr>
                <w:rFonts w:ascii="宋体" w:hAnsi="宋体" w:eastAsia="宋体" w:cs="宋体"/>
                <w:b w:val="0"/>
                <w:i w:val="0"/>
                <w:color w:val="auto"/>
                <w:sz w:val="17"/>
                <w:highlight w:val="none"/>
              </w:rPr>
              <w:t>合计</w:t>
            </w:r>
          </w:p>
        </w:tc>
        <w:tc>
          <w:tcPr>
            <w:tcW w:w="1380" w:type="dxa"/>
            <w:vAlign w:val="center"/>
          </w:tcPr>
          <w:p>
            <w:pPr>
              <w:rPr>
                <w:color w:val="auto"/>
                <w:highlight w:val="none"/>
              </w:rPr>
            </w:pPr>
          </w:p>
        </w:tc>
        <w:tc>
          <w:tcPr>
            <w:tcW w:w="1520" w:type="dxa"/>
            <w:vAlign w:val="center"/>
          </w:tcPr>
          <w:p>
            <w:pPr>
              <w:rPr>
                <w:color w:val="auto"/>
                <w:highlight w:val="none"/>
              </w:rPr>
            </w:pPr>
          </w:p>
        </w:tc>
        <w:tc>
          <w:tcPr>
            <w:tcW w:w="136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pPr>
              <w:rPr>
                <w:color w:val="auto"/>
                <w:highlight w:val="none"/>
              </w:rPr>
            </w:pPr>
          </w:p>
        </w:tc>
        <w:tc>
          <w:tcPr>
            <w:tcW w:w="2740" w:type="dxa"/>
            <w:vAlign w:val="center"/>
          </w:tcPr>
          <w:p>
            <w:pPr>
              <w:rPr>
                <w:color w:val="auto"/>
                <w:highlight w:val="none"/>
              </w:rPr>
            </w:pPr>
          </w:p>
        </w:tc>
        <w:tc>
          <w:tcPr>
            <w:tcW w:w="1380" w:type="dxa"/>
            <w:vAlign w:val="center"/>
          </w:tcPr>
          <w:p>
            <w:pPr>
              <w:rPr>
                <w:color w:val="auto"/>
                <w:highlight w:val="none"/>
              </w:rPr>
            </w:pPr>
          </w:p>
        </w:tc>
        <w:tc>
          <w:tcPr>
            <w:tcW w:w="1520" w:type="dxa"/>
            <w:vAlign w:val="center"/>
          </w:tcPr>
          <w:p>
            <w:pPr>
              <w:rPr>
                <w:color w:val="auto"/>
                <w:highlight w:val="none"/>
              </w:rPr>
            </w:pPr>
          </w:p>
        </w:tc>
        <w:tc>
          <w:tcPr>
            <w:tcW w:w="136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7"/>
                <w:highlight w:val="none"/>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7"/>
                <w:highlight w:val="none"/>
              </w:rPr>
              <w:t>2.当此表数据为空时，即本部门(单位)无国有资本经营预算财政拨款支出。</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pPr>
              <w:jc w:val="right"/>
              <w:rPr>
                <w:color w:val="auto"/>
                <w:highlight w:val="none"/>
              </w:rPr>
            </w:pPr>
            <w:r>
              <w:rPr>
                <w:rFonts w:ascii="宋体" w:hAnsi="宋体" w:eastAsia="宋体" w:cs="宋体"/>
                <w:color w:val="auto"/>
                <w:sz w:val="20"/>
                <w:highlight w:val="none"/>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pPr>
              <w:jc w:val="left"/>
              <w:rPr>
                <w:color w:val="auto"/>
                <w:highlight w:val="none"/>
              </w:rPr>
            </w:pPr>
            <w:r>
              <w:rPr>
                <w:rFonts w:ascii="宋体" w:hAnsi="宋体" w:eastAsia="宋体" w:cs="宋体"/>
                <w:color w:val="auto"/>
                <w:sz w:val="20"/>
                <w:highlight w:val="none"/>
              </w:rPr>
              <w:t>部门：兴国县人民政府办公室</w:t>
            </w:r>
          </w:p>
        </w:tc>
        <w:tc>
          <w:tcPr>
            <w:tcW w:w="2000" w:type="dxa"/>
          </w:tcPr>
          <w:p>
            <w:pPr>
              <w:jc w:val="center"/>
              <w:rPr>
                <w:color w:val="auto"/>
                <w:highlight w:val="none"/>
              </w:rPr>
            </w:pPr>
            <w:r>
              <w:rPr>
                <w:rFonts w:ascii="宋体" w:hAnsi="宋体" w:eastAsia="宋体" w:cs="宋体"/>
                <w:color w:val="auto"/>
                <w:sz w:val="20"/>
                <w:highlight w:val="none"/>
              </w:rPr>
              <w:t>2023年度</w:t>
            </w:r>
          </w:p>
        </w:tc>
        <w:tc>
          <w:tcPr>
            <w:tcW w:w="3153" w:type="dxa"/>
          </w:tcPr>
          <w:p>
            <w:pPr>
              <w:jc w:val="right"/>
              <w:rPr>
                <w:color w:val="auto"/>
                <w:highlight w:val="none"/>
              </w:rPr>
            </w:pPr>
            <w:r>
              <w:rPr>
                <w:rFonts w:ascii="宋体" w:hAnsi="宋体" w:eastAsia="宋体" w:cs="宋体"/>
                <w:color w:val="auto"/>
                <w:sz w:val="20"/>
                <w:highlight w:val="none"/>
              </w:rPr>
              <w:t>金额单位：万元</w:t>
            </w:r>
          </w:p>
        </w:tc>
      </w:tr>
    </w:tbl>
    <w:p>
      <w:pPr>
        <w:snapToGrid w:val="0"/>
        <w:spacing w:before="0" w:after="0" w:line="0" w:lineRule="auto"/>
        <w:rPr>
          <w:rFonts w:hint="eastAsia" w:eastAsia="宋体"/>
          <w:color w:val="auto"/>
          <w:highlight w:val="none"/>
          <w:lang w:eastAsia="zh-CN"/>
        </w:rPr>
      </w:pP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pPr>
              <w:jc w:val="center"/>
              <w:rPr>
                <w:color w:val="auto"/>
                <w:highlight w:val="none"/>
              </w:rPr>
            </w:pPr>
            <w:r>
              <w:rPr>
                <w:rFonts w:ascii="宋体" w:hAnsi="宋体" w:eastAsia="宋体" w:cs="宋体"/>
                <w:b w:val="0"/>
                <w:i w:val="0"/>
                <w:color w:val="auto"/>
                <w:sz w:val="17"/>
                <w:highlight w:val="none"/>
              </w:rPr>
              <w:t>项目</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栏次</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年初预算数</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全年预算数</w:t>
            </w:r>
          </w:p>
        </w:tc>
        <w:tc>
          <w:tcPr>
            <w:tcW w:w="1586" w:type="dxa"/>
            <w:vAlign w:val="center"/>
          </w:tcPr>
          <w:p>
            <w:pPr>
              <w:jc w:val="center"/>
              <w:rPr>
                <w:color w:val="auto"/>
                <w:highlight w:val="none"/>
              </w:rPr>
            </w:pPr>
            <w:r>
              <w:rPr>
                <w:rFonts w:ascii="宋体" w:hAnsi="宋体" w:eastAsia="宋体" w:cs="宋体"/>
                <w:b w:val="0"/>
                <w:i w:val="0"/>
                <w:color w:val="auto"/>
                <w:sz w:val="17"/>
                <w:highlight w:val="none"/>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center"/>
              <w:rPr>
                <w:color w:val="auto"/>
                <w:highlight w:val="none"/>
              </w:rPr>
            </w:pPr>
            <w:r>
              <w:rPr>
                <w:rFonts w:ascii="宋体" w:hAnsi="宋体" w:eastAsia="宋体" w:cs="宋体"/>
                <w:b w:val="0"/>
                <w:i w:val="0"/>
                <w:color w:val="auto"/>
                <w:sz w:val="17"/>
                <w:highlight w:val="none"/>
              </w:rPr>
              <w:t>行次</w:t>
            </w:r>
          </w:p>
        </w:tc>
        <w:tc>
          <w:tcPr>
            <w:tcW w:w="740" w:type="dxa"/>
            <w:vAlign w:val="center"/>
          </w:tcPr>
          <w:p>
            <w:pPr>
              <w:rPr>
                <w:color w:val="auto"/>
                <w:highlight w:val="none"/>
              </w:rPr>
            </w:pPr>
          </w:p>
        </w:tc>
        <w:tc>
          <w:tcPr>
            <w:tcW w:w="1560" w:type="dxa"/>
            <w:vAlign w:val="center"/>
          </w:tcPr>
          <w:p>
            <w:pPr>
              <w:jc w:val="center"/>
              <w:rPr>
                <w:color w:val="auto"/>
                <w:highlight w:val="none"/>
              </w:rPr>
            </w:pPr>
            <w:r>
              <w:rPr>
                <w:rFonts w:ascii="宋体" w:hAnsi="宋体" w:eastAsia="宋体" w:cs="宋体"/>
                <w:b w:val="0"/>
                <w:i w:val="0"/>
                <w:color w:val="auto"/>
                <w:sz w:val="17"/>
                <w:highlight w:val="none"/>
              </w:rPr>
              <w:t>1</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2</w:t>
            </w:r>
          </w:p>
        </w:tc>
        <w:tc>
          <w:tcPr>
            <w:tcW w:w="1586" w:type="dxa"/>
            <w:vAlign w:val="center"/>
          </w:tcPr>
          <w:p>
            <w:pPr>
              <w:jc w:val="center"/>
              <w:rPr>
                <w:color w:val="auto"/>
                <w:highlight w:val="none"/>
              </w:rPr>
            </w:pPr>
            <w:r>
              <w:rPr>
                <w:rFonts w:ascii="宋体" w:hAnsi="宋体" w:eastAsia="宋体" w:cs="宋体"/>
                <w:b w:val="0"/>
                <w:i w:val="0"/>
                <w:color w:val="auto"/>
                <w:sz w:val="17"/>
                <w:highlight w:val="none"/>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一、“三公”经费支出</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w:t>
            </w:r>
          </w:p>
        </w:tc>
        <w:tc>
          <w:tcPr>
            <w:tcW w:w="1560" w:type="dxa"/>
            <w:vAlign w:val="center"/>
          </w:tcPr>
          <w:p>
            <w:pPr>
              <w:jc w:val="right"/>
              <w:rPr>
                <w:color w:val="auto"/>
                <w:highlight w:val="none"/>
              </w:rPr>
            </w:pPr>
            <w:r>
              <w:rPr>
                <w:rFonts w:ascii="宋体" w:hAnsi="宋体" w:eastAsia="宋体" w:cs="宋体"/>
                <w:b w:val="0"/>
                <w:i w:val="0"/>
                <w:color w:val="auto"/>
                <w:sz w:val="17"/>
                <w:highlight w:val="none"/>
              </w:rPr>
              <w:t>115.50</w:t>
            </w:r>
          </w:p>
        </w:tc>
        <w:tc>
          <w:tcPr>
            <w:tcW w:w="1460" w:type="dxa"/>
            <w:vAlign w:val="center"/>
          </w:tcPr>
          <w:p>
            <w:pPr>
              <w:jc w:val="right"/>
              <w:rPr>
                <w:color w:val="auto"/>
                <w:highlight w:val="none"/>
              </w:rPr>
            </w:pPr>
            <w:r>
              <w:rPr>
                <w:rFonts w:ascii="宋体" w:hAnsi="宋体" w:eastAsia="宋体" w:cs="宋体"/>
                <w:b w:val="0"/>
                <w:i w:val="0"/>
                <w:color w:val="auto"/>
                <w:sz w:val="16"/>
                <w:highlight w:val="none"/>
              </w:rPr>
              <w:t>115.50</w:t>
            </w:r>
          </w:p>
        </w:tc>
        <w:tc>
          <w:tcPr>
            <w:tcW w:w="1586" w:type="dxa"/>
            <w:vAlign w:val="center"/>
          </w:tcPr>
          <w:p>
            <w:pPr>
              <w:jc w:val="right"/>
              <w:rPr>
                <w:color w:val="auto"/>
                <w:highlight w:val="none"/>
              </w:rPr>
            </w:pPr>
            <w:r>
              <w:rPr>
                <w:rFonts w:ascii="宋体" w:hAnsi="宋体" w:eastAsia="宋体" w:cs="宋体"/>
                <w:b w:val="0"/>
                <w:i w:val="0"/>
                <w:color w:val="auto"/>
                <w:sz w:val="17"/>
                <w:highlight w:val="none"/>
              </w:rPr>
              <w:t>101.71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1.因公出国（境）费</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2</w:t>
            </w:r>
          </w:p>
        </w:tc>
        <w:tc>
          <w:tcPr>
            <w:tcW w:w="1560" w:type="dxa"/>
            <w:vAlign w:val="center"/>
          </w:tcPr>
          <w:p>
            <w:pPr>
              <w:rPr>
                <w:color w:val="auto"/>
                <w:highlight w:val="none"/>
              </w:rPr>
            </w:pPr>
          </w:p>
        </w:tc>
        <w:tc>
          <w:tcPr>
            <w:tcW w:w="1460" w:type="dxa"/>
            <w:vAlign w:val="center"/>
          </w:tcPr>
          <w:p>
            <w:pPr>
              <w:rPr>
                <w:color w:val="auto"/>
                <w:highlight w:val="none"/>
              </w:rPr>
            </w:pP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2.公务用车购置及运行维护费</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3</w:t>
            </w:r>
          </w:p>
        </w:tc>
        <w:tc>
          <w:tcPr>
            <w:tcW w:w="1560" w:type="dxa"/>
            <w:vAlign w:val="center"/>
          </w:tcPr>
          <w:p>
            <w:pPr>
              <w:jc w:val="right"/>
              <w:rPr>
                <w:color w:val="auto"/>
                <w:highlight w:val="none"/>
              </w:rPr>
            </w:pPr>
            <w:r>
              <w:rPr>
                <w:rFonts w:ascii="宋体" w:hAnsi="宋体" w:eastAsia="宋体" w:cs="宋体"/>
                <w:b w:val="0"/>
                <w:i w:val="0"/>
                <w:color w:val="auto"/>
                <w:sz w:val="17"/>
                <w:highlight w:val="none"/>
              </w:rPr>
              <w:t>9.00</w:t>
            </w:r>
          </w:p>
        </w:tc>
        <w:tc>
          <w:tcPr>
            <w:tcW w:w="1460" w:type="dxa"/>
            <w:vAlign w:val="center"/>
          </w:tcPr>
          <w:p>
            <w:pPr>
              <w:jc w:val="right"/>
              <w:rPr>
                <w:color w:val="auto"/>
                <w:highlight w:val="none"/>
              </w:rPr>
            </w:pPr>
            <w:r>
              <w:rPr>
                <w:rFonts w:ascii="宋体" w:hAnsi="宋体" w:eastAsia="宋体" w:cs="宋体"/>
                <w:b w:val="0"/>
                <w:i w:val="0"/>
                <w:color w:val="auto"/>
                <w:sz w:val="16"/>
                <w:highlight w:val="none"/>
              </w:rPr>
              <w:t>9.00</w:t>
            </w:r>
          </w:p>
        </w:tc>
        <w:tc>
          <w:tcPr>
            <w:tcW w:w="1586" w:type="dxa"/>
            <w:vAlign w:val="center"/>
          </w:tcPr>
          <w:p>
            <w:pPr>
              <w:jc w:val="right"/>
              <w:rPr>
                <w:color w:val="auto"/>
                <w:highlight w:val="none"/>
              </w:rPr>
            </w:pPr>
            <w:r>
              <w:rPr>
                <w:rFonts w:ascii="宋体" w:hAnsi="宋体" w:eastAsia="宋体" w:cs="宋体"/>
                <w:b w:val="0"/>
                <w:i w:val="0"/>
                <w:color w:val="auto"/>
                <w:sz w:val="17"/>
                <w:highlight w:val="none"/>
              </w:rPr>
              <w:t>8.49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（1）公务用车购置费</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4</w:t>
            </w:r>
          </w:p>
        </w:tc>
        <w:tc>
          <w:tcPr>
            <w:tcW w:w="1560" w:type="dxa"/>
            <w:vAlign w:val="center"/>
          </w:tcPr>
          <w:p>
            <w:pPr>
              <w:rPr>
                <w:color w:val="auto"/>
                <w:highlight w:val="none"/>
              </w:rPr>
            </w:pPr>
          </w:p>
        </w:tc>
        <w:tc>
          <w:tcPr>
            <w:tcW w:w="1460" w:type="dxa"/>
            <w:vAlign w:val="center"/>
          </w:tcPr>
          <w:p>
            <w:pPr>
              <w:rPr>
                <w:color w:val="auto"/>
                <w:highlight w:val="none"/>
              </w:rPr>
            </w:pP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（2）公务用车运行维护费</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5</w:t>
            </w:r>
          </w:p>
        </w:tc>
        <w:tc>
          <w:tcPr>
            <w:tcW w:w="1560" w:type="dxa"/>
            <w:vAlign w:val="center"/>
          </w:tcPr>
          <w:p>
            <w:pPr>
              <w:jc w:val="right"/>
              <w:rPr>
                <w:color w:val="auto"/>
                <w:highlight w:val="none"/>
              </w:rPr>
            </w:pPr>
            <w:r>
              <w:rPr>
                <w:rFonts w:ascii="宋体" w:hAnsi="宋体" w:eastAsia="宋体" w:cs="宋体"/>
                <w:b w:val="0"/>
                <w:i w:val="0"/>
                <w:color w:val="auto"/>
                <w:sz w:val="17"/>
                <w:highlight w:val="none"/>
              </w:rPr>
              <w:t>9.00</w:t>
            </w:r>
          </w:p>
        </w:tc>
        <w:tc>
          <w:tcPr>
            <w:tcW w:w="1460" w:type="dxa"/>
            <w:vAlign w:val="center"/>
          </w:tcPr>
          <w:p>
            <w:pPr>
              <w:jc w:val="right"/>
              <w:rPr>
                <w:color w:val="auto"/>
                <w:highlight w:val="none"/>
              </w:rPr>
            </w:pPr>
            <w:r>
              <w:rPr>
                <w:rFonts w:ascii="宋体" w:hAnsi="宋体" w:eastAsia="宋体" w:cs="宋体"/>
                <w:b w:val="0"/>
                <w:i w:val="0"/>
                <w:color w:val="auto"/>
                <w:sz w:val="16"/>
                <w:highlight w:val="none"/>
              </w:rPr>
              <w:t>9.00</w:t>
            </w:r>
          </w:p>
        </w:tc>
        <w:tc>
          <w:tcPr>
            <w:tcW w:w="1586" w:type="dxa"/>
            <w:vAlign w:val="center"/>
          </w:tcPr>
          <w:p>
            <w:pPr>
              <w:jc w:val="right"/>
              <w:rPr>
                <w:color w:val="auto"/>
                <w:highlight w:val="none"/>
              </w:rPr>
            </w:pPr>
            <w:r>
              <w:rPr>
                <w:rFonts w:ascii="宋体" w:hAnsi="宋体" w:eastAsia="宋体" w:cs="宋体"/>
                <w:b w:val="0"/>
                <w:i w:val="0"/>
                <w:color w:val="auto"/>
                <w:sz w:val="17"/>
                <w:highlight w:val="none"/>
              </w:rPr>
              <w:t>8.49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3.公务接待费</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6</w:t>
            </w:r>
          </w:p>
        </w:tc>
        <w:tc>
          <w:tcPr>
            <w:tcW w:w="1560" w:type="dxa"/>
            <w:vAlign w:val="center"/>
          </w:tcPr>
          <w:p>
            <w:pPr>
              <w:jc w:val="right"/>
              <w:rPr>
                <w:color w:val="auto"/>
                <w:highlight w:val="none"/>
              </w:rPr>
            </w:pPr>
            <w:r>
              <w:rPr>
                <w:rFonts w:ascii="宋体" w:hAnsi="宋体" w:eastAsia="宋体" w:cs="宋体"/>
                <w:b w:val="0"/>
                <w:i w:val="0"/>
                <w:color w:val="auto"/>
                <w:sz w:val="17"/>
                <w:highlight w:val="none"/>
              </w:rPr>
              <w:t>106.50</w:t>
            </w:r>
          </w:p>
        </w:tc>
        <w:tc>
          <w:tcPr>
            <w:tcW w:w="1460" w:type="dxa"/>
            <w:vAlign w:val="center"/>
          </w:tcPr>
          <w:p>
            <w:pPr>
              <w:jc w:val="right"/>
              <w:rPr>
                <w:color w:val="auto"/>
                <w:highlight w:val="none"/>
              </w:rPr>
            </w:pPr>
            <w:r>
              <w:rPr>
                <w:rFonts w:ascii="宋体" w:hAnsi="宋体" w:eastAsia="宋体" w:cs="宋体"/>
                <w:b w:val="0"/>
                <w:i w:val="0"/>
                <w:color w:val="auto"/>
                <w:sz w:val="16"/>
                <w:highlight w:val="none"/>
              </w:rPr>
              <w:t>106.50</w:t>
            </w:r>
          </w:p>
        </w:tc>
        <w:tc>
          <w:tcPr>
            <w:tcW w:w="1586" w:type="dxa"/>
            <w:vAlign w:val="center"/>
          </w:tcPr>
          <w:p>
            <w:pPr>
              <w:jc w:val="right"/>
              <w:rPr>
                <w:color w:val="auto"/>
                <w:highlight w:val="none"/>
              </w:rPr>
            </w:pPr>
            <w:r>
              <w:rPr>
                <w:rFonts w:ascii="宋体" w:hAnsi="宋体" w:eastAsia="宋体" w:cs="宋体"/>
                <w:b w:val="0"/>
                <w:i w:val="0"/>
                <w:color w:val="auto"/>
                <w:sz w:val="17"/>
                <w:highlight w:val="none"/>
              </w:rPr>
              <w:t>93.22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（1）国内接待费</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7</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jc w:val="right"/>
              <w:rPr>
                <w:color w:val="auto"/>
                <w:highlight w:val="none"/>
              </w:rPr>
            </w:pPr>
            <w:r>
              <w:rPr>
                <w:rFonts w:ascii="宋体" w:hAnsi="宋体" w:eastAsia="宋体" w:cs="宋体"/>
                <w:b w:val="0"/>
                <w:i w:val="0"/>
                <w:color w:val="auto"/>
                <w:sz w:val="17"/>
                <w:highlight w:val="none"/>
              </w:rPr>
              <w:t>93.22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其中：外事接待费</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8</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（2）国（境）外接待费</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9</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二、相关统计数</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10</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jc w:val="center"/>
              <w:rPr>
                <w:color w:val="auto"/>
                <w:highlight w:val="none"/>
              </w:rPr>
            </w:pPr>
            <w:r>
              <w:rPr>
                <w:rFonts w:ascii="宋体" w:hAnsi="宋体" w:eastAsia="宋体" w:cs="宋体"/>
                <w:b w:val="0"/>
                <w:i w:val="0"/>
                <w:color w:val="auto"/>
                <w:sz w:val="17"/>
                <w:highlight w:val="non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1.因公出国（境）团组数（个）</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11</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2.因公出国（境）人次数（人）</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12</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3.公务用车购置数（辆）</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13</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4.公务用车保有量（辆）</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14</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jc w:val="right"/>
              <w:rPr>
                <w:color w:val="auto"/>
                <w:highlight w:val="none"/>
              </w:rPr>
            </w:pPr>
            <w:r>
              <w:rPr>
                <w:rFonts w:ascii="宋体" w:hAnsi="宋体" w:eastAsia="宋体" w:cs="宋体"/>
                <w:b w:val="0"/>
                <w:i w:val="0"/>
                <w:color w:val="auto"/>
                <w:sz w:val="17"/>
                <w:highlight w:val="none"/>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5.国内公务接待批次（个）</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15</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jc w:val="right"/>
              <w:rPr>
                <w:color w:val="auto"/>
                <w:highlight w:val="none"/>
              </w:rPr>
            </w:pPr>
            <w:r>
              <w:rPr>
                <w:rFonts w:ascii="宋体" w:hAnsi="宋体" w:eastAsia="宋体" w:cs="宋体"/>
                <w:b w:val="0"/>
                <w:i w:val="0"/>
                <w:color w:val="auto"/>
                <w:sz w:val="17"/>
                <w:highlight w:val="none"/>
              </w:rPr>
              <w:t>936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其中：外事接待批次（个）</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16</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6.国内公务接待人次（人）</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17</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jc w:val="right"/>
              <w:rPr>
                <w:color w:val="auto"/>
                <w:highlight w:val="none"/>
              </w:rPr>
            </w:pPr>
            <w:r>
              <w:rPr>
                <w:rFonts w:ascii="宋体" w:hAnsi="宋体" w:eastAsia="宋体" w:cs="宋体"/>
                <w:b w:val="0"/>
                <w:i w:val="0"/>
                <w:color w:val="auto"/>
                <w:sz w:val="17"/>
                <w:highlight w:val="none"/>
              </w:rPr>
              <w:t>6,960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其中：外事接待人次（人）</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18</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7.国（境）外公务接待批次（个）</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19</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pPr>
              <w:jc w:val="left"/>
              <w:rPr>
                <w:color w:val="auto"/>
                <w:highlight w:val="none"/>
              </w:rPr>
            </w:pPr>
            <w:r>
              <w:rPr>
                <w:rFonts w:ascii="宋体" w:hAnsi="宋体" w:eastAsia="宋体" w:cs="宋体"/>
                <w:b w:val="0"/>
                <w:i w:val="0"/>
                <w:color w:val="auto"/>
                <w:sz w:val="17"/>
                <w:highlight w:val="none"/>
              </w:rPr>
              <w:t>8.国（境）外公务接待人次（人）</w:t>
            </w:r>
          </w:p>
        </w:tc>
        <w:tc>
          <w:tcPr>
            <w:tcW w:w="740" w:type="dxa"/>
            <w:vAlign w:val="center"/>
          </w:tcPr>
          <w:p>
            <w:pPr>
              <w:jc w:val="center"/>
              <w:rPr>
                <w:color w:val="auto"/>
                <w:highlight w:val="none"/>
              </w:rPr>
            </w:pPr>
            <w:r>
              <w:rPr>
                <w:rFonts w:ascii="宋体" w:hAnsi="宋体" w:eastAsia="宋体" w:cs="宋体"/>
                <w:b w:val="0"/>
                <w:i w:val="0"/>
                <w:color w:val="auto"/>
                <w:sz w:val="17"/>
                <w:highlight w:val="none"/>
              </w:rPr>
              <w:t>20</w:t>
            </w:r>
          </w:p>
        </w:tc>
        <w:tc>
          <w:tcPr>
            <w:tcW w:w="1560" w:type="dxa"/>
            <w:vAlign w:val="center"/>
          </w:tcPr>
          <w:p>
            <w:pPr>
              <w:jc w:val="center"/>
              <w:rPr>
                <w:color w:val="auto"/>
                <w:highlight w:val="none"/>
              </w:rPr>
            </w:pPr>
            <w:r>
              <w:rPr>
                <w:rFonts w:ascii="宋体" w:hAnsi="宋体" w:eastAsia="宋体" w:cs="宋体"/>
                <w:b w:val="0"/>
                <w:i w:val="0"/>
                <w:color w:val="auto"/>
                <w:sz w:val="17"/>
                <w:highlight w:val="none"/>
              </w:rPr>
              <w:t>——</w:t>
            </w:r>
          </w:p>
        </w:tc>
        <w:tc>
          <w:tcPr>
            <w:tcW w:w="1460" w:type="dxa"/>
            <w:vAlign w:val="center"/>
          </w:tcPr>
          <w:p>
            <w:pPr>
              <w:jc w:val="center"/>
              <w:rPr>
                <w:color w:val="auto"/>
                <w:highlight w:val="none"/>
              </w:rPr>
            </w:pPr>
            <w:r>
              <w:rPr>
                <w:rFonts w:ascii="宋体" w:hAnsi="宋体" w:eastAsia="宋体" w:cs="宋体"/>
                <w:b w:val="0"/>
                <w:i w:val="0"/>
                <w:color w:val="auto"/>
                <w:sz w:val="16"/>
                <w:highlight w:val="none"/>
              </w:rPr>
              <w:t>——</w:t>
            </w:r>
          </w:p>
        </w:tc>
        <w:tc>
          <w:tcPr>
            <w:tcW w:w="1586" w:type="dxa"/>
            <w:vAlign w:val="center"/>
          </w:tcPr>
          <w:p>
            <w:pPr>
              <w:rPr>
                <w:color w:val="auto"/>
                <w:highlight w:val="none"/>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7"/>
                <w:highlight w:val="none"/>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pPr>
              <w:jc w:val="left"/>
              <w:rPr>
                <w:color w:val="auto"/>
                <w:highlight w:val="none"/>
              </w:rPr>
            </w:pPr>
            <w:r>
              <w:rPr>
                <w:rFonts w:ascii="宋体" w:hAnsi="宋体" w:eastAsia="宋体" w:cs="宋体"/>
                <w:b w:val="0"/>
                <w:i w:val="0"/>
                <w:color w:val="auto"/>
                <w:sz w:val="17"/>
                <w:highlight w:val="none"/>
              </w:rPr>
              <w:t>2.当此表数据为空，即本部门（单位）无财政拨款“三公”经费支出</w:t>
            </w:r>
          </w:p>
        </w:tc>
      </w:tr>
    </w:tbl>
    <w:p>
      <w:pPr>
        <w:snapToGrid w:val="0"/>
        <w:spacing w:before="200" w:after="200" w:line="200" w:lineRule="auto"/>
        <w:rPr>
          <w:rFonts w:hint="eastAsia" w:eastAsia="宋体"/>
          <w:color w:val="auto"/>
          <w:highlight w:val="none"/>
          <w:lang w:eastAsia="zh-CN"/>
        </w:rPr>
      </w:pPr>
    </w:p>
    <w:p>
      <w:pPr>
        <w:pageBreakBefore/>
        <w:jc w:val="center"/>
        <w:outlineLvl w:val="1"/>
        <w:rPr>
          <w:rFonts w:hint="eastAsia" w:ascii="黑体" w:hAnsi="宋体" w:eastAsia="黑体" w:cs="黑体"/>
          <w:color w:val="auto"/>
          <w:sz w:val="32"/>
          <w:szCs w:val="32"/>
          <w:highlight w:val="none"/>
          <w:lang w:bidi="en-AU"/>
        </w:rPr>
      </w:pPr>
      <w:r>
        <w:rPr>
          <w:rFonts w:hint="eastAsia" w:ascii="黑体" w:hAnsi="宋体" w:eastAsia="黑体" w:cs="黑体"/>
          <w:color w:val="auto"/>
          <w:sz w:val="32"/>
          <w:szCs w:val="32"/>
          <w:highlight w:val="none"/>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pPr>
              <w:jc w:val="right"/>
              <w:rPr>
                <w:color w:val="auto"/>
                <w:highlight w:val="none"/>
              </w:rPr>
            </w:pPr>
            <w:r>
              <w:rPr>
                <w:rFonts w:hint="eastAsia" w:ascii="宋体" w:hAnsi="宋体" w:eastAsia="宋体" w:cs="宋体"/>
                <w:color w:val="auto"/>
                <w:sz w:val="20"/>
                <w:highlight w:val="none"/>
                <w:lang w:eastAsia="zh-CN"/>
              </w:rPr>
              <w:t>公开</w:t>
            </w:r>
            <w:r>
              <w:rPr>
                <w:rFonts w:ascii="宋体" w:hAnsi="宋体" w:eastAsia="宋体" w:cs="宋体"/>
                <w:color w:val="auto"/>
                <w:sz w:val="20"/>
                <w:highlight w:val="none"/>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pPr>
              <w:jc w:val="left"/>
              <w:rPr>
                <w:color w:val="auto"/>
                <w:highlight w:val="none"/>
              </w:rPr>
            </w:pPr>
            <w:r>
              <w:rPr>
                <w:rFonts w:ascii="宋体" w:hAnsi="宋体" w:eastAsia="宋体" w:cs="宋体"/>
                <w:color w:val="auto"/>
                <w:sz w:val="20"/>
                <w:highlight w:val="none"/>
              </w:rPr>
              <w:t>部门：</w:t>
            </w:r>
            <w:r>
              <w:rPr>
                <w:rFonts w:hint="eastAsia" w:ascii="宋体" w:hAnsi="宋体" w:eastAsia="宋体" w:cs="宋体"/>
                <w:b w:val="0"/>
                <w:i w:val="0"/>
                <w:color w:val="auto"/>
                <w:sz w:val="20"/>
                <w:highlight w:val="none"/>
              </w:rPr>
              <w:t>兴国县人民政府办公室</w:t>
            </w:r>
          </w:p>
        </w:tc>
        <w:tc>
          <w:tcPr>
            <w:tcW w:w="2000" w:type="dxa"/>
            <w:shd w:val="clear" w:color="auto" w:fill="auto"/>
            <w:noWrap w:val="0"/>
            <w:vAlign w:val="top"/>
          </w:tcPr>
          <w:p>
            <w:pPr>
              <w:jc w:val="center"/>
              <w:rPr>
                <w:color w:val="auto"/>
                <w:highlight w:val="none"/>
              </w:rPr>
            </w:pPr>
            <w:r>
              <w:rPr>
                <w:rFonts w:ascii="宋体" w:hAnsi="宋体" w:eastAsia="宋体" w:cs="宋体"/>
                <w:color w:val="auto"/>
                <w:sz w:val="20"/>
                <w:highlight w:val="none"/>
              </w:rPr>
              <w:t>2023年度</w:t>
            </w:r>
          </w:p>
        </w:tc>
        <w:tc>
          <w:tcPr>
            <w:tcW w:w="3772" w:type="dxa"/>
            <w:gridSpan w:val="3"/>
            <w:shd w:val="clear" w:color="auto" w:fill="auto"/>
            <w:noWrap w:val="0"/>
            <w:vAlign w:val="top"/>
          </w:tcPr>
          <w:p>
            <w:pPr>
              <w:jc w:val="right"/>
              <w:rPr>
                <w:rFonts w:hint="default" w:eastAsia="宋体"/>
                <w:color w:val="auto"/>
                <w:highlight w:val="none"/>
                <w:lang w:val="en-US" w:eastAsia="zh-CN"/>
              </w:rPr>
            </w:pPr>
            <w:r>
              <w:rPr>
                <w:rFonts w:ascii="宋体" w:hAnsi="宋体" w:eastAsia="宋体" w:cs="宋体"/>
                <w:color w:val="auto"/>
                <w:sz w:val="20"/>
                <w:highlight w:val="none"/>
              </w:rPr>
              <w:t>单位：</w:t>
            </w:r>
            <w:r>
              <w:rPr>
                <w:rFonts w:hint="eastAsia" w:ascii="宋体" w:hAnsi="宋体" w:eastAsia="宋体" w:cs="宋体"/>
                <w:color w:val="auto"/>
                <w:sz w:val="20"/>
                <w:highlight w:val="none"/>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项目</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栏次</w:t>
            </w:r>
          </w:p>
        </w:tc>
        <w:tc>
          <w:tcPr>
            <w:tcW w:w="2265"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一、车辆数合计(台、辆)</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1</w:t>
            </w:r>
          </w:p>
        </w:tc>
        <w:tc>
          <w:tcPr>
            <w:tcW w:w="2265" w:type="dxa"/>
            <w:shd w:val="clear" w:color="auto" w:fill="auto"/>
            <w:noWrap w:val="0"/>
            <w:vAlign w:val="center"/>
          </w:tcPr>
          <w:p>
            <w:pPr>
              <w:jc w:val="right"/>
              <w:rPr>
                <w:rFonts w:hint="eastAsia" w:ascii="宋体" w:hAnsi="宋体" w:eastAsia="宋体" w:cs="宋体"/>
                <w:b w:val="0"/>
                <w:i w:val="0"/>
                <w:color w:val="auto"/>
                <w:sz w:val="20"/>
                <w:highlight w:val="none"/>
              </w:rPr>
            </w:pPr>
            <w:r>
              <w:rPr>
                <w:rFonts w:hint="eastAsia" w:ascii="宋体" w:hAnsi="宋体" w:eastAsia="宋体" w:cs="宋体"/>
                <w:b w:val="0"/>
                <w:i w:val="0"/>
                <w:color w:val="auto"/>
                <w:sz w:val="20"/>
                <w:highlight w:val="none"/>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1.副部（省）级及以上领导用车</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2</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2.主要负责人用车</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3</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3.机要通信用车</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4</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4.应急保障用车</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5</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5.执法执勤用车</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6</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6.特种专业技术用车</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7</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7.离退休干部服务用车</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8</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8.其他用车</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9</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二、单价100万元（含）以上设备（不含车辆）(台、套)</w:t>
            </w:r>
          </w:p>
        </w:tc>
        <w:tc>
          <w:tcPr>
            <w:tcW w:w="880" w:type="dxa"/>
            <w:shd w:val="clear" w:color="auto" w:fill="auto"/>
            <w:noWrap w:val="0"/>
            <w:vAlign w:val="center"/>
          </w:tcPr>
          <w:p>
            <w:pPr>
              <w:jc w:val="center"/>
              <w:rPr>
                <w:color w:val="auto"/>
                <w:highlight w:val="none"/>
              </w:rPr>
            </w:pPr>
            <w:r>
              <w:rPr>
                <w:rFonts w:ascii="宋体" w:hAnsi="宋体" w:eastAsia="宋体" w:cs="宋体"/>
                <w:b w:val="0"/>
                <w:i w:val="0"/>
                <w:color w:val="auto"/>
                <w:sz w:val="20"/>
                <w:highlight w:val="none"/>
              </w:rPr>
              <w:t>10</w:t>
            </w:r>
          </w:p>
        </w:tc>
        <w:tc>
          <w:tcPr>
            <w:tcW w:w="2265" w:type="dxa"/>
            <w:shd w:val="clear" w:color="auto" w:fill="auto"/>
            <w:noWrap w:val="0"/>
            <w:vAlign w:val="center"/>
          </w:tcPr>
          <w:p>
            <w:pPr>
              <w:jc w:val="right"/>
              <w:rPr>
                <w:color w:val="auto"/>
                <w:highlight w:val="none"/>
              </w:rPr>
            </w:pPr>
            <w:r>
              <w:rPr>
                <w:rFonts w:hint="eastAsia" w:ascii="宋体" w:hAnsi="宋体" w:eastAsia="宋体" w:cs="宋体"/>
                <w:b w:val="0"/>
                <w:i w:val="0"/>
                <w:color w:val="auto"/>
                <w:sz w:val="20"/>
                <w:highlight w:val="none"/>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pPr>
              <w:jc w:val="left"/>
              <w:rPr>
                <w:color w:val="auto"/>
                <w:highlight w:val="none"/>
              </w:rPr>
            </w:pPr>
            <w:r>
              <w:rPr>
                <w:rFonts w:ascii="宋体" w:hAnsi="宋体" w:eastAsia="宋体" w:cs="宋体"/>
                <w:b w:val="0"/>
                <w:i w:val="0"/>
                <w:color w:val="auto"/>
                <w:sz w:val="20"/>
                <w:highlight w:val="none"/>
              </w:rPr>
              <w:t>注：1.本表反映截止2023年12月31日，部门(单位)占用的国有资产情况。</w:t>
            </w:r>
          </w:p>
          <w:p>
            <w:pPr>
              <w:jc w:val="left"/>
              <w:rPr>
                <w:color w:val="auto"/>
                <w:highlight w:val="none"/>
              </w:rPr>
            </w:pPr>
            <w:r>
              <w:rPr>
                <w:rFonts w:ascii="宋体" w:hAnsi="宋体" w:eastAsia="宋体" w:cs="宋体"/>
                <w:b w:val="0"/>
                <w:i w:val="0"/>
                <w:color w:val="auto"/>
                <w:sz w:val="20"/>
                <w:highlight w:val="none"/>
              </w:rPr>
              <w:t>2.当本表数据为空时，即本部门（单位）无相关资产。</w:t>
            </w:r>
          </w:p>
        </w:tc>
      </w:tr>
    </w:tbl>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highlight w:val="none"/>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highlight w:val="none"/>
        </w:rPr>
      </w:pPr>
      <w:r>
        <w:rPr>
          <w:rFonts w:hint="eastAsia" w:ascii="宋体" w:hAnsi="宋体" w:cs="宋体"/>
          <w:b/>
          <w:color w:val="auto"/>
          <w:sz w:val="44"/>
          <w:szCs w:val="44"/>
          <w:highlight w:val="none"/>
        </w:rPr>
        <w:t>第三部分2023年度部门决算情况说明</w:t>
      </w:r>
    </w:p>
    <w:p>
      <w:pPr>
        <w:ind w:firstLine="630"/>
        <w:jc w:val="left"/>
        <w:rPr>
          <w:rFonts w:hint="eastAsia" w:ascii="仿宋_GB2312" w:hAnsi="仿宋_GB2312" w:eastAsia="仿宋_GB2312"/>
          <w:color w:val="auto"/>
          <w:sz w:val="30"/>
          <w:szCs w:val="30"/>
          <w:highlight w:val="none"/>
        </w:rPr>
      </w:pP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一、收入决算情况说明</w:t>
      </w:r>
    </w:p>
    <w:p>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本部门2023年度收入总计1064.24万元，其中年初结转和结余0.00万元，与上年持平；使用非财政拨款结余和专用结余0.00万元，与上年持平；本年收入合计1064.24万元，比上年增加149.40万元</w:t>
      </w:r>
      <w:r>
        <w:rPr>
          <w:rFonts w:hint="eastAsia" w:ascii="仿宋_GB2312" w:hAnsi="仿宋_GB2312" w:eastAsia="仿宋_GB2312" w:cs="Times New Roman"/>
          <w:color w:val="auto"/>
          <w:sz w:val="32"/>
          <w:szCs w:val="32"/>
          <w:highlight w:val="none"/>
        </w:rPr>
        <w:t>，增长16.33%</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增加了档案室建设及办公室改造和职工运动场改造</w:t>
      </w:r>
      <w:r>
        <w:rPr>
          <w:rFonts w:hint="eastAsia" w:ascii="仿宋_GB2312" w:hAnsi="仿宋_GB2312" w:eastAsia="仿宋_GB2312"/>
          <w:color w:val="auto"/>
          <w:sz w:val="32"/>
          <w:szCs w:val="32"/>
          <w:highlight w:val="none"/>
        </w:rPr>
        <w:t>。</w:t>
      </w:r>
    </w:p>
    <w:p>
      <w:pPr>
        <w:ind w:firstLine="640" w:firstLineChars="200"/>
        <w:jc w:val="left"/>
        <w:rPr>
          <w:rFonts w:hint="eastAsia" w:ascii="仿宋_GB2312" w:hAnsi="仿宋_GB2312" w:eastAsia="仿宋_GB2312"/>
          <w:color w:val="auto"/>
          <w:sz w:val="32"/>
          <w:szCs w:val="32"/>
          <w:highlight w:val="none"/>
          <w:lang w:eastAsia="zh-CN"/>
        </w:rPr>
      </w:pPr>
      <w:r>
        <w:rPr>
          <w:rFonts w:hint="eastAsia" w:ascii="仿宋_GB2312" w:hAnsi="仿宋_GB2312" w:eastAsia="仿宋_GB2312"/>
          <w:color w:val="auto"/>
          <w:sz w:val="32"/>
          <w:szCs w:val="32"/>
          <w:highlight w:val="none"/>
        </w:rPr>
        <w:t>本年收入的具体构成：财政拨款收入1034.23万元，占97.18%；事业收入0.00万元，占0.00%；经营收入0.00万元，占0.00%；上级补助收入0.00万元，占0.00%；附属单位上缴收入0.00万元，占0.00%；其他收入30.01万元，占2.82%。</w:t>
      </w: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二、支出决算情况说明</w:t>
      </w:r>
    </w:p>
    <w:p>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本部门2023年度支出总计1064.24万元，其中本年支出合计1060.16万元，比上年增加145.31万元</w:t>
      </w:r>
      <w:r>
        <w:rPr>
          <w:rFonts w:hint="eastAsia" w:ascii="仿宋_GB2312" w:hAnsi="仿宋_GB2312" w:eastAsia="仿宋_GB2312" w:cs="Times New Roman"/>
          <w:color w:val="auto"/>
          <w:sz w:val="32"/>
          <w:szCs w:val="32"/>
          <w:highlight w:val="none"/>
        </w:rPr>
        <w:t>，增长15.88%</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增加了档案室建设及办公室改造和职工运动场改造</w:t>
      </w:r>
      <w:r>
        <w:rPr>
          <w:rFonts w:hint="eastAsia" w:ascii="仿宋_GB2312" w:hAnsi="仿宋_GB2312" w:eastAsia="仿宋_GB2312"/>
          <w:color w:val="auto"/>
          <w:sz w:val="32"/>
          <w:szCs w:val="32"/>
          <w:highlight w:val="none"/>
        </w:rPr>
        <w:t>；结余分配0.00万元，与上年持平；年末结转和结余4.08万元，比上年增加4.08万元，</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本年有单位资金</w:t>
      </w:r>
      <w:r>
        <w:rPr>
          <w:rFonts w:hint="eastAsia" w:ascii="仿宋_GB2312" w:hAnsi="仿宋_GB2312" w:eastAsia="仿宋_GB2312"/>
          <w:color w:val="auto"/>
          <w:sz w:val="32"/>
          <w:szCs w:val="32"/>
          <w:highlight w:val="none"/>
        </w:rPr>
        <w:t>。</w:t>
      </w:r>
    </w:p>
    <w:p>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本年支出的具体构成：基本支出675.64万元，占63.73%；项目支出384.51万元，占36.27%；经营支出0.00万元，占0.00%；上缴上级支出0.00万元，占0.00%；对附属单位补助支出0.00万元，占0.00%。</w:t>
      </w: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三、财政拨款支出决算情况说明</w:t>
      </w:r>
    </w:p>
    <w:p>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本部门2023年度财政拨款本年支出年初预算数796.81万元，决算数1034.23万元，完成年初预算的129.80%。其中：</w:t>
      </w:r>
    </w:p>
    <w:p>
      <w:pPr>
        <w:ind w:firstLine="640" w:firstLineChars="200"/>
        <w:jc w:val="left"/>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rPr>
        <w:t>（一）一般公共服务支出（类）年初预算数690.22万元，决算数929.59万元，完成年初预算的134.68%。预决算差异主要原因：</w:t>
      </w:r>
      <w:r>
        <w:rPr>
          <w:rFonts w:hint="eastAsia" w:ascii="仿宋_GB2312" w:hAnsi="仿宋_GB2312" w:eastAsia="仿宋_GB2312"/>
          <w:color w:val="auto"/>
          <w:sz w:val="32"/>
          <w:szCs w:val="32"/>
          <w:highlight w:val="none"/>
          <w:lang w:eastAsia="zh-CN"/>
        </w:rPr>
        <w:t>增加了档案室建设及办公室改造和职工运动场改造</w:t>
      </w:r>
      <w:r>
        <w:rPr>
          <w:rFonts w:hint="eastAsia" w:ascii="仿宋_GB2312" w:hAnsi="仿宋_GB2312" w:eastAsia="仿宋_GB2312" w:cs="Times New Roman"/>
          <w:color w:val="auto"/>
          <w:sz w:val="32"/>
          <w:szCs w:val="32"/>
          <w:highlight w:val="none"/>
        </w:rPr>
        <w:t>。</w:t>
      </w:r>
    </w:p>
    <w:p>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二</w:t>
      </w:r>
      <w:r>
        <w:rPr>
          <w:rFonts w:hint="eastAsia" w:ascii="仿宋_GB2312" w:hAnsi="仿宋_GB2312" w:eastAsia="仿宋_GB2312"/>
          <w:color w:val="auto"/>
          <w:sz w:val="32"/>
          <w:szCs w:val="32"/>
          <w:highlight w:val="none"/>
        </w:rPr>
        <w:t>）社会保障和就业支出（类）年初预算数42.18万元，决算数45.98万元，完成年初预算的109.01%。预决算差异主要原因：</w:t>
      </w:r>
      <w:r>
        <w:rPr>
          <w:rFonts w:hint="eastAsia" w:ascii="仿宋_GB2312" w:hAnsi="仿宋_GB2312" w:eastAsia="仿宋_GB2312"/>
          <w:color w:val="auto"/>
          <w:sz w:val="32"/>
          <w:szCs w:val="32"/>
          <w:highlight w:val="none"/>
          <w:lang w:eastAsia="zh-CN"/>
        </w:rPr>
        <w:t>年中人员变动</w:t>
      </w:r>
      <w:r>
        <w:rPr>
          <w:rFonts w:hint="eastAsia" w:ascii="仿宋_GB2312" w:hAnsi="仿宋_GB2312" w:eastAsia="仿宋_GB2312"/>
          <w:color w:val="auto"/>
          <w:sz w:val="32"/>
          <w:szCs w:val="32"/>
          <w:highlight w:val="none"/>
        </w:rPr>
        <w:t>。</w:t>
      </w:r>
    </w:p>
    <w:p>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三</w:t>
      </w:r>
      <w:r>
        <w:rPr>
          <w:rFonts w:hint="eastAsia" w:ascii="仿宋_GB2312" w:hAnsi="仿宋_GB2312" w:eastAsia="仿宋_GB2312"/>
          <w:color w:val="auto"/>
          <w:sz w:val="32"/>
          <w:szCs w:val="32"/>
          <w:highlight w:val="none"/>
        </w:rPr>
        <w:t>）卫生健康支出（类）年初预算数32.53万元，决算数26.78万元，完成年初预算的82.33%。预决算差异主要原因：</w:t>
      </w:r>
      <w:r>
        <w:rPr>
          <w:rFonts w:hint="eastAsia" w:ascii="仿宋_GB2312" w:hAnsi="仿宋_GB2312" w:eastAsia="仿宋_GB2312"/>
          <w:color w:val="auto"/>
          <w:sz w:val="32"/>
          <w:szCs w:val="32"/>
          <w:highlight w:val="none"/>
          <w:lang w:eastAsia="zh-CN"/>
        </w:rPr>
        <w:t>年中人员变动</w:t>
      </w:r>
      <w:r>
        <w:rPr>
          <w:rFonts w:hint="eastAsia" w:ascii="仿宋_GB2312" w:hAnsi="仿宋_GB2312" w:eastAsia="仿宋_GB2312"/>
          <w:color w:val="auto"/>
          <w:sz w:val="32"/>
          <w:szCs w:val="32"/>
          <w:highlight w:val="none"/>
        </w:rPr>
        <w:t>。</w:t>
      </w:r>
    </w:p>
    <w:p>
      <w:pPr>
        <w:ind w:firstLine="320" w:firstLineChars="1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四</w:t>
      </w:r>
      <w:r>
        <w:rPr>
          <w:rFonts w:hint="eastAsia" w:ascii="仿宋_GB2312" w:hAnsi="仿宋_GB2312" w:eastAsia="仿宋_GB2312"/>
          <w:color w:val="auto"/>
          <w:sz w:val="32"/>
          <w:szCs w:val="32"/>
          <w:highlight w:val="none"/>
        </w:rPr>
        <w:t>）住房保障支出（类）年初预算数31.88万元，决算数31.88万元，完成年初预算的100.00%。</w:t>
      </w:r>
    </w:p>
    <w:p>
      <w:pPr>
        <w:ind w:firstLine="640" w:firstLineChars="200"/>
        <w:jc w:val="left"/>
        <w:rPr>
          <w:rFonts w:hint="eastAsia" w:ascii="仿宋_GB2312" w:hAnsi="仿宋_GB2312" w:eastAsia="仿宋_GB2312"/>
          <w:color w:val="auto"/>
          <w:sz w:val="32"/>
          <w:szCs w:val="32"/>
          <w:highlight w:val="none"/>
        </w:rPr>
      </w:pPr>
    </w:p>
    <w:p>
      <w:pPr>
        <w:ind w:firstLine="640" w:firstLineChars="200"/>
        <w:jc w:val="left"/>
        <w:rPr>
          <w:rFonts w:hint="eastAsia" w:ascii="仿宋_GB2312" w:hAnsi="仿宋_GB2312" w:eastAsia="仿宋_GB2312"/>
          <w:color w:val="auto"/>
          <w:sz w:val="32"/>
          <w:szCs w:val="32"/>
          <w:highlight w:val="none"/>
        </w:rPr>
      </w:pPr>
    </w:p>
    <w:p>
      <w:pPr>
        <w:ind w:firstLine="640" w:firstLineChars="200"/>
        <w:jc w:val="left"/>
        <w:rPr>
          <w:rFonts w:hint="eastAsia" w:ascii="仿宋_GB2312" w:hAnsi="仿宋_GB2312" w:eastAsia="仿宋_GB2312"/>
          <w:color w:val="auto"/>
          <w:sz w:val="32"/>
          <w:szCs w:val="32"/>
          <w:highlight w:val="none"/>
        </w:rPr>
      </w:pPr>
    </w:p>
    <w:p>
      <w:pPr>
        <w:ind w:firstLine="640" w:firstLineChars="200"/>
        <w:jc w:val="left"/>
        <w:rPr>
          <w:rFonts w:hint="eastAsia" w:ascii="仿宋_GB2312" w:hAnsi="仿宋_GB2312" w:eastAsia="仿宋_GB2312"/>
          <w:color w:val="auto"/>
          <w:sz w:val="32"/>
          <w:szCs w:val="32"/>
          <w:highlight w:val="none"/>
        </w:rPr>
      </w:pPr>
    </w:p>
    <w:p>
      <w:pPr>
        <w:ind w:firstLine="640" w:firstLineChars="200"/>
        <w:jc w:val="left"/>
        <w:rPr>
          <w:rFonts w:hint="eastAsia" w:ascii="仿宋_GB2312" w:hAnsi="仿宋_GB2312" w:eastAsia="仿宋_GB2312"/>
          <w:color w:val="auto"/>
          <w:sz w:val="32"/>
          <w:szCs w:val="32"/>
          <w:highlight w:val="none"/>
        </w:rPr>
      </w:pPr>
    </w:p>
    <w:p>
      <w:pPr>
        <w:ind w:firstLine="640" w:firstLineChars="200"/>
        <w:jc w:val="left"/>
        <w:rPr>
          <w:rFonts w:hint="eastAsia" w:ascii="仿宋_GB2312" w:hAnsi="仿宋_GB2312" w:eastAsia="仿宋_GB2312"/>
          <w:color w:val="auto"/>
          <w:sz w:val="32"/>
          <w:szCs w:val="32"/>
          <w:highlight w:val="none"/>
        </w:rPr>
      </w:pPr>
    </w:p>
    <w:p>
      <w:pPr>
        <w:ind w:firstLine="640" w:firstLineChars="200"/>
        <w:jc w:val="left"/>
        <w:rPr>
          <w:rFonts w:hint="eastAsia" w:ascii="仿宋_GB2312" w:hAnsi="仿宋_GB2312" w:eastAsia="仿宋_GB2312"/>
          <w:color w:val="auto"/>
          <w:sz w:val="32"/>
          <w:szCs w:val="32"/>
          <w:highlight w:val="none"/>
        </w:rPr>
      </w:pPr>
    </w:p>
    <w:p>
      <w:pPr>
        <w:ind w:firstLine="585"/>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四、一般公共预算财政拨款基本支出决算情况说明</w:t>
      </w:r>
    </w:p>
    <w:p>
      <w:pPr>
        <w:ind w:firstLine="585"/>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本部门2023年度一般公共预算财政拨款基本支出675.64万元，其中：</w:t>
      </w:r>
    </w:p>
    <w:p>
      <w:pPr>
        <w:ind w:firstLine="585"/>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（一）工资福利支出484.57万元，比上年增加71.15万元</w:t>
      </w:r>
      <w:r>
        <w:rPr>
          <w:rFonts w:hint="eastAsia" w:ascii="仿宋_GB2312" w:hAnsi="仿宋_GB2312" w:eastAsia="仿宋_GB2312" w:cs="Times New Roman"/>
          <w:color w:val="auto"/>
          <w:sz w:val="32"/>
          <w:szCs w:val="32"/>
          <w:highlight w:val="none"/>
        </w:rPr>
        <w:t>，增长17.21%</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补发了</w:t>
      </w:r>
      <w:r>
        <w:rPr>
          <w:rFonts w:hint="eastAsia" w:ascii="仿宋_GB2312" w:hAnsi="仿宋_GB2312" w:eastAsia="仿宋_GB2312"/>
          <w:color w:val="auto"/>
          <w:sz w:val="32"/>
          <w:szCs w:val="32"/>
          <w:highlight w:val="none"/>
          <w:lang w:val="en-US" w:eastAsia="zh-CN"/>
        </w:rPr>
        <w:t>2022年考核绩效及人员变动</w:t>
      </w:r>
      <w:r>
        <w:rPr>
          <w:rFonts w:hint="eastAsia" w:ascii="仿宋_GB2312" w:hAnsi="仿宋_GB2312" w:eastAsia="仿宋_GB2312"/>
          <w:color w:val="auto"/>
          <w:sz w:val="32"/>
          <w:szCs w:val="32"/>
          <w:highlight w:val="none"/>
        </w:rPr>
        <w:t>。</w:t>
      </w:r>
    </w:p>
    <w:p>
      <w:pPr>
        <w:numPr>
          <w:ilvl w:val="0"/>
          <w:numId w:val="0"/>
        </w:numPr>
        <w:spacing w:line="600" w:lineRule="exact"/>
        <w:ind w:firstLine="640" w:firstLineChars="200"/>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（二）商品和服务支出186.54万元，比上年减少293.12万元，下降61.11%，</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val="en-US" w:eastAsia="zh-CN"/>
        </w:rPr>
        <w:t>在支出方面，更加厉行节约，坚决过紧日子</w:t>
      </w:r>
      <w:r>
        <w:rPr>
          <w:rFonts w:hint="eastAsia" w:ascii="仿宋_GB2312" w:hAnsi="仿宋_GB2312" w:eastAsia="仿宋_GB2312"/>
          <w:color w:val="auto"/>
          <w:sz w:val="32"/>
          <w:szCs w:val="32"/>
          <w:highlight w:val="none"/>
        </w:rPr>
        <w:t>。</w:t>
      </w:r>
    </w:p>
    <w:p>
      <w:pPr>
        <w:ind w:firstLine="585"/>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（三）对个人和家庭补助支出4.53万元，比上年减少17.23万元，下降79.17%，</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上年有退休人员去世，发放了死亡抚恤金</w:t>
      </w:r>
      <w:r>
        <w:rPr>
          <w:rFonts w:hint="eastAsia" w:ascii="仿宋_GB2312" w:hAnsi="仿宋_GB2312" w:eastAsia="仿宋_GB2312"/>
          <w:color w:val="auto"/>
          <w:sz w:val="32"/>
          <w:szCs w:val="32"/>
          <w:highlight w:val="none"/>
        </w:rPr>
        <w:t>。</w:t>
      </w:r>
    </w:p>
    <w:p>
      <w:pPr>
        <w:ind w:firstLine="585"/>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（四）资本性支出0.00万元，与上年持平。</w:t>
      </w: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五、财政拨款“三公”经费支出决算情况说明</w:t>
      </w:r>
    </w:p>
    <w:p>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本部门2023年度财政拨款“三公”经费支出全年预算数115.50万元，决算数101.71万元，完成全年预算的88.06%</w:t>
      </w:r>
      <w:r>
        <w:rPr>
          <w:rFonts w:hint="eastAsia" w:ascii="仿宋_GB2312" w:hAnsi="仿宋_GB2312" w:eastAsia="仿宋_GB2312"/>
          <w:color w:val="auto"/>
          <w:sz w:val="32"/>
          <w:szCs w:val="32"/>
          <w:highlight w:val="none"/>
          <w:lang w:val="en-US" w:eastAsia="zh-CN"/>
        </w:rPr>
        <w:t>；</w:t>
      </w:r>
      <w:r>
        <w:rPr>
          <w:rFonts w:hint="eastAsia" w:ascii="仿宋_GB2312" w:hAnsi="仿宋_GB2312" w:eastAsia="仿宋_GB2312"/>
          <w:color w:val="auto"/>
          <w:sz w:val="32"/>
          <w:szCs w:val="32"/>
          <w:highlight w:val="none"/>
        </w:rPr>
        <w:t>决算数比上年减少2.69万元，下降2.58%，其中：</w:t>
      </w:r>
    </w:p>
    <w:p>
      <w:pPr>
        <w:ind w:firstLine="640" w:firstLineChars="200"/>
        <w:jc w:val="left"/>
        <w:rPr>
          <w:rFonts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（一）因公出国（境）费全年预算数0.00万元，决算数0.00万元，</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未发生</w:t>
      </w:r>
      <w:r>
        <w:rPr>
          <w:rFonts w:hint="eastAsia" w:ascii="仿宋_GB2312" w:hAnsi="仿宋_GB2312" w:eastAsia="仿宋_GB2312"/>
          <w:color w:val="auto"/>
          <w:sz w:val="32"/>
          <w:szCs w:val="32"/>
          <w:highlight w:val="none"/>
        </w:rPr>
        <w:t>因公出国（境）支出。决算数与上年持平</w:t>
      </w:r>
      <w:r>
        <w:rPr>
          <w:rFonts w:hint="eastAsia" w:ascii="仿宋_GB2312" w:hAnsi="仿宋_GB2312" w:eastAsia="仿宋_GB2312" w:cs="Times New Roman"/>
          <w:color w:val="auto"/>
          <w:sz w:val="32"/>
          <w:szCs w:val="32"/>
          <w:highlight w:val="none"/>
        </w:rPr>
        <w:t>，</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未发生</w:t>
      </w:r>
      <w:r>
        <w:rPr>
          <w:rFonts w:hint="eastAsia" w:ascii="仿宋_GB2312" w:hAnsi="仿宋_GB2312" w:eastAsia="仿宋_GB2312"/>
          <w:color w:val="auto"/>
          <w:sz w:val="32"/>
          <w:szCs w:val="32"/>
          <w:highlight w:val="none"/>
        </w:rPr>
        <w:t>因公出国（境）支出。全年安排因公出国（境）团组0个，累计0人次，主要是：</w:t>
      </w:r>
      <w:r>
        <w:rPr>
          <w:rFonts w:hint="eastAsia" w:ascii="仿宋_GB2312" w:hAnsi="仿宋_GB2312" w:eastAsia="仿宋_GB2312"/>
          <w:color w:val="auto"/>
          <w:sz w:val="32"/>
          <w:szCs w:val="32"/>
          <w:highlight w:val="none"/>
          <w:lang w:eastAsia="zh-CN"/>
        </w:rPr>
        <w:t>未发生</w:t>
      </w:r>
      <w:r>
        <w:rPr>
          <w:rFonts w:hint="eastAsia" w:ascii="仿宋_GB2312" w:hAnsi="仿宋_GB2312" w:eastAsia="仿宋_GB2312"/>
          <w:color w:val="auto"/>
          <w:sz w:val="32"/>
          <w:szCs w:val="32"/>
          <w:highlight w:val="none"/>
        </w:rPr>
        <w:t>因公出国（境）支出。</w:t>
      </w:r>
    </w:p>
    <w:p>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（二）公务用车购置及运行维护费全年预算数9.00万元，决算数8.49万元，其中：</w:t>
      </w:r>
    </w:p>
    <w:p>
      <w:pPr>
        <w:ind w:firstLine="640" w:firstLineChars="20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公务用车购置全年预算数0.00万元，决算数0.00万元，</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本年未购置公务用车</w:t>
      </w:r>
      <w:r>
        <w:rPr>
          <w:rFonts w:hint="eastAsia" w:ascii="仿宋_GB2312" w:hAnsi="仿宋_GB2312" w:eastAsia="仿宋_GB2312"/>
          <w:color w:val="auto"/>
          <w:sz w:val="32"/>
          <w:szCs w:val="32"/>
          <w:highlight w:val="none"/>
        </w:rPr>
        <w:t>。决算数与上年持平,</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_GB2312" w:hAnsi="仿宋_GB2312" w:eastAsia="仿宋_GB2312"/>
          <w:color w:val="auto"/>
          <w:sz w:val="32"/>
          <w:szCs w:val="32"/>
          <w:highlight w:val="none"/>
          <w:lang w:eastAsia="zh-CN"/>
        </w:rPr>
        <w:t>本年未购置公务用车</w:t>
      </w:r>
      <w:r>
        <w:rPr>
          <w:rFonts w:hint="eastAsia" w:ascii="仿宋_GB2312" w:hAnsi="仿宋_GB2312" w:eastAsia="仿宋_GB2312"/>
          <w:color w:val="auto"/>
          <w:sz w:val="32"/>
          <w:szCs w:val="32"/>
          <w:highlight w:val="none"/>
        </w:rPr>
        <w:t>。全年使用财政拨款购置公务用车0辆。</w:t>
      </w:r>
    </w:p>
    <w:p>
      <w:pPr>
        <w:ind w:firstLine="640" w:firstLineChars="200"/>
        <w:jc w:val="left"/>
        <w:rPr>
          <w:rFonts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公务用车运行维护费全年预算数9.00万元，决算数8.49万元，完成全年预算的94.33%，</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eastAsia="zh-CN"/>
        </w:rPr>
        <w:t>严格执行中央八项规定精神，严格厉行节约，</w:t>
      </w:r>
      <w:r>
        <w:rPr>
          <w:rFonts w:hint="eastAsia" w:ascii="仿宋" w:hAnsi="仿宋" w:eastAsia="仿宋"/>
          <w:color w:val="auto"/>
          <w:sz w:val="30"/>
          <w:szCs w:val="30"/>
          <w:highlight w:val="none"/>
          <w:shd w:val="clear" w:color="auto" w:fill="auto"/>
          <w:lang w:val="en-US" w:eastAsia="zh-CN"/>
        </w:rPr>
        <w:t>坚决过紧日子</w:t>
      </w:r>
      <w:r>
        <w:rPr>
          <w:rFonts w:hint="eastAsia" w:ascii="仿宋_GB2312" w:hAnsi="仿宋_GB2312" w:eastAsia="仿宋_GB2312"/>
          <w:color w:val="auto"/>
          <w:sz w:val="32"/>
          <w:szCs w:val="32"/>
          <w:highlight w:val="none"/>
        </w:rPr>
        <w:t>。决算数比上年增加0.64万元,</w:t>
      </w:r>
      <w:r>
        <w:rPr>
          <w:rFonts w:hint="eastAsia" w:ascii="仿宋_GB2312" w:hAnsi="仿宋_GB2312" w:eastAsia="仿宋_GB2312" w:cs="Times New Roman"/>
          <w:color w:val="auto"/>
          <w:sz w:val="32"/>
          <w:szCs w:val="32"/>
          <w:highlight w:val="none"/>
        </w:rPr>
        <w:t>增长8.19%，</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lang w:eastAsia="zh-CN"/>
        </w:rPr>
        <w:t>应急保障车辆因各项应急保障工作使用频率增加</w:t>
      </w:r>
      <w:r>
        <w:rPr>
          <w:rFonts w:hint="eastAsia" w:ascii="仿宋_GB2312" w:hAnsi="仿宋_GB2312" w:eastAsia="仿宋_GB2312"/>
          <w:color w:val="auto"/>
          <w:sz w:val="32"/>
          <w:szCs w:val="32"/>
          <w:highlight w:val="none"/>
        </w:rPr>
        <w:t>。年末使用财政拨款负担费用的公务用车保有量2辆。</w:t>
      </w:r>
    </w:p>
    <w:p>
      <w:pPr>
        <w:ind w:firstLine="640" w:firstLineChars="200"/>
        <w:jc w:val="left"/>
        <w:rPr>
          <w:rFonts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（三）公务接待费全年预算数106.50万元，决算数93.22万元，完成全年预算的87.53%，</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eastAsia="zh-CN"/>
        </w:rPr>
        <w:t>严格执行中央八项规定精神，严格厉行节约</w:t>
      </w:r>
      <w:r>
        <w:rPr>
          <w:rFonts w:hint="eastAsia" w:ascii="仿宋_GB2312" w:hAnsi="仿宋_GB2312" w:eastAsia="仿宋_GB2312"/>
          <w:color w:val="auto"/>
          <w:sz w:val="32"/>
          <w:szCs w:val="32"/>
          <w:highlight w:val="none"/>
        </w:rPr>
        <w:t>。决算数比上年减少3.33万元，下降3.45%,</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eastAsia="zh-CN"/>
        </w:rPr>
        <w:t>严格执行中央八项规定精神，严格厉行节约</w:t>
      </w:r>
      <w:r>
        <w:rPr>
          <w:rFonts w:hint="eastAsia" w:ascii="仿宋_GB2312" w:hAnsi="仿宋_GB2312" w:eastAsia="仿宋_GB2312"/>
          <w:color w:val="auto"/>
          <w:sz w:val="32"/>
          <w:szCs w:val="32"/>
          <w:highlight w:val="none"/>
        </w:rPr>
        <w:t>。全年国内公务接待936批，累计接待6960人次，主要是：</w:t>
      </w:r>
      <w:r>
        <w:rPr>
          <w:rFonts w:hint="eastAsia" w:ascii="仿宋_GB2312" w:hAnsi="仿宋_GB2312" w:eastAsia="仿宋_GB2312"/>
          <w:color w:val="auto"/>
          <w:sz w:val="32"/>
          <w:szCs w:val="32"/>
          <w:highlight w:val="none"/>
          <w:lang w:eastAsia="zh-CN"/>
        </w:rPr>
        <w:t>接待招商引资开支及部分公务接待</w:t>
      </w:r>
      <w:r>
        <w:rPr>
          <w:rFonts w:hint="eastAsia" w:ascii="仿宋_GB2312" w:hAnsi="仿宋_GB2312" w:eastAsia="仿宋_GB2312"/>
          <w:color w:val="auto"/>
          <w:sz w:val="32"/>
          <w:szCs w:val="32"/>
          <w:highlight w:val="none"/>
        </w:rPr>
        <w:t>。</w:t>
      </w:r>
    </w:p>
    <w:p>
      <w:pPr>
        <w:ind w:firstLine="640" w:firstLineChars="200"/>
        <w:jc w:val="left"/>
        <w:rPr>
          <w:rFonts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w:t>
      </w:r>
    </w:p>
    <w:p>
      <w:pPr>
        <w:ind w:firstLine="640" w:firstLineChars="200"/>
        <w:jc w:val="left"/>
        <w:rPr>
          <w:rFonts w:hint="eastAsia" w:ascii="仿宋_GB2312" w:hAnsi="仿宋_GB2312" w:eastAsia="仿宋_GB2312" w:cs="Times New Roman"/>
          <w:color w:val="auto"/>
          <w:sz w:val="32"/>
          <w:szCs w:val="32"/>
          <w:highlight w:val="none"/>
        </w:rPr>
      </w:pP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六、机关运行经费支出情况说明</w:t>
      </w:r>
    </w:p>
    <w:p>
      <w:pPr>
        <w:ind w:firstLine="630"/>
        <w:jc w:val="left"/>
        <w:rPr>
          <w:rFonts w:hint="eastAsia" w:ascii="仿宋_GB2312" w:hAnsi="仿宋_GB2312" w:eastAsia="仿宋_GB2312"/>
          <w:color w:val="auto"/>
          <w:sz w:val="32"/>
          <w:szCs w:val="32"/>
          <w:highlight w:val="none"/>
        </w:rPr>
      </w:pPr>
      <w:r>
        <w:rPr>
          <w:rFonts w:hint="eastAsia" w:ascii="仿宋_GB2312" w:hAnsi="仿宋_GB2312" w:eastAsia="仿宋_GB2312"/>
          <w:color w:val="auto"/>
          <w:sz w:val="32"/>
          <w:szCs w:val="32"/>
          <w:highlight w:val="none"/>
        </w:rPr>
        <w:t>本部门2023年度机关运行经费支出186.54万元，决算数比上年减少293.12万元，下降61.11%，</w:t>
      </w:r>
      <w:r>
        <w:rPr>
          <w:rFonts w:hint="eastAsia" w:ascii="仿宋_GB2312" w:hAnsi="仿宋_GB2312" w:eastAsia="仿宋_GB2312"/>
          <w:color w:val="auto"/>
          <w:sz w:val="32"/>
          <w:szCs w:val="32"/>
          <w:highlight w:val="none"/>
          <w:lang w:eastAsia="zh-CN"/>
        </w:rPr>
        <w:t>主要原因</w:t>
      </w:r>
      <w:r>
        <w:rPr>
          <w:rFonts w:hint="eastAsia" w:ascii="仿宋_GB2312" w:hAnsi="仿宋_GB2312" w:eastAsia="仿宋_GB2312"/>
          <w:color w:val="auto"/>
          <w:sz w:val="32"/>
          <w:szCs w:val="32"/>
          <w:highlight w:val="none"/>
        </w:rPr>
        <w:t>：</w:t>
      </w:r>
      <w:r>
        <w:rPr>
          <w:rFonts w:hint="eastAsia" w:ascii="仿宋" w:hAnsi="仿宋" w:eastAsia="仿宋"/>
          <w:color w:val="auto"/>
          <w:sz w:val="30"/>
          <w:szCs w:val="30"/>
          <w:highlight w:val="none"/>
          <w:shd w:val="clear" w:color="auto" w:fill="auto"/>
          <w:lang w:eastAsia="zh-CN"/>
        </w:rPr>
        <w:t>严格执行中央八项规定精神，严格厉行节约，</w:t>
      </w:r>
      <w:r>
        <w:rPr>
          <w:rFonts w:hint="eastAsia" w:ascii="仿宋" w:hAnsi="仿宋" w:eastAsia="仿宋"/>
          <w:color w:val="auto"/>
          <w:sz w:val="30"/>
          <w:szCs w:val="30"/>
          <w:highlight w:val="none"/>
          <w:shd w:val="clear" w:color="auto" w:fill="auto"/>
          <w:lang w:val="en-US" w:eastAsia="zh-CN"/>
        </w:rPr>
        <w:t>坚决过紧日子。</w:t>
      </w:r>
    </w:p>
    <w:p>
      <w:pPr>
        <w:ind w:firstLine="640" w:firstLineChars="200"/>
        <w:jc w:val="left"/>
        <w:outlineLvl w:val="1"/>
        <w:rPr>
          <w:rFonts w:ascii="黑体" w:hAnsi="黑体" w:eastAsia="黑体"/>
          <w:color w:val="auto"/>
          <w:sz w:val="32"/>
          <w:szCs w:val="32"/>
          <w:highlight w:val="none"/>
        </w:rPr>
      </w:pPr>
      <w:r>
        <w:rPr>
          <w:rFonts w:hint="eastAsia" w:ascii="黑体" w:hAnsi="黑体" w:eastAsia="黑体"/>
          <w:color w:val="auto"/>
          <w:sz w:val="32"/>
          <w:szCs w:val="32"/>
          <w:highlight w:val="none"/>
        </w:rPr>
        <w:t>七、政府采购支出情况说明</w:t>
      </w:r>
    </w:p>
    <w:p>
      <w:pPr>
        <w:pStyle w:val="16"/>
        <w:spacing w:line="600" w:lineRule="atLeast"/>
        <w:ind w:firstLine="600"/>
        <w:rPr>
          <w:rFonts w:hint="eastAsia" w:ascii="仿宋_GB2312" w:hAnsi="仿宋_GB2312" w:eastAsia="仿宋_GB2312"/>
          <w:color w:val="auto"/>
          <w:sz w:val="32"/>
          <w:szCs w:val="32"/>
          <w:highlight w:val="none"/>
        </w:rPr>
      </w:pPr>
      <w:r>
        <w:rPr>
          <w:rFonts w:hint="eastAsia" w:ascii="仿宋_GB2312" w:hAnsi="仿宋_GB2312" w:eastAsia="仿宋_GB2312"/>
          <w:color w:val="auto"/>
          <w:kern w:val="2"/>
          <w:sz w:val="32"/>
          <w:szCs w:val="32"/>
          <w:highlight w:val="none"/>
        </w:rPr>
        <w:t>本部门2023年度政府采购支出总额0.57万元，其中：政府采购货物支出0.57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highlight w:val="none"/>
        </w:rPr>
        <w:t>货物采购授予中小企业合同金额占货物支出金额的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%，工程采购授予中小企业合同金额占工程支出金额的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%，服务采购授予中小企业合同金额占服务支出金额的</w:t>
      </w:r>
      <w:r>
        <w:rPr>
          <w:rFonts w:hint="eastAsia" w:ascii="仿宋_GB2312" w:hAnsi="仿宋_GB2312" w:eastAsia="仿宋_GB2312"/>
          <w:color w:val="auto"/>
          <w:sz w:val="32"/>
          <w:szCs w:val="32"/>
          <w:highlight w:val="none"/>
          <w:lang w:val="en-US" w:eastAsia="zh-CN"/>
        </w:rPr>
        <w:t>100</w:t>
      </w:r>
      <w:r>
        <w:rPr>
          <w:rFonts w:hint="eastAsia" w:ascii="仿宋_GB2312" w:hAnsi="仿宋_GB2312" w:eastAsia="仿宋_GB2312"/>
          <w:color w:val="auto"/>
          <w:sz w:val="32"/>
          <w:szCs w:val="32"/>
          <w:highlight w:val="none"/>
        </w:rPr>
        <w:t>%。</w:t>
      </w: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八、国有资产占用情况说明</w:t>
      </w:r>
    </w:p>
    <w:p>
      <w:pPr>
        <w:ind w:firstLine="630"/>
        <w:jc w:val="left"/>
        <w:rPr>
          <w:rFonts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截止2023年12月31日，本部门共有车辆</w:t>
      </w:r>
      <w:r>
        <w:rPr>
          <w:rFonts w:hint="eastAsia" w:ascii="仿宋_GB2312" w:hAnsi="仿宋_GB2312" w:eastAsia="仿宋_GB2312"/>
          <w:color w:val="auto"/>
          <w:sz w:val="32"/>
          <w:szCs w:val="32"/>
          <w:highlight w:val="none"/>
        </w:rPr>
        <w:t>2</w:t>
      </w:r>
      <w:r>
        <w:rPr>
          <w:rFonts w:hint="eastAsia" w:ascii="仿宋_GB2312" w:hAnsi="仿宋_GB2312" w:eastAsia="仿宋_GB2312"/>
          <w:color w:val="auto"/>
          <w:kern w:val="0"/>
          <w:sz w:val="32"/>
          <w:szCs w:val="32"/>
          <w:highlight w:val="none"/>
        </w:rPr>
        <w:t>辆（台），其中：副部（省）级及以上领导用车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辆、主要负责人用车</w:t>
      </w:r>
      <w:r>
        <w:rPr>
          <w:rFonts w:hint="eastAsia" w:ascii="仿宋_GB2312" w:hAnsi="仿宋_GB2312" w:eastAsia="仿宋_GB2312"/>
          <w:color w:val="auto"/>
          <w:sz w:val="32"/>
          <w:szCs w:val="32"/>
          <w:highlight w:val="none"/>
        </w:rPr>
        <w:t>1</w:t>
      </w:r>
      <w:r>
        <w:rPr>
          <w:rFonts w:hint="eastAsia" w:ascii="仿宋_GB2312" w:hAnsi="仿宋_GB2312" w:eastAsia="仿宋_GB2312"/>
          <w:color w:val="auto"/>
          <w:kern w:val="0"/>
          <w:sz w:val="32"/>
          <w:szCs w:val="32"/>
          <w:highlight w:val="none"/>
        </w:rPr>
        <w:t>辆、机要通信用车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辆、应急保障用车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辆、执法执勤用车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辆、特种专业技术用车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辆、离退休干部服务用车</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辆、其他用车</w:t>
      </w:r>
      <w:r>
        <w:rPr>
          <w:rFonts w:hint="eastAsia" w:ascii="仿宋_GB2312" w:hAnsi="仿宋_GB2312" w:eastAsia="仿宋_GB2312"/>
          <w:color w:val="auto"/>
          <w:sz w:val="32"/>
          <w:szCs w:val="32"/>
          <w:highlight w:val="none"/>
        </w:rPr>
        <w:t>1</w:t>
      </w:r>
      <w:r>
        <w:rPr>
          <w:rFonts w:hint="eastAsia" w:ascii="仿宋_GB2312" w:hAnsi="仿宋_GB2312" w:eastAsia="仿宋_GB2312"/>
          <w:color w:val="auto"/>
          <w:kern w:val="0"/>
          <w:sz w:val="32"/>
          <w:szCs w:val="32"/>
          <w:highlight w:val="none"/>
        </w:rPr>
        <w:t>辆</w:t>
      </w:r>
      <w:r>
        <w:rPr>
          <w:rFonts w:hint="eastAsia" w:ascii="仿宋_GB2312" w:hAnsi="仿宋_GB2312" w:eastAsia="仿宋_GB2312" w:cs="Times New Roman"/>
          <w:color w:val="auto"/>
          <w:sz w:val="32"/>
          <w:szCs w:val="32"/>
          <w:highlight w:val="none"/>
        </w:rPr>
        <w:t>，其他用车主要是用于（此处请补充内容）</w:t>
      </w:r>
      <w:r>
        <w:rPr>
          <w:rFonts w:hint="eastAsia" w:ascii="仿宋_GB2312" w:hAnsi="仿宋_GB2312" w:eastAsia="仿宋_GB2312"/>
          <w:color w:val="auto"/>
          <w:kern w:val="0"/>
          <w:sz w:val="32"/>
          <w:szCs w:val="32"/>
          <w:highlight w:val="none"/>
        </w:rPr>
        <w:t>。本部门单价100万元（含）以上设备（不含车辆）</w:t>
      </w:r>
      <w:r>
        <w:rPr>
          <w:rFonts w:hint="eastAsia" w:ascii="仿宋_GB2312" w:hAnsi="仿宋_GB2312" w:eastAsia="仿宋_GB2312"/>
          <w:color w:val="auto"/>
          <w:sz w:val="32"/>
          <w:szCs w:val="32"/>
          <w:highlight w:val="none"/>
        </w:rPr>
        <w:t>0</w:t>
      </w:r>
      <w:r>
        <w:rPr>
          <w:rFonts w:hint="eastAsia" w:ascii="仿宋_GB2312" w:hAnsi="仿宋_GB2312" w:eastAsia="仿宋_GB2312"/>
          <w:color w:val="auto"/>
          <w:kern w:val="0"/>
          <w:sz w:val="32"/>
          <w:szCs w:val="32"/>
          <w:highlight w:val="none"/>
        </w:rPr>
        <w:t>台（套）。</w:t>
      </w:r>
    </w:p>
    <w:p>
      <w:pPr>
        <w:ind w:firstLine="630"/>
        <w:jc w:val="left"/>
        <w:outlineLvl w:val="1"/>
        <w:rPr>
          <w:rFonts w:hint="eastAsia" w:ascii="黑体" w:hAnsi="黑体" w:eastAsia="黑体"/>
          <w:color w:val="auto"/>
          <w:sz w:val="32"/>
          <w:szCs w:val="32"/>
          <w:highlight w:val="none"/>
        </w:rPr>
      </w:pPr>
      <w:r>
        <w:rPr>
          <w:rFonts w:hint="eastAsia" w:ascii="黑体" w:hAnsi="黑体" w:eastAsia="黑体"/>
          <w:color w:val="auto"/>
          <w:sz w:val="32"/>
          <w:szCs w:val="32"/>
          <w:highlight w:val="none"/>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t>根据预算绩效管理要求，我部门组织对纳入2023年度部门预算范围的二级项目</w:t>
      </w: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个全面开展绩效自评，共涉及资金</w:t>
      </w:r>
      <w:r>
        <w:rPr>
          <w:rFonts w:hint="eastAsia" w:ascii="仿宋_GB2312" w:hAnsi="仿宋_GB2312" w:eastAsia="仿宋_GB2312" w:cs="仿宋_GB2312"/>
          <w:color w:val="auto"/>
          <w:kern w:val="0"/>
          <w:sz w:val="32"/>
          <w:szCs w:val="32"/>
          <w:highlight w:val="none"/>
          <w:lang w:val="en-US" w:eastAsia="zh-CN"/>
        </w:rPr>
        <w:t>139.79</w:t>
      </w:r>
      <w:r>
        <w:rPr>
          <w:rFonts w:hint="eastAsia" w:ascii="仿宋_GB2312" w:hAnsi="仿宋_GB2312" w:eastAsia="仿宋_GB2312" w:cs="仿宋_GB2312"/>
          <w:color w:val="auto"/>
          <w:kern w:val="0"/>
          <w:sz w:val="32"/>
          <w:szCs w:val="32"/>
          <w:highlight w:val="none"/>
        </w:rPr>
        <w:t>万元，占项目支出总额的</w:t>
      </w:r>
      <w:r>
        <w:rPr>
          <w:rFonts w:hint="eastAsia" w:ascii="仿宋_GB2312" w:hAnsi="仿宋_GB2312" w:eastAsia="仿宋_GB2312" w:cs="仿宋_GB2312"/>
          <w:color w:val="auto"/>
          <w:kern w:val="0"/>
          <w:sz w:val="32"/>
          <w:szCs w:val="32"/>
          <w:highlight w:val="none"/>
          <w:lang w:val="en-US" w:eastAsia="zh-CN"/>
        </w:rPr>
        <w:t>30.3</w:t>
      </w:r>
      <w:r>
        <w:rPr>
          <w:rFonts w:hint="eastAsia" w:ascii="仿宋_GB2312" w:hAnsi="仿宋_GB2312" w:eastAsia="仿宋_GB2312" w:cs="仿宋_GB2312"/>
          <w:color w:val="auto"/>
          <w:kern w:val="0"/>
          <w:sz w:val="32"/>
          <w:szCs w:val="32"/>
          <w:highlight w:val="none"/>
        </w:rPr>
        <w:t>%。其中，项目评价结果为“优”</w:t>
      </w:r>
      <w:r>
        <w:rPr>
          <w:rFonts w:hint="eastAsia" w:ascii="仿宋_GB2312" w:hAnsi="仿宋_GB2312" w:eastAsia="仿宋_GB2312" w:cs="仿宋_GB2312"/>
          <w:color w:val="auto"/>
          <w:kern w:val="0"/>
          <w:sz w:val="32"/>
          <w:szCs w:val="32"/>
          <w:highlight w:val="none"/>
          <w:lang w:eastAsia="zh-CN"/>
        </w:rPr>
        <w:t>。</w:t>
      </w:r>
    </w:p>
    <w:p>
      <w:pPr>
        <w:autoSpaceDE w:val="0"/>
        <w:autoSpaceDN w:val="0"/>
        <w:adjustRightInd w:val="0"/>
        <w:spacing w:line="36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组织对</w:t>
      </w: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rPr>
        <w:t>个项目开展了部门评价，</w:t>
      </w:r>
      <w:r>
        <w:rPr>
          <w:rFonts w:hint="eastAsia" w:ascii="仿宋_GB2312" w:hAnsi="仿宋_GB2312" w:eastAsia="仿宋_GB2312" w:cs="仿宋_GB2312"/>
          <w:color w:val="auto"/>
          <w:kern w:val="0"/>
          <w:sz w:val="32"/>
          <w:szCs w:val="32"/>
          <w:highlight w:val="none"/>
          <w:lang w:val="en-US" w:eastAsia="zh-CN"/>
        </w:rPr>
        <w:t>分别为：业务费和政策法规咨询费</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涉及一般公共预算支出</w:t>
      </w:r>
      <w:r>
        <w:rPr>
          <w:rFonts w:hint="eastAsia" w:ascii="仿宋_GB2312" w:hAnsi="仿宋_GB2312" w:eastAsia="仿宋_GB2312" w:cs="仿宋_GB2312"/>
          <w:color w:val="auto"/>
          <w:kern w:val="0"/>
          <w:sz w:val="32"/>
          <w:szCs w:val="32"/>
          <w:highlight w:val="none"/>
          <w:lang w:val="en-US" w:eastAsia="zh-CN"/>
        </w:rPr>
        <w:t>159.79</w:t>
      </w:r>
      <w:r>
        <w:rPr>
          <w:rFonts w:hint="eastAsia" w:ascii="仿宋_GB2312" w:hAnsi="仿宋_GB2312" w:eastAsia="仿宋_GB2312" w:cs="仿宋_GB2312"/>
          <w:color w:val="auto"/>
          <w:kern w:val="0"/>
          <w:sz w:val="32"/>
          <w:szCs w:val="32"/>
          <w:highlight w:val="none"/>
        </w:rPr>
        <w:t>万元，政府性基金预算支出</w:t>
      </w:r>
      <w:r>
        <w:rPr>
          <w:rFonts w:hint="eastAsia" w:ascii="仿宋_GB2312" w:hAnsi="仿宋_GB2312" w:eastAsia="仿宋_GB2312" w:cs="仿宋_GB2312"/>
          <w:color w:val="auto"/>
          <w:kern w:val="0"/>
          <w:sz w:val="32"/>
          <w:szCs w:val="32"/>
          <w:highlight w:val="none"/>
          <w:lang w:val="en-US" w:eastAsia="zh-CN"/>
        </w:rPr>
        <w:t>0</w:t>
      </w:r>
      <w:r>
        <w:rPr>
          <w:rFonts w:hint="eastAsia" w:ascii="仿宋_GB2312" w:hAnsi="仿宋_GB2312" w:eastAsia="仿宋_GB2312" w:cs="仿宋_GB2312"/>
          <w:color w:val="auto"/>
          <w:kern w:val="0"/>
          <w:sz w:val="32"/>
          <w:szCs w:val="32"/>
          <w:highlight w:val="none"/>
        </w:rPr>
        <w:t>万元，国有资本预算支出</w:t>
      </w:r>
      <w:r>
        <w:rPr>
          <w:rFonts w:hint="eastAsia" w:ascii="仿宋_GB2312" w:hAnsi="仿宋_GB2312" w:eastAsia="仿宋_GB2312" w:cs="仿宋_GB2312"/>
          <w:color w:val="auto"/>
          <w:kern w:val="0"/>
          <w:sz w:val="32"/>
          <w:szCs w:val="32"/>
          <w:highlight w:val="none"/>
          <w:lang w:val="en-US" w:eastAsia="zh-CN"/>
        </w:rPr>
        <w:t>0</w:t>
      </w:r>
      <w:r>
        <w:rPr>
          <w:rFonts w:hint="eastAsia" w:ascii="仿宋_GB2312" w:hAnsi="仿宋_GB2312" w:eastAsia="仿宋_GB2312" w:cs="仿宋_GB2312"/>
          <w:color w:val="auto"/>
          <w:kern w:val="0"/>
          <w:sz w:val="32"/>
          <w:szCs w:val="32"/>
          <w:highlight w:val="none"/>
        </w:rPr>
        <w:t>万元。从评价情况</w:t>
      </w:r>
      <w:r>
        <w:rPr>
          <w:rFonts w:hint="eastAsia" w:ascii="仿宋_GB2312" w:hAnsi="仿宋_GB2312" w:eastAsia="仿宋_GB2312" w:cs="仿宋_GB2312"/>
          <w:color w:val="auto"/>
          <w:kern w:val="0"/>
          <w:sz w:val="32"/>
          <w:szCs w:val="32"/>
          <w:highlight w:val="none"/>
          <w:lang w:val="en-US" w:eastAsia="zh-CN"/>
        </w:rPr>
        <w:t>看</w:t>
      </w:r>
      <w:r>
        <w:rPr>
          <w:rFonts w:hint="eastAsia" w:ascii="仿宋_GB2312" w:hAnsi="仿宋_GB2312" w:eastAsia="仿宋_GB2312" w:cs="仿宋_GB2312"/>
          <w:color w:val="auto"/>
          <w:kern w:val="0"/>
          <w:sz w:val="32"/>
          <w:szCs w:val="32"/>
          <w:highlight w:val="none"/>
        </w:rPr>
        <w:t>，</w:t>
      </w:r>
      <w:r>
        <w:rPr>
          <w:rFonts w:hint="eastAsia" w:ascii="仿宋" w:hAnsi="仿宋" w:eastAsia="仿宋" w:cs="仿宋_GB2312"/>
          <w:color w:val="auto"/>
          <w:kern w:val="0"/>
          <w:sz w:val="32"/>
          <w:szCs w:val="32"/>
          <w:highlight w:val="none"/>
        </w:rPr>
        <w:t>从评价情况来看，</w:t>
      </w:r>
      <w:r>
        <w:rPr>
          <w:rFonts w:hint="eastAsia" w:ascii="仿宋" w:hAnsi="仿宋" w:eastAsia="仿宋" w:cs="仿宋_GB2312"/>
          <w:color w:val="auto"/>
          <w:kern w:val="0"/>
          <w:sz w:val="32"/>
          <w:szCs w:val="32"/>
          <w:highlight w:val="none"/>
          <w:shd w:val="clear" w:color="auto" w:fill="auto"/>
        </w:rPr>
        <w:t>部门能够积极履行职责职能，能够严格按照财经法律法规及相关制度，对资金进行管理和使用，</w:t>
      </w:r>
      <w:r>
        <w:rPr>
          <w:rFonts w:hint="eastAsia" w:ascii="仿宋" w:hAnsi="仿宋" w:eastAsia="仿宋" w:cs="仿宋_GB2312"/>
          <w:color w:val="auto"/>
          <w:kern w:val="0"/>
          <w:sz w:val="32"/>
          <w:szCs w:val="32"/>
          <w:highlight w:val="none"/>
          <w:shd w:val="clear" w:color="auto" w:fill="auto"/>
          <w:lang w:eastAsia="zh-CN"/>
        </w:rPr>
        <w:t>强化资金效能，确保资金绩效</w:t>
      </w:r>
      <w:r>
        <w:rPr>
          <w:rFonts w:hint="eastAsia" w:ascii="仿宋" w:hAnsi="仿宋" w:eastAsia="仿宋" w:cs="仿宋_GB2312"/>
          <w:color w:val="auto"/>
          <w:kern w:val="0"/>
          <w:sz w:val="32"/>
          <w:szCs w:val="32"/>
          <w:highlight w:val="none"/>
        </w:rPr>
        <w:t>。</w:t>
      </w:r>
    </w:p>
    <w:p>
      <w:pPr>
        <w:autoSpaceDE w:val="0"/>
        <w:autoSpaceDN w:val="0"/>
        <w:adjustRightInd w:val="0"/>
        <w:spacing w:line="360" w:lineRule="auto"/>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组织开展部门整体支出绩效评价，涉及一般公共预算支出</w:t>
      </w:r>
      <w:r>
        <w:rPr>
          <w:rFonts w:hint="eastAsia" w:ascii="仿宋_GB2312" w:hAnsi="仿宋_GB2312" w:eastAsia="仿宋_GB2312" w:cs="仿宋_GB2312"/>
          <w:color w:val="auto"/>
          <w:kern w:val="0"/>
          <w:sz w:val="32"/>
          <w:szCs w:val="32"/>
          <w:highlight w:val="none"/>
          <w:lang w:val="en-US" w:eastAsia="zh-CN"/>
        </w:rPr>
        <w:t>914.84</w:t>
      </w:r>
      <w:r>
        <w:rPr>
          <w:rFonts w:hint="eastAsia" w:ascii="仿宋_GB2312" w:hAnsi="仿宋_GB2312" w:eastAsia="仿宋_GB2312" w:cs="仿宋_GB2312"/>
          <w:color w:val="auto"/>
          <w:kern w:val="0"/>
          <w:sz w:val="32"/>
          <w:szCs w:val="32"/>
          <w:highlight w:val="none"/>
        </w:rPr>
        <w:t>万元，政府性基金预算支出</w:t>
      </w:r>
      <w:r>
        <w:rPr>
          <w:rFonts w:hint="eastAsia" w:ascii="仿宋_GB2312" w:hAnsi="仿宋_GB2312" w:eastAsia="仿宋_GB2312" w:cs="仿宋_GB2312"/>
          <w:color w:val="auto"/>
          <w:kern w:val="0"/>
          <w:sz w:val="32"/>
          <w:szCs w:val="32"/>
          <w:highlight w:val="none"/>
          <w:lang w:val="en-US" w:eastAsia="zh-CN"/>
        </w:rPr>
        <w:t>0</w:t>
      </w:r>
      <w:r>
        <w:rPr>
          <w:rFonts w:hint="eastAsia" w:ascii="仿宋_GB2312" w:hAnsi="仿宋_GB2312" w:eastAsia="仿宋_GB2312" w:cs="仿宋_GB2312"/>
          <w:color w:val="auto"/>
          <w:kern w:val="0"/>
          <w:sz w:val="32"/>
          <w:szCs w:val="32"/>
          <w:highlight w:val="none"/>
        </w:rPr>
        <w:t>万元</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评价结果为“</w:t>
      </w:r>
      <w:r>
        <w:rPr>
          <w:rFonts w:hint="eastAsia" w:ascii="仿宋_GB2312" w:hAnsi="仿宋_GB2312" w:eastAsia="仿宋_GB2312" w:cs="仿宋_GB2312"/>
          <w:color w:val="auto"/>
          <w:kern w:val="0"/>
          <w:sz w:val="32"/>
          <w:szCs w:val="32"/>
          <w:highlight w:val="none"/>
          <w:lang w:val="en-US" w:eastAsia="zh-CN"/>
        </w:rPr>
        <w:t>优</w:t>
      </w:r>
      <w:r>
        <w:rPr>
          <w:rFonts w:hint="eastAsia" w:ascii="仿宋_GB2312" w:hAnsi="仿宋_GB2312" w:eastAsia="仿宋_GB2312" w:cs="仿宋_GB2312"/>
          <w:color w:val="auto"/>
          <w:kern w:val="0"/>
          <w:sz w:val="32"/>
          <w:szCs w:val="32"/>
          <w:highlight w:val="none"/>
        </w:rPr>
        <w:t>”。从评价情况看，</w:t>
      </w:r>
      <w:r>
        <w:rPr>
          <w:rFonts w:hint="eastAsia" w:ascii="仿宋" w:hAnsi="仿宋" w:eastAsia="仿宋" w:cs="仿宋_GB2312"/>
          <w:color w:val="auto"/>
          <w:kern w:val="0"/>
          <w:sz w:val="32"/>
          <w:szCs w:val="32"/>
          <w:highlight w:val="none"/>
          <w:shd w:val="clear" w:color="auto" w:fill="auto"/>
        </w:rPr>
        <w:t>部门能够积极履行职责职能，能够严格按照财经法律法规及相关制度，对资金进行管理和使用，</w:t>
      </w:r>
      <w:r>
        <w:rPr>
          <w:rFonts w:hint="eastAsia" w:ascii="仿宋" w:hAnsi="仿宋" w:eastAsia="仿宋" w:cs="仿宋_GB2312"/>
          <w:color w:val="auto"/>
          <w:kern w:val="0"/>
          <w:sz w:val="32"/>
          <w:szCs w:val="32"/>
          <w:highlight w:val="none"/>
          <w:shd w:val="clear" w:color="auto" w:fill="auto"/>
          <w:lang w:eastAsia="zh-CN"/>
        </w:rPr>
        <w:t>强化资金效能，确保资金绩效。</w:t>
      </w:r>
    </w:p>
    <w:p>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（二）部门决算中项目绩效自评情况。</w:t>
      </w:r>
    </w:p>
    <w:p>
      <w:pPr>
        <w:autoSpaceDE w:val="0"/>
        <w:autoSpaceDN w:val="0"/>
        <w:adjustRightInd w:val="0"/>
        <w:spacing w:line="360" w:lineRule="auto"/>
        <w:ind w:firstLine="585"/>
        <w:jc w:val="left"/>
        <w:rPr>
          <w:rFonts w:hint="eastAsia" w:ascii="仿宋" w:hAnsi="仿宋" w:eastAsia="仿宋" w:cs="仿宋_GB2312"/>
          <w:color w:val="auto"/>
          <w:kern w:val="0"/>
          <w:sz w:val="32"/>
          <w:szCs w:val="32"/>
          <w:highlight w:val="none"/>
        </w:rPr>
      </w:pPr>
      <w:r>
        <w:rPr>
          <w:rFonts w:hint="eastAsia" w:ascii="仿宋" w:hAnsi="仿宋" w:eastAsia="仿宋" w:cs="仿宋_GB2312"/>
          <w:color w:val="auto"/>
          <w:kern w:val="0"/>
          <w:sz w:val="32"/>
          <w:szCs w:val="32"/>
          <w:highlight w:val="none"/>
        </w:rPr>
        <w:t>我部门今年在部门决算中反映</w:t>
      </w:r>
      <w:r>
        <w:rPr>
          <w:rFonts w:hint="eastAsia" w:ascii="仿宋" w:hAnsi="仿宋" w:eastAsia="仿宋" w:cs="仿宋_GB2312"/>
          <w:color w:val="auto"/>
          <w:kern w:val="0"/>
          <w:sz w:val="32"/>
          <w:szCs w:val="32"/>
          <w:highlight w:val="none"/>
          <w:lang w:eastAsia="zh-CN"/>
        </w:rPr>
        <w:t>业务费</w:t>
      </w:r>
      <w:r>
        <w:rPr>
          <w:rFonts w:hint="eastAsia" w:ascii="仿宋" w:hAnsi="仿宋" w:eastAsia="仿宋" w:cs="仿宋_GB2312"/>
          <w:color w:val="auto"/>
          <w:kern w:val="0"/>
          <w:sz w:val="32"/>
          <w:szCs w:val="32"/>
          <w:highlight w:val="none"/>
        </w:rPr>
        <w:t>项目绩效自评结果。</w:t>
      </w:r>
    </w:p>
    <w:p>
      <w:pPr>
        <w:autoSpaceDE w:val="0"/>
        <w:autoSpaceDN w:val="0"/>
        <w:adjustRightInd w:val="0"/>
        <w:spacing w:line="360" w:lineRule="auto"/>
        <w:ind w:firstLine="585"/>
        <w:jc w:val="left"/>
        <w:rPr>
          <w:rFonts w:hint="eastAsia" w:ascii="仿宋" w:hAnsi="仿宋" w:eastAsia="仿宋" w:cs="仿宋_GB2312"/>
          <w:color w:val="auto"/>
          <w:kern w:val="0"/>
          <w:sz w:val="32"/>
          <w:szCs w:val="32"/>
          <w:highlight w:val="none"/>
          <w:shd w:val="clear" w:color="auto" w:fill="auto"/>
        </w:rPr>
      </w:pPr>
      <w:r>
        <w:rPr>
          <w:rFonts w:hint="eastAsia" w:ascii="仿宋" w:hAnsi="仿宋" w:eastAsia="仿宋" w:cs="仿宋_GB2312"/>
          <w:color w:val="auto"/>
          <w:kern w:val="0"/>
          <w:sz w:val="32"/>
          <w:szCs w:val="32"/>
          <w:highlight w:val="none"/>
          <w:shd w:val="clear" w:color="auto" w:fill="auto"/>
          <w:lang w:eastAsia="zh-CN"/>
        </w:rPr>
        <w:t>业务费</w:t>
      </w:r>
      <w:r>
        <w:rPr>
          <w:rFonts w:hint="eastAsia" w:ascii="仿宋" w:hAnsi="仿宋" w:eastAsia="仿宋" w:cs="仿宋_GB2312"/>
          <w:color w:val="auto"/>
          <w:kern w:val="0"/>
          <w:sz w:val="32"/>
          <w:szCs w:val="32"/>
          <w:highlight w:val="none"/>
          <w:shd w:val="clear" w:color="auto" w:fill="auto"/>
        </w:rPr>
        <w:t>项目绩效自评综述：根据年初设定的绩效目标，</w:t>
      </w:r>
      <w:r>
        <w:rPr>
          <w:rFonts w:hint="eastAsia" w:ascii="仿宋" w:hAnsi="仿宋" w:eastAsia="仿宋" w:cs="仿宋_GB2312"/>
          <w:color w:val="auto"/>
          <w:kern w:val="0"/>
          <w:sz w:val="32"/>
          <w:szCs w:val="32"/>
          <w:highlight w:val="none"/>
          <w:shd w:val="clear" w:color="auto" w:fill="auto"/>
          <w:lang w:eastAsia="zh-CN"/>
        </w:rPr>
        <w:t>业务费</w:t>
      </w:r>
      <w:r>
        <w:rPr>
          <w:rFonts w:hint="eastAsia" w:ascii="仿宋" w:hAnsi="仿宋" w:eastAsia="仿宋" w:cs="仿宋_GB2312"/>
          <w:color w:val="auto"/>
          <w:kern w:val="0"/>
          <w:sz w:val="32"/>
          <w:szCs w:val="32"/>
          <w:highlight w:val="none"/>
          <w:shd w:val="clear" w:color="auto" w:fill="auto"/>
        </w:rPr>
        <w:t>项目绩效自评得分为</w:t>
      </w:r>
      <w:r>
        <w:rPr>
          <w:rFonts w:hint="eastAsia" w:ascii="仿宋" w:hAnsi="仿宋" w:eastAsia="仿宋" w:cs="仿宋_GB2312"/>
          <w:color w:val="auto"/>
          <w:kern w:val="0"/>
          <w:sz w:val="32"/>
          <w:szCs w:val="32"/>
          <w:highlight w:val="none"/>
          <w:shd w:val="clear" w:color="auto" w:fill="auto"/>
          <w:lang w:val="en-US" w:eastAsia="zh-CN"/>
        </w:rPr>
        <w:t>98</w:t>
      </w:r>
      <w:r>
        <w:rPr>
          <w:rFonts w:hint="eastAsia" w:ascii="仿宋" w:hAnsi="仿宋" w:eastAsia="仿宋" w:cs="仿宋_GB2312"/>
          <w:color w:val="auto"/>
          <w:kern w:val="0"/>
          <w:sz w:val="32"/>
          <w:szCs w:val="32"/>
          <w:highlight w:val="none"/>
          <w:shd w:val="clear" w:color="auto" w:fill="auto"/>
        </w:rPr>
        <w:t>分。项目全年预算数为</w:t>
      </w:r>
      <w:r>
        <w:rPr>
          <w:rFonts w:hint="eastAsia" w:ascii="仿宋" w:hAnsi="仿宋" w:eastAsia="仿宋" w:cs="仿宋_GB2312"/>
          <w:color w:val="auto"/>
          <w:kern w:val="0"/>
          <w:sz w:val="32"/>
          <w:szCs w:val="32"/>
          <w:highlight w:val="none"/>
          <w:shd w:val="clear" w:color="auto" w:fill="auto"/>
          <w:lang w:val="en-US" w:eastAsia="zh-CN"/>
        </w:rPr>
        <w:t>139.79</w:t>
      </w:r>
      <w:r>
        <w:rPr>
          <w:rFonts w:hint="eastAsia" w:ascii="仿宋" w:hAnsi="仿宋" w:eastAsia="仿宋" w:cs="仿宋_GB2312"/>
          <w:color w:val="auto"/>
          <w:kern w:val="0"/>
          <w:sz w:val="32"/>
          <w:szCs w:val="32"/>
          <w:highlight w:val="none"/>
          <w:shd w:val="clear" w:color="auto" w:fill="auto"/>
        </w:rPr>
        <w:t>万元，执行数为</w:t>
      </w:r>
      <w:r>
        <w:rPr>
          <w:rFonts w:hint="eastAsia" w:ascii="仿宋" w:hAnsi="仿宋" w:eastAsia="仿宋" w:cs="仿宋_GB2312"/>
          <w:color w:val="auto"/>
          <w:kern w:val="0"/>
          <w:sz w:val="32"/>
          <w:szCs w:val="32"/>
          <w:highlight w:val="none"/>
          <w:shd w:val="clear" w:color="auto" w:fill="auto"/>
          <w:lang w:val="en-US" w:eastAsia="zh-CN"/>
        </w:rPr>
        <w:t>139.79</w:t>
      </w:r>
      <w:r>
        <w:rPr>
          <w:rFonts w:hint="eastAsia" w:ascii="仿宋" w:hAnsi="仿宋" w:eastAsia="仿宋" w:cs="仿宋_GB2312"/>
          <w:color w:val="auto"/>
          <w:kern w:val="0"/>
          <w:sz w:val="32"/>
          <w:szCs w:val="32"/>
          <w:highlight w:val="none"/>
          <w:shd w:val="clear" w:color="auto" w:fill="auto"/>
        </w:rPr>
        <w:t>万元，完成预算的</w:t>
      </w:r>
      <w:r>
        <w:rPr>
          <w:rFonts w:hint="eastAsia" w:ascii="仿宋" w:hAnsi="仿宋" w:eastAsia="仿宋" w:cs="仿宋_GB2312"/>
          <w:color w:val="auto"/>
          <w:kern w:val="0"/>
          <w:sz w:val="32"/>
          <w:szCs w:val="32"/>
          <w:highlight w:val="none"/>
          <w:shd w:val="clear" w:color="auto" w:fill="auto"/>
          <w:lang w:val="en-US" w:eastAsia="zh-CN"/>
        </w:rPr>
        <w:t>100</w:t>
      </w:r>
      <w:r>
        <w:rPr>
          <w:rFonts w:hint="eastAsia" w:ascii="仿宋" w:hAnsi="仿宋" w:eastAsia="仿宋" w:cs="仿宋_GB2312"/>
          <w:color w:val="auto"/>
          <w:kern w:val="0"/>
          <w:sz w:val="32"/>
          <w:szCs w:val="32"/>
          <w:highlight w:val="none"/>
          <w:shd w:val="clear" w:color="auto" w:fill="auto"/>
        </w:rPr>
        <w:t>%。主要产出和效果：一</w:t>
      </w:r>
      <w:r>
        <w:rPr>
          <w:rFonts w:hint="eastAsia" w:ascii="仿宋" w:hAnsi="仿宋" w:eastAsia="仿宋" w:cs="仿宋_GB2312"/>
          <w:color w:val="auto"/>
          <w:kern w:val="0"/>
          <w:sz w:val="32"/>
          <w:szCs w:val="32"/>
          <w:highlight w:val="none"/>
          <w:shd w:val="clear" w:color="auto" w:fill="auto"/>
          <w:lang w:eastAsia="zh-CN"/>
        </w:rPr>
        <w:t>是办公室调研文章、上报省市信息数量和质量年度完成情况较好，被省评为信息工作先进单位，</w:t>
      </w:r>
      <w:r>
        <w:rPr>
          <w:rFonts w:hint="eastAsia" w:ascii="仿宋" w:hAnsi="仿宋" w:eastAsia="仿宋" w:cs="仿宋_GB2312"/>
          <w:color w:val="auto"/>
          <w:kern w:val="0"/>
          <w:sz w:val="32"/>
          <w:szCs w:val="32"/>
          <w:highlight w:val="none"/>
          <w:shd w:val="clear" w:color="auto" w:fill="auto"/>
          <w:lang w:val="en-US" w:eastAsia="zh-CN"/>
        </w:rPr>
        <w:t>2名干部被评为信息工作先进个人</w:t>
      </w:r>
      <w:r>
        <w:rPr>
          <w:rFonts w:hint="eastAsia" w:ascii="仿宋" w:hAnsi="仿宋" w:eastAsia="仿宋" w:cs="仿宋_GB2312"/>
          <w:color w:val="auto"/>
          <w:kern w:val="0"/>
          <w:sz w:val="32"/>
          <w:szCs w:val="32"/>
          <w:highlight w:val="none"/>
          <w:shd w:val="clear" w:color="auto" w:fill="auto"/>
        </w:rPr>
        <w:t>；二是</w:t>
      </w:r>
      <w:r>
        <w:rPr>
          <w:rFonts w:hint="eastAsia" w:ascii="仿宋" w:hAnsi="仿宋" w:eastAsia="仿宋" w:cs="仿宋_GB2312"/>
          <w:color w:val="auto"/>
          <w:kern w:val="0"/>
          <w:sz w:val="32"/>
          <w:szCs w:val="32"/>
          <w:highlight w:val="none"/>
          <w:shd w:val="clear" w:color="auto" w:fill="auto"/>
          <w:lang w:eastAsia="zh-CN"/>
        </w:rPr>
        <w:t>政府督查督办事项的办结效率明显提高，问政江西、问政赣州平台反馈的问题都能及时回复，县满意度较高</w:t>
      </w:r>
      <w:r>
        <w:rPr>
          <w:rFonts w:hint="eastAsia" w:ascii="仿宋" w:hAnsi="仿宋" w:eastAsia="仿宋" w:cs="仿宋_GB2312"/>
          <w:color w:val="auto"/>
          <w:kern w:val="0"/>
          <w:sz w:val="32"/>
          <w:szCs w:val="32"/>
          <w:highlight w:val="none"/>
          <w:shd w:val="clear" w:color="auto" w:fill="auto"/>
        </w:rPr>
        <w:t>。</w:t>
      </w:r>
      <w:r>
        <w:rPr>
          <w:rFonts w:hint="eastAsia" w:ascii="仿宋" w:hAnsi="仿宋" w:eastAsia="仿宋" w:cs="仿宋_GB2312"/>
          <w:color w:val="auto"/>
          <w:kern w:val="0"/>
          <w:sz w:val="32"/>
          <w:szCs w:val="32"/>
          <w:highlight w:val="none"/>
          <w:shd w:val="clear" w:color="auto" w:fill="auto"/>
          <w:lang w:eastAsia="zh-CN"/>
        </w:rPr>
        <w:t>三是干部职工的工作积极性不断提高、办公环境进一步优化。</w:t>
      </w:r>
      <w:r>
        <w:rPr>
          <w:rFonts w:hint="eastAsia" w:ascii="仿宋" w:hAnsi="仿宋" w:eastAsia="仿宋" w:cs="仿宋_GB2312"/>
          <w:color w:val="auto"/>
          <w:kern w:val="0"/>
          <w:sz w:val="32"/>
          <w:szCs w:val="32"/>
          <w:highlight w:val="none"/>
          <w:shd w:val="clear" w:color="auto" w:fill="auto"/>
        </w:rPr>
        <w:t>发现的问题及原因：一是</w:t>
      </w:r>
      <w:r>
        <w:rPr>
          <w:rFonts w:hint="eastAsia" w:ascii="仿宋" w:hAnsi="仿宋" w:eastAsia="仿宋" w:cs="仿宋_GB2312"/>
          <w:color w:val="auto"/>
          <w:kern w:val="0"/>
          <w:sz w:val="32"/>
          <w:szCs w:val="32"/>
          <w:highlight w:val="none"/>
          <w:shd w:val="clear" w:color="auto" w:fill="auto"/>
          <w:lang w:eastAsia="zh-CN"/>
        </w:rPr>
        <w:t>部门业务人员对绩效评价工作的开展还不太精通。</w:t>
      </w:r>
      <w:r>
        <w:rPr>
          <w:rFonts w:hint="eastAsia" w:ascii="仿宋" w:hAnsi="仿宋" w:eastAsia="仿宋" w:cs="仿宋_GB2312"/>
          <w:color w:val="auto"/>
          <w:kern w:val="0"/>
          <w:sz w:val="32"/>
          <w:szCs w:val="32"/>
          <w:highlight w:val="none"/>
          <w:shd w:val="clear" w:color="auto" w:fill="auto"/>
        </w:rPr>
        <w:t>下一步改进措施：一是</w:t>
      </w:r>
      <w:r>
        <w:rPr>
          <w:rFonts w:hint="eastAsia" w:ascii="仿宋" w:hAnsi="仿宋" w:eastAsia="仿宋" w:cs="仿宋_GB2312"/>
          <w:color w:val="auto"/>
          <w:kern w:val="0"/>
          <w:sz w:val="32"/>
          <w:szCs w:val="32"/>
          <w:highlight w:val="none"/>
          <w:shd w:val="clear" w:color="auto" w:fill="auto"/>
          <w:lang w:eastAsia="zh-CN"/>
        </w:rPr>
        <w:t>单位部门督促相关人员加强自身业务学习，工作上要强化沟通对接，默契配合，共同把绩效评价工作做好</w:t>
      </w:r>
      <w:r>
        <w:rPr>
          <w:rFonts w:hint="eastAsia" w:ascii="仿宋" w:hAnsi="仿宋" w:eastAsia="仿宋" w:cs="仿宋_GB2312"/>
          <w:color w:val="auto"/>
          <w:kern w:val="0"/>
          <w:sz w:val="32"/>
          <w:szCs w:val="32"/>
          <w:highlight w:val="none"/>
          <w:shd w:val="clear" w:color="auto" w:fill="auto"/>
        </w:rPr>
        <w:t>；二是</w:t>
      </w:r>
      <w:r>
        <w:rPr>
          <w:rFonts w:hint="eastAsia" w:ascii="仿宋" w:hAnsi="仿宋" w:eastAsia="仿宋" w:cs="仿宋_GB2312"/>
          <w:color w:val="auto"/>
          <w:kern w:val="0"/>
          <w:sz w:val="32"/>
          <w:szCs w:val="32"/>
          <w:highlight w:val="none"/>
          <w:shd w:val="clear" w:color="auto" w:fill="auto"/>
          <w:lang w:eastAsia="zh-CN"/>
        </w:rPr>
        <w:t>希望有关部门能对单位加强预算绩效评价方面的业务培训与指导</w:t>
      </w:r>
      <w:r>
        <w:rPr>
          <w:rFonts w:hint="eastAsia" w:ascii="仿宋" w:hAnsi="仿宋" w:eastAsia="仿宋" w:cs="仿宋_GB2312"/>
          <w:color w:val="auto"/>
          <w:kern w:val="0"/>
          <w:sz w:val="32"/>
          <w:szCs w:val="32"/>
          <w:highlight w:val="none"/>
          <w:shd w:val="clear" w:color="auto" w:fill="auto"/>
        </w:rPr>
        <w:t>。</w:t>
      </w:r>
    </w:p>
    <w:p>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highlight w:val="none"/>
        </w:rPr>
      </w:pPr>
    </w:p>
    <w:p>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Times New Roman"/>
          <w:color w:val="auto"/>
          <w:sz w:val="32"/>
          <w:szCs w:val="32"/>
          <w:highlight w:val="none"/>
        </w:rPr>
        <w:t>兴国县人民政府办公室</w:t>
      </w: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本级）</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业务费</w:t>
      </w:r>
      <w:r>
        <w:rPr>
          <w:rFonts w:hint="eastAsia" w:ascii="仿宋_GB2312" w:hAnsi="仿宋_GB2312" w:eastAsia="仿宋_GB2312" w:cs="仿宋_GB2312"/>
          <w:color w:val="auto"/>
          <w:kern w:val="0"/>
          <w:sz w:val="32"/>
          <w:szCs w:val="32"/>
          <w:highlight w:val="none"/>
        </w:rPr>
        <w:t>项目支出绩效自评</w:t>
      </w:r>
      <w:r>
        <w:rPr>
          <w:rFonts w:hint="eastAsia" w:ascii="仿宋_GB2312" w:hAnsi="仿宋_GB2312" w:eastAsia="仿宋_GB2312" w:cs="仿宋_GB2312"/>
          <w:color w:val="auto"/>
          <w:kern w:val="0"/>
          <w:sz w:val="32"/>
          <w:szCs w:val="32"/>
          <w:highlight w:val="none"/>
          <w:lang w:val="en-US" w:eastAsia="zh-CN"/>
        </w:rPr>
        <w:t>表</w:t>
      </w:r>
      <w:r>
        <w:rPr>
          <w:rFonts w:hint="eastAsia" w:ascii="仿宋_GB2312" w:hAnsi="仿宋_GB2312" w:eastAsia="仿宋_GB2312" w:cs="仿宋_GB2312"/>
          <w:color w:val="auto"/>
          <w:kern w:val="0"/>
          <w:sz w:val="32"/>
          <w:szCs w:val="32"/>
          <w:highlight w:val="none"/>
        </w:rPr>
        <w:t>”如下：</w:t>
      </w:r>
      <w:r>
        <w:rPr>
          <w:rFonts w:hint="eastAsia" w:ascii="仿宋_GB2312" w:hAnsi="仿宋_GB2312" w:eastAsia="仿宋_GB2312" w:cs="仿宋_GB2312"/>
          <w:color w:val="auto"/>
          <w:kern w:val="0"/>
          <w:sz w:val="32"/>
          <w:szCs w:val="32"/>
          <w:highlight w:val="none"/>
          <w:lang w:eastAsia="zh-CN"/>
        </w:rPr>
        <w:drawing>
          <wp:inline distT="0" distB="0" distL="114300" distR="114300">
            <wp:extent cx="5271770" cy="4412615"/>
            <wp:effectExtent l="0" t="0" r="5080" b="6985"/>
            <wp:docPr id="1" name="图片 1"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捕获"/>
                    <pic:cNvPicPr>
                      <a:picLocks noChangeAspect="1"/>
                    </pic:cNvPicPr>
                  </pic:nvPicPr>
                  <pic:blipFill>
                    <a:blip r:embed="rId5"/>
                    <a:stretch>
                      <a:fillRect/>
                    </a:stretch>
                  </pic:blipFill>
                  <pic:spPr>
                    <a:xfrm>
                      <a:off x="0" y="0"/>
                      <a:ext cx="5271770" cy="4412615"/>
                    </a:xfrm>
                    <a:prstGeom prst="rect">
                      <a:avLst/>
                    </a:prstGeom>
                  </pic:spPr>
                </pic:pic>
              </a:graphicData>
            </a:graphic>
          </wp:inline>
        </w:drawing>
      </w:r>
    </w:p>
    <w:p>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（三）部门评价项目绩效评价情况。</w:t>
      </w:r>
    </w:p>
    <w:p>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项目部门评价报告见第五部分附件。</w:t>
      </w:r>
    </w:p>
    <w:p>
      <w:pPr>
        <w:bidi w:val="0"/>
        <w:rPr>
          <w:rFonts w:hint="eastAsia"/>
          <w:color w:val="auto"/>
          <w:highlight w:val="none"/>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highlight w:val="none"/>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highlight w:val="none"/>
        </w:rPr>
      </w:pPr>
      <w:r>
        <w:rPr>
          <w:rFonts w:hint="eastAsia" w:ascii="宋体" w:hAnsi="宋体" w:cs="宋体"/>
          <w:b/>
          <w:bCs/>
          <w:color w:val="auto"/>
          <w:sz w:val="44"/>
          <w:szCs w:val="44"/>
          <w:highlight w:val="none"/>
        </w:rPr>
        <w:t>第四部分名词解释</w:t>
      </w:r>
    </w:p>
    <w:p>
      <w:pPr>
        <w:pStyle w:val="16"/>
        <w:spacing w:line="600" w:lineRule="atLeast"/>
        <w:ind w:firstLine="600"/>
        <w:rPr>
          <w:rFonts w:hint="eastAsia" w:ascii="仿宋_GB2312" w:hAnsi="仿宋_GB2312" w:eastAsia="仿宋_GB2312"/>
          <w:color w:val="auto"/>
          <w:sz w:val="30"/>
          <w:szCs w:val="30"/>
          <w:highlight w:val="none"/>
        </w:rPr>
      </w:pPr>
    </w:p>
    <w:p>
      <w:pPr>
        <w:ind w:firstLine="630"/>
        <w:jc w:val="left"/>
        <w:outlineLvl w:val="1"/>
        <w:rPr>
          <w:rFonts w:hint="eastAsia"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一、收入科目</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（一）财政拨款：指县级财政当年拨付的资金。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（二）上级补助收入：指单位从主管部门和上级单位取</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得的补助收入。</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（三）事业收入：指事业单位开展专业业务活动及辅助</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活动所取得的收入。</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（四）事业单位的经营收入：指事业单位在专业业务活</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动及辅助活动之外开展非独立核算经营活动取得的收入。</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（五）其他收入：指除财政拨款、上级补助收入、事业</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收入、事业单位经营收入等以外的各项收入。</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（六）上年结转和结余：填列</w:t>
      </w:r>
      <w:r>
        <w:rPr>
          <w:rFonts w:hint="eastAsia" w:ascii="仿宋_GB2312" w:hAnsi="仿宋_GB2312" w:eastAsia="仿宋_GB2312"/>
          <w:color w:val="auto"/>
          <w:kern w:val="0"/>
          <w:sz w:val="32"/>
          <w:szCs w:val="32"/>
          <w:highlight w:val="none"/>
          <w:lang w:val="en-US" w:eastAsia="zh-CN"/>
        </w:rPr>
        <w:t>以前年度</w:t>
      </w:r>
      <w:r>
        <w:rPr>
          <w:rFonts w:hint="eastAsia" w:ascii="仿宋_GB2312" w:hAnsi="仿宋_GB2312" w:eastAsia="仿宋_GB2312"/>
          <w:color w:val="auto"/>
          <w:kern w:val="0"/>
          <w:sz w:val="32"/>
          <w:szCs w:val="32"/>
          <w:highlight w:val="none"/>
        </w:rPr>
        <w:t>全部结转和结余</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的资金数，包括当年结转结余资金和历年滚存结转结余资金。</w:t>
      </w:r>
    </w:p>
    <w:p>
      <w:pPr>
        <w:ind w:firstLine="630"/>
        <w:jc w:val="left"/>
        <w:outlineLvl w:val="1"/>
        <w:rPr>
          <w:rFonts w:hint="eastAsia"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二、支出科目</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（一）行政运行：反映行政单位（包括参公单位）的基</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本支出。</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（二）一般行政管理事务：反映行政单位（包括参公单</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位）未单独设置项级科目的其他项目支出。</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（三）事业运行：反映事业单位的基本支出。</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（四）机关事业单位基本养老保险缴费支出：反映机关</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事业单位实施养老保险制度由单位缴纳的基本养老保险费的支出。</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（五）行政单位医疗：反映行政事业单位基本医疗保险</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缴费经费。</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（六）事业单位医疗：反映财政部门集中安排的事业单</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位基本医疗保险缴费经费。</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（七）住房公积金：反映行政事业单位按人力资源和社</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会保障部、财政部规定的基本工资和津补贴以及规定比例为职工缴纳的住房公积金。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（八）基本支出：指为保障机构正常运转、完成日常工</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作任务而发生的人员支出和公用支出。</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（九）项目支出：指在基本支出之外为完成特定行政任</w:t>
      </w:r>
    </w:p>
    <w:p>
      <w:pPr>
        <w:keepNext w:val="0"/>
        <w:keepLines w:val="0"/>
        <w:pageBreakBefore w:val="0"/>
        <w:kinsoku/>
        <w:wordWrap/>
        <w:overflowPunct/>
        <w:topLinePunct w:val="0"/>
        <w:autoSpaceDE/>
        <w:autoSpaceDN/>
        <w:bidi w:val="0"/>
        <w:adjustRightInd/>
        <w:snapToGrid/>
        <w:spacing w:line="240" w:lineRule="auto"/>
        <w:ind w:firstLine="0"/>
        <w:textAlignment w:val="auto"/>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务和事业发展目标所发生的支出。</w:t>
      </w:r>
    </w:p>
    <w:p>
      <w:pPr>
        <w:ind w:firstLine="630"/>
        <w:jc w:val="left"/>
        <w:outlineLvl w:val="1"/>
        <w:rPr>
          <w:rFonts w:hint="eastAsia" w:ascii="黑体" w:hAnsi="黑体" w:eastAsia="黑体" w:cs="Times New Roman"/>
          <w:color w:val="auto"/>
          <w:sz w:val="32"/>
          <w:szCs w:val="32"/>
          <w:highlight w:val="none"/>
        </w:rPr>
      </w:pPr>
      <w:r>
        <w:rPr>
          <w:rFonts w:hint="eastAsia" w:ascii="黑体" w:hAnsi="黑体" w:eastAsia="黑体" w:cs="Times New Roman"/>
          <w:color w:val="auto"/>
          <w:sz w:val="32"/>
          <w:szCs w:val="32"/>
          <w:highlight w:val="none"/>
        </w:rPr>
        <w:t>三、相关专业名词</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（一）</w:t>
      </w:r>
      <w:r>
        <w:rPr>
          <w:rFonts w:hint="eastAsia" w:ascii="仿宋_GB2312" w:hAnsi="仿宋_GB2312" w:eastAsia="仿宋_GB2312"/>
          <w:b/>
          <w:bCs/>
          <w:color w:val="auto"/>
          <w:kern w:val="0"/>
          <w:sz w:val="32"/>
          <w:szCs w:val="32"/>
          <w:highlight w:val="none"/>
        </w:rPr>
        <w:t>“三公”经费：</w:t>
      </w:r>
      <w:r>
        <w:rPr>
          <w:rFonts w:hint="eastAsia" w:ascii="仿宋_GB2312" w:hAnsi="仿宋_GB2312" w:eastAsia="仿宋_GB2312"/>
          <w:color w:val="auto"/>
          <w:kern w:val="0"/>
          <w:sz w:val="32"/>
          <w:szCs w:val="32"/>
          <w:highlight w:val="none"/>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s="仿宋_GB2312"/>
          <w:b/>
          <w:bCs/>
          <w:color w:val="auto"/>
          <w:kern w:val="0"/>
          <w:sz w:val="32"/>
          <w:szCs w:val="32"/>
          <w:highlight w:val="none"/>
        </w:rPr>
        <w:t>（二）</w:t>
      </w:r>
      <w:r>
        <w:rPr>
          <w:rFonts w:hint="eastAsia" w:ascii="仿宋_GB2312" w:hAnsi="仿宋_GB2312" w:eastAsia="仿宋_GB2312"/>
          <w:b/>
          <w:bCs/>
          <w:color w:val="auto"/>
          <w:kern w:val="0"/>
          <w:sz w:val="32"/>
          <w:szCs w:val="32"/>
          <w:highlight w:val="none"/>
        </w:rPr>
        <w:t>机关运行经费：</w:t>
      </w:r>
      <w:r>
        <w:rPr>
          <w:rFonts w:hint="eastAsia" w:ascii="仿宋_GB2312" w:hAnsi="仿宋_GB2312" w:eastAsia="仿宋_GB2312"/>
          <w:color w:val="auto"/>
          <w:kern w:val="0"/>
          <w:sz w:val="32"/>
          <w:szCs w:val="32"/>
          <w:highlight w:val="none"/>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bidi w:val="0"/>
        <w:rPr>
          <w:rFonts w:hint="eastAsia"/>
          <w:color w:val="auto"/>
          <w:highlight w:val="none"/>
        </w:rPr>
      </w:pPr>
    </w:p>
    <w:p>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auto"/>
          <w:sz w:val="44"/>
          <w:szCs w:val="44"/>
          <w:highlight w:val="none"/>
        </w:rPr>
      </w:pPr>
    </w:p>
    <w:p>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color w:val="auto"/>
          <w:sz w:val="44"/>
          <w:szCs w:val="44"/>
          <w:highlight w:val="none"/>
        </w:rPr>
      </w:pPr>
      <w:r>
        <w:rPr>
          <w:rFonts w:hint="eastAsia" w:ascii="宋体" w:hAnsi="宋体" w:cs="宋体"/>
          <w:b/>
          <w:bCs/>
          <w:color w:val="auto"/>
          <w:sz w:val="44"/>
          <w:szCs w:val="44"/>
          <w:highlight w:val="none"/>
        </w:rPr>
        <w:t>第五部分附件</w:t>
      </w:r>
    </w:p>
    <w:p>
      <w:pPr>
        <w:ind w:firstLine="600"/>
        <w:rPr>
          <w:rFonts w:hint="eastAsia" w:ascii="仿宋_GB2312" w:hAnsi="仿宋_GB2312" w:eastAsia="仿宋_GB2312"/>
          <w:color w:val="auto"/>
          <w:kern w:val="0"/>
          <w:sz w:val="32"/>
          <w:szCs w:val="32"/>
          <w:highlight w:val="none"/>
          <w:lang w:eastAsia="zh-CN"/>
        </w:rPr>
      </w:pPr>
      <w:r>
        <w:rPr>
          <w:rFonts w:hint="eastAsia" w:ascii="仿宋_GB2312" w:hAnsi="仿宋_GB2312" w:eastAsia="仿宋_GB2312"/>
          <w:color w:val="auto"/>
          <w:kern w:val="0"/>
          <w:sz w:val="32"/>
          <w:szCs w:val="32"/>
          <w:highlight w:val="none"/>
          <w:lang w:eastAsia="zh-CN"/>
        </w:rPr>
        <w:t>业务费项目资金的项目评价报告</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一、项目基本情况</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项目概况：本项目经费无立项，经费主要用于保障工作调研、工作督查督办、政府会务、政府办公系统运维、应急值守信息协调等相关业务活动的开展，提升机关运转效率和政务服务水平。资金来源为财政拨款，项目经费主要用于办公用品及设备购置、工作调研差旅费补助、工作督查督办差旅费、会议费等有关业务费用支出。</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项目绩效目标：通过业务费的有力保障，进一步优化单位工作环境，营造良好浓厚的工作氛围，保障工作调研、工作督查督办、政府会务、政府办公系统运维、应急值守信息协调等相关业务活动的开展，提升机关运转效率和政务服务水平。</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二、绩效评价情况</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（一）绩效评价目的：教主资金支出的效率及综合效果，及时总结经验，分析存在的问题及原因，不断提高资金使用效率和管理水平。</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（二）绩效评价工作方案：结合本单位实际，根据《中共中央国务院关于全面实施预算绩效管理的意见》制定执行。</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（三）绩效评价原则和方法：单位自评和财政再评相结合。</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（四）绩效评价实施：制定方案、开展自评、总结评价、报财政业务股室审核。</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（五）绩效评价的局限性：评价方法有待进一步完善。</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三、评价结论和绩效分析</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（一）评价结论：项目经费有力地保障了相关业务活动的开展，机关运转效率和政务服务水平得到提升。</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（二）绩效分析：项目资金执行、项目产出指标、效益指标及满意度指标均达标。</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四、成功经验：无</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五、存在问题及相关建议：建议财政部门加强对单位开展绩效评价工作的指导。</w:t>
      </w:r>
    </w:p>
    <w:p>
      <w:pPr>
        <w:ind w:firstLine="600"/>
        <w:rPr>
          <w:rFonts w:hint="eastAsia" w:ascii="仿宋_GB2312" w:hAnsi="仿宋_GB2312" w:eastAsia="仿宋_GB2312"/>
          <w:color w:val="auto"/>
          <w:kern w:val="0"/>
          <w:sz w:val="32"/>
          <w:szCs w:val="32"/>
          <w:highlight w:val="none"/>
          <w:lang w:eastAsia="zh-CN"/>
        </w:rPr>
      </w:pPr>
      <w:r>
        <w:rPr>
          <w:rFonts w:hint="eastAsia" w:ascii="仿宋_GB2312" w:hAnsi="仿宋_GB2312" w:eastAsia="仿宋_GB2312"/>
          <w:color w:val="auto"/>
          <w:kern w:val="0"/>
          <w:sz w:val="32"/>
          <w:szCs w:val="32"/>
          <w:highlight w:val="none"/>
        </w:rPr>
        <w:t>六、其他需要说明的情况：无</w:t>
      </w:r>
      <w:r>
        <w:rPr>
          <w:rFonts w:hint="eastAsia" w:ascii="仿宋_GB2312" w:hAnsi="仿宋_GB2312" w:eastAsia="仿宋_GB2312"/>
          <w:color w:val="auto"/>
          <w:kern w:val="0"/>
          <w:sz w:val="32"/>
          <w:szCs w:val="32"/>
          <w:highlight w:val="none"/>
          <w:lang w:eastAsia="zh-CN"/>
        </w:rPr>
        <w:drawing>
          <wp:inline distT="0" distB="0" distL="114300" distR="114300">
            <wp:extent cx="5271770" cy="4412615"/>
            <wp:effectExtent l="0" t="0" r="5080" b="6985"/>
            <wp:docPr id="3" name="图片 3"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捕获"/>
                    <pic:cNvPicPr>
                      <a:picLocks noChangeAspect="1"/>
                    </pic:cNvPicPr>
                  </pic:nvPicPr>
                  <pic:blipFill>
                    <a:blip r:embed="rId5"/>
                    <a:stretch>
                      <a:fillRect/>
                    </a:stretch>
                  </pic:blipFill>
                  <pic:spPr>
                    <a:xfrm>
                      <a:off x="0" y="0"/>
                      <a:ext cx="5271770" cy="4412615"/>
                    </a:xfrm>
                    <a:prstGeom prst="rect">
                      <a:avLst/>
                    </a:prstGeom>
                  </pic:spPr>
                </pic:pic>
              </a:graphicData>
            </a:graphic>
          </wp:inline>
        </w:drawing>
      </w:r>
    </w:p>
    <w:p>
      <w:pPr>
        <w:rPr>
          <w:rFonts w:hint="eastAsia" w:ascii="仿宋_GB2312" w:hAnsi="仿宋_GB2312" w:eastAsia="仿宋_GB2312"/>
          <w:color w:val="auto"/>
          <w:kern w:val="0"/>
          <w:sz w:val="32"/>
          <w:szCs w:val="32"/>
          <w:highlight w:val="none"/>
        </w:rPr>
      </w:pPr>
    </w:p>
    <w:p>
      <w:pPr>
        <w:ind w:firstLine="600"/>
        <w:rPr>
          <w:rFonts w:hint="eastAsia" w:ascii="仿宋_GB2312" w:hAnsi="仿宋_GB2312" w:eastAsia="仿宋_GB2312"/>
          <w:color w:val="auto"/>
          <w:kern w:val="0"/>
          <w:sz w:val="32"/>
          <w:szCs w:val="32"/>
          <w:highlight w:val="none"/>
          <w:lang w:val="en-US" w:eastAsia="zh-CN"/>
        </w:rPr>
      </w:pPr>
      <w:r>
        <w:rPr>
          <w:rFonts w:hint="eastAsia" w:ascii="仿宋_GB2312" w:hAnsi="仿宋_GB2312" w:eastAsia="仿宋_GB2312"/>
          <w:color w:val="auto"/>
          <w:kern w:val="0"/>
          <w:sz w:val="32"/>
          <w:szCs w:val="32"/>
          <w:highlight w:val="none"/>
          <w:lang w:val="en-US" w:eastAsia="zh-CN"/>
        </w:rPr>
        <w:t>法律咨询费项目评价报告</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项目基本情况</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（一）项目概况：本项目经费无立项，经费主要用于保障日常工作正常运转，提升机关运转效率和政务服务水平。资金来源为财政拨款。</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lang w:eastAsia="zh-CN"/>
        </w:rPr>
        <w:t>（二）</w:t>
      </w:r>
      <w:r>
        <w:rPr>
          <w:rFonts w:hint="eastAsia" w:ascii="仿宋_GB2312" w:hAnsi="仿宋_GB2312" w:eastAsia="仿宋_GB2312"/>
          <w:color w:val="auto"/>
          <w:kern w:val="0"/>
          <w:sz w:val="32"/>
          <w:szCs w:val="32"/>
          <w:highlight w:val="none"/>
        </w:rPr>
        <w:t>项目绩效目标通过法律咨询费的有力保障，进一步优化单位工作环境，营造良好浓厚的工作氛围，提升机关运转效率和政务服务水平。</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二、绩效评价情况</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（一）绩效评价目的：教主资金支出的效率及综合效果，及时总结经验，分析存在的问题及原因，不断提高资金使用效率和管理水平。</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（二）绩效评价工作方案：结合本单位实际，根据《中共中央国务院关于全面实施预算绩效管理的意见》制定执行。</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（三）绩效评价原则和方法：单位自评和财政再评相结合。</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（四）绩效评价实施：制定方案、开展自评、总结评价、报财政业务股室审核。</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（五）绩效评价的局限性：评价方法有待进一步完善。</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三、评价结论和绩效分析</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（一）评价结论：项目经费有力地保障了相关业务活动的开展，机关运转效率和政务服务水平得到提升。</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（二）绩效分析：项目资金执行、项目产出指标、效益指标及满意度指标均达标。</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四、成功经验：无</w:t>
      </w:r>
    </w:p>
    <w:p>
      <w:pPr>
        <w:ind w:firstLine="600"/>
        <w:rPr>
          <w:rFonts w:hint="eastAsia" w:ascii="仿宋_GB2312" w:hAnsi="仿宋_GB2312" w:eastAsia="仿宋_GB2312"/>
          <w:color w:val="auto"/>
          <w:kern w:val="0"/>
          <w:sz w:val="32"/>
          <w:szCs w:val="32"/>
          <w:highlight w:val="none"/>
        </w:rPr>
      </w:pPr>
      <w:r>
        <w:rPr>
          <w:rFonts w:hint="eastAsia" w:ascii="仿宋_GB2312" w:hAnsi="仿宋_GB2312" w:eastAsia="仿宋_GB2312"/>
          <w:color w:val="auto"/>
          <w:kern w:val="0"/>
          <w:sz w:val="32"/>
          <w:szCs w:val="32"/>
          <w:highlight w:val="none"/>
        </w:rPr>
        <w:t>五、存在问题及相关建议：建议财政部门加强对单位开展绩效评价工作的指导。</w:t>
      </w:r>
    </w:p>
    <w:p>
      <w:pPr>
        <w:ind w:firstLine="600"/>
        <w:rPr>
          <w:rFonts w:hint="eastAsia" w:ascii="仿宋_GB2312" w:hAnsi="仿宋_GB2312" w:eastAsia="仿宋_GB2312"/>
          <w:color w:val="auto"/>
          <w:kern w:val="0"/>
          <w:sz w:val="32"/>
          <w:szCs w:val="32"/>
          <w:highlight w:val="none"/>
          <w:lang w:eastAsia="zh-CN"/>
        </w:rPr>
      </w:pPr>
      <w:r>
        <w:rPr>
          <w:rFonts w:hint="eastAsia" w:ascii="仿宋_GB2312" w:hAnsi="仿宋_GB2312" w:eastAsia="仿宋_GB2312"/>
          <w:color w:val="auto"/>
          <w:kern w:val="0"/>
          <w:sz w:val="32"/>
          <w:szCs w:val="32"/>
          <w:highlight w:val="none"/>
        </w:rPr>
        <w:t>六、其他需要说明的情况：无。</w:t>
      </w:r>
    </w:p>
    <w:p>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decorative"/>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alibri">
    <w:altName w:val="DejaVu Sans"/>
    <w:panose1 w:val="020F0502020204030204"/>
    <w:charset w:val="86"/>
    <w:family w:val="swiss"/>
    <w:pitch w:val="default"/>
    <w:sig w:usb0="00000000" w:usb1="00000000"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Ct1YkckBAACZAwAADgAAAAAA&#10;AAABACAAAAA0AQAAZHJzL2Uyb0RvYy54bWxQSwUGAAAAAAYABgBZAQAAbwUAAAAA&#10;">
              <v:fill on="f" focussize="0,0"/>
              <v:stroke on="f"/>
              <v:imagedata o:title=""/>
              <o:lock v:ext="edit" aspectratio="f"/>
              <v:textbox inset="0mm,0mm,0mm,0mm" style="mso-fit-shape-to-text:t;">
                <w:txbxContent>
                  <w:p>
                    <w:pPr>
                      <w:pStyle w:val="11"/>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21D53ED0"/>
    <w:rsid w:val="33950BD3"/>
    <w:rsid w:val="33C70A72"/>
    <w:rsid w:val="3D866B6C"/>
    <w:rsid w:val="403B093E"/>
    <w:rsid w:val="5D687C0A"/>
    <w:rsid w:val="61790997"/>
    <w:rsid w:val="7D7E089C"/>
    <w:rsid w:val="B7E348A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qFormat/>
    <w:uiPriority w:val="1"/>
    <w:pPr>
      <w:ind w:left="668"/>
      <w:outlineLvl w:val="1"/>
    </w:pPr>
    <w:rPr>
      <w:rFonts w:ascii="宋体" w:hAnsi="宋体" w:eastAsia="宋体" w:cs="宋体"/>
      <w:b/>
      <w:bCs/>
      <w:sz w:val="32"/>
      <w:szCs w:val="3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33</Pages>
  <Words>10862</Words>
  <Characters>13121</Characters>
  <Lines>119</Lines>
  <Paragraphs>33</Paragraphs>
  <TotalTime>0</TotalTime>
  <ScaleCrop>false</ScaleCrop>
  <LinksUpToDate>false</LinksUpToDate>
  <CharactersWithSpaces>13121</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2019-05-31T00:41:00Z</dcterms:created>
  <dc:creator>Administrator</dc:creator>
  <cp:lastModifiedBy>CNGC207</cp:lastModifiedBy>
  <cp:lastPrinted>2024-05-22T15:51:00Z</cp:lastPrinted>
  <dcterms:modified xsi:type="dcterms:W3CDTF">2026-02-06T10:19:22Z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112CC1C1348B4026A9D61056B20949C8_13</vt:lpwstr>
  </property>
</Properties>
</file>