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cs="方正小标宋简体" w:asciiTheme="majorEastAsia" w:hAnsiTheme="majorEastAsia" w:eastAsiaTheme="majorEastAsia"/>
          <w:bCs/>
          <w:color w:val="000000" w:themeColor="text1"/>
          <w:sz w:val="44"/>
          <w:szCs w:val="44"/>
        </w:rPr>
      </w:pPr>
      <w:r>
        <w:rPr>
          <w:rFonts w:hint="eastAsia" w:cs="方正小标宋简体" w:asciiTheme="majorEastAsia" w:hAnsiTheme="majorEastAsia" w:eastAsiaTheme="majorEastAsia"/>
          <w:bCs/>
          <w:color w:val="000000" w:themeColor="text1"/>
          <w:sz w:val="44"/>
          <w:szCs w:val="44"/>
        </w:rPr>
        <w:t>兴国县市场监督管理局2021年</w:t>
      </w:r>
    </w:p>
    <w:p>
      <w:pPr>
        <w:jc w:val="center"/>
        <w:rPr>
          <w:rFonts w:cs="方正小标宋简体" w:asciiTheme="majorEastAsia" w:hAnsiTheme="majorEastAsia" w:eastAsiaTheme="majorEastAsia"/>
          <w:bCs/>
          <w:color w:val="000000" w:themeColor="text1"/>
          <w:sz w:val="44"/>
          <w:szCs w:val="44"/>
        </w:rPr>
      </w:pPr>
      <w:r>
        <w:rPr>
          <w:rFonts w:hint="eastAsia" w:cs="方正小标宋简体" w:asciiTheme="majorEastAsia" w:hAnsiTheme="majorEastAsia" w:eastAsiaTheme="majorEastAsia"/>
          <w:bCs/>
          <w:color w:val="000000" w:themeColor="text1"/>
          <w:sz w:val="44"/>
          <w:szCs w:val="44"/>
        </w:rPr>
        <w:t>单位预算</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第一部分 兴国县市场监督管理局概况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二、机构设置及人员情况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第二部分兴国县市场监督管理局2021年单位预算情况说明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第三部分兴国县市场监督管理局2021年单位预算表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10" w:leftChars="5" w:firstLine="582" w:firstLineChars="194"/>
        <w:rPr>
          <w:rFonts w:ascii="仿宋" w:hAnsi="仿宋" w:eastAsia="仿宋" w:cs="仿宋"/>
          <w:sz w:val="30"/>
          <w:szCs w:val="30"/>
        </w:rPr>
      </w:pPr>
      <w:r>
        <w:rPr>
          <w:rFonts w:hint="eastAsia" w:ascii="仿宋" w:hAnsi="仿宋" w:eastAsia="仿宋" w:cs="仿宋"/>
          <w:sz w:val="30"/>
          <w:szCs w:val="30"/>
          <w:lang w:val="en-US" w:eastAsia="zh-CN"/>
        </w:rPr>
        <w:t>九</w:t>
      </w:r>
      <w:r>
        <w:rPr>
          <w:rFonts w:hint="eastAsia" w:ascii="仿宋" w:hAnsi="仿宋" w:eastAsia="仿宋" w:cs="仿宋"/>
          <w:sz w:val="30"/>
          <w:szCs w:val="30"/>
        </w:rPr>
        <w:t>、《项目支出绩效目标表》</w:t>
      </w:r>
      <w:r>
        <w:rPr>
          <w:rFonts w:hint="eastAsia" w:ascii="仿宋" w:hAnsi="仿宋" w:eastAsia="仿宋" w:cs="仿宋"/>
          <w:sz w:val="30"/>
          <w:szCs w:val="30"/>
        </w:rPr>
        <w:cr/>
      </w:r>
      <w:r>
        <w:rPr>
          <w:rFonts w:hint="eastAsia" w:ascii="仿宋" w:hAnsi="仿宋" w:eastAsia="仿宋" w:cs="仿宋"/>
          <w:b/>
          <w:bCs/>
          <w:sz w:val="30"/>
          <w:szCs w:val="30"/>
        </w:rPr>
        <w:t>第四部分 名词解释</w:t>
      </w:r>
    </w:p>
    <w:p>
      <w:pPr>
        <w:jc w:val="center"/>
        <w:rPr>
          <w:rFonts w:cs="方正小标宋简体" w:asciiTheme="majorEastAsia" w:hAnsiTheme="majorEastAsia" w:eastAsiaTheme="majorEastAsia"/>
          <w:bCs/>
          <w:color w:val="000000" w:themeColor="text1"/>
          <w:sz w:val="44"/>
          <w:szCs w:val="44"/>
        </w:rPr>
      </w:pPr>
    </w:p>
    <w:p>
      <w:pPr>
        <w:spacing w:line="560" w:lineRule="exact"/>
        <w:ind w:right="-210" w:rightChars="-100" w:firstLine="643" w:firstLineChars="200"/>
        <w:jc w:val="left"/>
        <w:rPr>
          <w:rFonts w:ascii="仿宋" w:hAnsi="仿宋" w:eastAsia="仿宋" w:cs="黑体"/>
          <w:b/>
          <w:color w:val="000000" w:themeColor="text1"/>
          <w:sz w:val="32"/>
          <w:szCs w:val="32"/>
        </w:rPr>
      </w:pPr>
    </w:p>
    <w:p>
      <w:pPr>
        <w:spacing w:line="560" w:lineRule="exact"/>
        <w:ind w:right="-210" w:rightChars="-100" w:firstLine="643" w:firstLineChars="200"/>
        <w:jc w:val="left"/>
        <w:rPr>
          <w:rFonts w:hint="eastAsia" w:ascii="仿宋" w:hAnsi="仿宋" w:eastAsia="仿宋" w:cs="黑体"/>
          <w:b/>
          <w:color w:val="000000" w:themeColor="text1"/>
          <w:sz w:val="32"/>
          <w:szCs w:val="32"/>
        </w:rPr>
      </w:pPr>
    </w:p>
    <w:p>
      <w:pPr>
        <w:ind w:left="641" w:hanging="641" w:hangingChars="213"/>
        <w:jc w:val="center"/>
        <w:rPr>
          <w:rFonts w:ascii="仿宋" w:hAnsi="仿宋" w:eastAsia="仿宋" w:cs="仿宋"/>
          <w:b/>
          <w:bCs/>
          <w:sz w:val="30"/>
          <w:szCs w:val="30"/>
        </w:rPr>
      </w:pPr>
      <w:r>
        <w:rPr>
          <w:rFonts w:hint="eastAsia" w:ascii="仿宋" w:hAnsi="仿宋" w:eastAsia="仿宋" w:cs="仿宋"/>
          <w:b/>
          <w:bCs/>
          <w:sz w:val="30"/>
          <w:szCs w:val="30"/>
        </w:rPr>
        <w:t>第一部分 兴国县市场监督管理局概况</w:t>
      </w:r>
    </w:p>
    <w:p>
      <w:pPr>
        <w:spacing w:line="560" w:lineRule="exact"/>
        <w:ind w:right="-210" w:rightChars="-100" w:firstLine="643" w:firstLineChars="200"/>
        <w:jc w:val="left"/>
        <w:rPr>
          <w:rFonts w:ascii="仿宋" w:hAnsi="仿宋" w:eastAsia="仿宋" w:cs="黑体"/>
          <w:b/>
          <w:color w:val="000000" w:themeColor="text1"/>
          <w:sz w:val="32"/>
          <w:szCs w:val="32"/>
        </w:rPr>
      </w:pPr>
      <w:r>
        <w:rPr>
          <w:rFonts w:hint="eastAsia" w:ascii="仿宋" w:hAnsi="仿宋" w:eastAsia="仿宋" w:cs="黑体"/>
          <w:b/>
          <w:color w:val="000000" w:themeColor="text1"/>
          <w:sz w:val="32"/>
          <w:szCs w:val="32"/>
        </w:rPr>
        <w:t>一、部门主要职责</w:t>
      </w:r>
    </w:p>
    <w:p>
      <w:pPr>
        <w:spacing w:line="180" w:lineRule="auto"/>
        <w:ind w:right="-210" w:rightChars="-100" w:firstLine="585"/>
        <w:jc w:val="left"/>
        <w:rPr>
          <w:rFonts w:ascii="仿宋" w:hAnsi="仿宋" w:eastAsia="仿宋"/>
          <w:sz w:val="32"/>
          <w:szCs w:val="32"/>
        </w:rPr>
      </w:pPr>
      <w:r>
        <w:rPr>
          <w:rFonts w:hint="eastAsia" w:ascii="仿宋" w:hAnsi="仿宋" w:eastAsia="仿宋" w:cs="仿宋_GB2312"/>
          <w:color w:val="000000" w:themeColor="text1"/>
          <w:sz w:val="32"/>
          <w:szCs w:val="32"/>
        </w:rPr>
        <w:t>兴国县市场监督管理局是主管</w:t>
      </w:r>
      <w:r>
        <w:rPr>
          <w:rFonts w:hint="eastAsia" w:ascii="仿宋" w:hAnsi="仿宋" w:eastAsia="仿宋"/>
          <w:sz w:val="32"/>
          <w:szCs w:val="32"/>
        </w:rPr>
        <w:t>食品药品监督管理、工商行政管理、质量技术监督等方面</w:t>
      </w:r>
      <w:r>
        <w:rPr>
          <w:rFonts w:hint="eastAsia" w:ascii="仿宋" w:hAnsi="仿宋" w:eastAsia="仿宋" w:cs="仿宋_GB2312"/>
          <w:color w:val="000000" w:themeColor="text1"/>
          <w:sz w:val="32"/>
          <w:szCs w:val="32"/>
        </w:rPr>
        <w:t>工作的县委（县政府）组成部门，主要职责是：</w:t>
      </w:r>
      <w:r>
        <w:rPr>
          <w:rFonts w:hint="eastAsia" w:ascii="仿宋" w:hAnsi="仿宋" w:eastAsia="仿宋"/>
          <w:sz w:val="32"/>
          <w:szCs w:val="32"/>
        </w:rPr>
        <w:t>负责食品、药品、化妆品、医疗器械、特种设备、价格监督检查和反不正当竞争、知识产权战略、计量器具等产品质量安全监督管理，监督管理市场交易行为和网络交易及有关服务行为，负责全县商标监督、标准化管理等，承办县政府和上级主管部门交办的其他事项。</w:t>
      </w:r>
    </w:p>
    <w:p>
      <w:pPr>
        <w:spacing w:line="560" w:lineRule="exact"/>
        <w:ind w:right="-210" w:rightChars="-100" w:firstLine="640" w:firstLineChars="200"/>
        <w:jc w:val="lef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w:t>
      </w:r>
      <w:r>
        <w:rPr>
          <w:rFonts w:hint="eastAsia" w:ascii="仿宋" w:hAnsi="仿宋" w:eastAsia="仿宋"/>
          <w:color w:val="000000"/>
          <w:sz w:val="32"/>
          <w:szCs w:val="32"/>
        </w:rPr>
        <w:t>进一步优化营商环境；2、深入推进质量强县建设。3、紧盯食品药品安全不放松：</w:t>
      </w:r>
      <w:r>
        <w:rPr>
          <w:rFonts w:hint="eastAsia" w:ascii="仿宋" w:hAnsi="仿宋" w:eastAsia="仿宋"/>
          <w:bCs/>
          <w:color w:val="000000"/>
          <w:sz w:val="32"/>
          <w:szCs w:val="32"/>
        </w:rPr>
        <w:t>进一步加大监管力度；进一步提高抽检效率；进一步加强学校监管；进一步健全长效机制。4、紧盯特种设备安全不放松。5、</w:t>
      </w:r>
      <w:r>
        <w:rPr>
          <w:rFonts w:hint="eastAsia" w:ascii="仿宋" w:hAnsi="仿宋" w:eastAsia="仿宋" w:cs="仿宋_GB2312"/>
          <w:bCs/>
          <w:color w:val="000000"/>
          <w:sz w:val="32"/>
          <w:szCs w:val="32"/>
        </w:rPr>
        <w:t>紧盯产品质量安全不放松。6、</w:t>
      </w:r>
      <w:r>
        <w:rPr>
          <w:rFonts w:hint="eastAsia" w:ascii="仿宋" w:hAnsi="仿宋" w:eastAsia="仿宋" w:cs="宋体"/>
          <w:color w:val="000000"/>
          <w:sz w:val="32"/>
          <w:szCs w:val="32"/>
        </w:rPr>
        <w:t>进一步加大执法力度</w:t>
      </w:r>
      <w:r>
        <w:rPr>
          <w:rFonts w:hint="eastAsia" w:ascii="仿宋" w:hAnsi="仿宋" w:eastAsia="仿宋"/>
          <w:color w:val="000000"/>
          <w:sz w:val="32"/>
          <w:szCs w:val="32"/>
        </w:rPr>
        <w:t>。</w:t>
      </w:r>
    </w:p>
    <w:p>
      <w:pPr>
        <w:spacing w:line="560" w:lineRule="exact"/>
        <w:ind w:right="-210" w:rightChars="-100" w:firstLine="643" w:firstLineChars="200"/>
        <w:jc w:val="left"/>
        <w:rPr>
          <w:rFonts w:hint="eastAsia" w:ascii="仿宋" w:hAnsi="仿宋" w:eastAsia="仿宋" w:cs="黑体"/>
          <w:b/>
          <w:color w:val="000000" w:themeColor="text1"/>
          <w:sz w:val="32"/>
          <w:szCs w:val="32"/>
        </w:rPr>
      </w:pPr>
      <w:r>
        <w:rPr>
          <w:rFonts w:hint="eastAsia" w:ascii="仿宋" w:hAnsi="仿宋" w:eastAsia="仿宋" w:cs="黑体"/>
          <w:b/>
          <w:color w:val="000000" w:themeColor="text1"/>
          <w:sz w:val="32"/>
          <w:szCs w:val="32"/>
          <w:lang w:val="en-US" w:eastAsia="zh-CN"/>
        </w:rPr>
        <w:t>二</w:t>
      </w:r>
      <w:r>
        <w:rPr>
          <w:rFonts w:hint="eastAsia" w:ascii="仿宋" w:hAnsi="仿宋" w:eastAsia="仿宋" w:cs="黑体"/>
          <w:b/>
          <w:color w:val="000000" w:themeColor="text1"/>
          <w:sz w:val="32"/>
          <w:szCs w:val="32"/>
        </w:rPr>
        <w:t>、机构设置及人员情况</w:t>
      </w:r>
    </w:p>
    <w:p>
      <w:pPr>
        <w:spacing w:line="560" w:lineRule="exact"/>
        <w:ind w:right="-210" w:rightChars="-100" w:firstLine="640" w:firstLineChars="200"/>
        <w:jc w:val="lef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兴国县市场监督管理局编制数146人，其中：行政编制117人、全额事业编制29人；实有人数128人，其中：在职人数128人，包括行政人员105人、全额事业23人、；离休人员3人；退休人员153人。</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numPr>
          <w:ilvl w:val="0"/>
          <w:numId w:val="1"/>
        </w:numPr>
        <w:jc w:val="center"/>
        <w:rPr>
          <w:rFonts w:hint="eastAsia" w:ascii="仿宋" w:hAnsi="仿宋" w:eastAsia="仿宋" w:cs="仿宋"/>
          <w:b/>
          <w:bCs/>
          <w:sz w:val="30"/>
          <w:szCs w:val="30"/>
        </w:rPr>
      </w:pPr>
      <w:r>
        <w:rPr>
          <w:rFonts w:hint="eastAsia" w:ascii="仿宋" w:hAnsi="仿宋" w:eastAsia="仿宋" w:cs="仿宋"/>
          <w:b/>
          <w:bCs/>
          <w:sz w:val="30"/>
          <w:szCs w:val="30"/>
        </w:rPr>
        <w:t>兴国县市场监督管理局2021年单位预算表</w:t>
      </w:r>
    </w:p>
    <w:p>
      <w:pPr>
        <w:pStyle w:val="10"/>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w:t>
      </w:r>
      <w:r>
        <w:rPr>
          <w:rFonts w:ascii="Adobe 仿宋 Std R" w:hAnsi="Adobe 仿宋 Std R" w:eastAsia="Adobe 仿宋 Std R" w:cs="黑体"/>
          <w:kern w:val="2"/>
          <w:sz w:val="32"/>
          <w:szCs w:val="30"/>
        </w:rPr>
        <w:t>《收支预算总表》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9230" cy="6659880"/>
            <wp:effectExtent l="0" t="0" r="7620" b="7620"/>
            <wp:docPr id="1" name="图片 1" descr="7f6de236e6694dca50808416f0d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f6de236e6694dca50808416f0d3176"/>
                    <pic:cNvPicPr>
                      <a:picLocks noChangeAspect="1"/>
                    </pic:cNvPicPr>
                  </pic:nvPicPr>
                  <pic:blipFill>
                    <a:blip r:embed="rId4"/>
                    <a:stretch>
                      <a:fillRect/>
                    </a:stretch>
                  </pic:blipFill>
                  <pic:spPr>
                    <a:xfrm>
                      <a:off x="0" y="0"/>
                      <a:ext cx="5269230" cy="6659880"/>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pStyle w:val="10"/>
        <w:keepNext w:val="0"/>
        <w:keepLines w:val="0"/>
        <w:pageBreakBefore w:val="0"/>
        <w:widowControl/>
        <w:kinsoku/>
        <w:wordWrap/>
        <w:overflowPunct/>
        <w:topLinePunct w:val="0"/>
        <w:autoSpaceDE/>
        <w:autoSpaceDN/>
        <w:bidi w:val="0"/>
        <w:adjustRightInd/>
        <w:snapToGrid/>
        <w:spacing w:line="560" w:lineRule="atLeast"/>
        <w:ind w:right="0" w:rightChars="0" w:firstLine="600" w:firstLineChars="200"/>
        <w:jc w:val="left"/>
        <w:textAlignment w:val="auto"/>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二、</w:t>
      </w:r>
      <w:r>
        <w:rPr>
          <w:rFonts w:ascii="Adobe 仿宋 Std R" w:hAnsi="Adobe 仿宋 Std R" w:eastAsia="Adobe 仿宋 Std R" w:cs="黑体"/>
          <w:kern w:val="2"/>
          <w:sz w:val="32"/>
          <w:szCs w:val="30"/>
        </w:rPr>
        <w:t>《部门收入总表》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6690" cy="3658870"/>
            <wp:effectExtent l="0" t="0" r="10160" b="17780"/>
            <wp:docPr id="2" name="图片 2" descr="1c8c592e2c7878d556f7e3e3c931b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c8c592e2c7878d556f7e3e3c931b16"/>
                    <pic:cNvPicPr>
                      <a:picLocks noChangeAspect="1"/>
                    </pic:cNvPicPr>
                  </pic:nvPicPr>
                  <pic:blipFill>
                    <a:blip r:embed="rId5"/>
                    <a:stretch>
                      <a:fillRect/>
                    </a:stretch>
                  </pic:blipFill>
                  <pic:spPr>
                    <a:xfrm>
                      <a:off x="0" y="0"/>
                      <a:ext cx="5266690" cy="3658870"/>
                    </a:xfrm>
                    <a:prstGeom prst="rect">
                      <a:avLst/>
                    </a:prstGeom>
                  </pic:spPr>
                </pic:pic>
              </a:graphicData>
            </a:graphic>
          </wp:inline>
        </w:drawing>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三、</w:t>
      </w:r>
      <w:r>
        <w:rPr>
          <w:rFonts w:ascii="Adobe 仿宋 Std R" w:hAnsi="Adobe 仿宋 Std R" w:eastAsia="Adobe 仿宋 Std R" w:cs="黑体"/>
          <w:kern w:val="2"/>
          <w:sz w:val="32"/>
          <w:szCs w:val="30"/>
        </w:rPr>
        <w:t>《部门支出总表》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9865" cy="3279775"/>
            <wp:effectExtent l="0" t="0" r="6985" b="15875"/>
            <wp:docPr id="3" name="图片 3" descr="68a4969ce134af4ac3b1431535426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8a4969ce134af4ac3b14315354263f"/>
                    <pic:cNvPicPr>
                      <a:picLocks noChangeAspect="1"/>
                    </pic:cNvPicPr>
                  </pic:nvPicPr>
                  <pic:blipFill>
                    <a:blip r:embed="rId6"/>
                    <a:stretch>
                      <a:fillRect/>
                    </a:stretch>
                  </pic:blipFill>
                  <pic:spPr>
                    <a:xfrm>
                      <a:off x="0" y="0"/>
                      <a:ext cx="5269865" cy="327977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pStyle w:val="10"/>
        <w:keepNext w:val="0"/>
        <w:keepLines w:val="0"/>
        <w:pageBreakBefore w:val="0"/>
        <w:widowControl/>
        <w:kinsoku/>
        <w:wordWrap/>
        <w:overflowPunct/>
        <w:topLinePunct w:val="0"/>
        <w:autoSpaceDE/>
        <w:autoSpaceDN/>
        <w:bidi w:val="0"/>
        <w:adjustRightInd/>
        <w:snapToGrid/>
        <w:spacing w:line="560" w:lineRule="atLeast"/>
        <w:ind w:right="0" w:rightChars="0" w:firstLine="600" w:firstLineChars="200"/>
        <w:jc w:val="left"/>
        <w:textAlignment w:val="auto"/>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四、</w:t>
      </w:r>
      <w:r>
        <w:rPr>
          <w:rFonts w:ascii="Adobe 仿宋 Std R" w:hAnsi="Adobe 仿宋 Std R" w:eastAsia="Adobe 仿宋 Std R" w:cs="黑体"/>
          <w:kern w:val="2"/>
          <w:sz w:val="32"/>
          <w:szCs w:val="30"/>
        </w:rPr>
        <w:t>《财政拨款收支总表》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3040" cy="6245860"/>
            <wp:effectExtent l="0" t="0" r="3810" b="2540"/>
            <wp:docPr id="4" name="图片 4" descr="faac26993b91284f0cf6626635b3b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aac26993b91284f0cf6626635b3b31"/>
                    <pic:cNvPicPr>
                      <a:picLocks noChangeAspect="1"/>
                    </pic:cNvPicPr>
                  </pic:nvPicPr>
                  <pic:blipFill>
                    <a:blip r:embed="rId7"/>
                    <a:stretch>
                      <a:fillRect/>
                    </a:stretch>
                  </pic:blipFill>
                  <pic:spPr>
                    <a:xfrm>
                      <a:off x="0" y="0"/>
                      <a:ext cx="5273040" cy="6245860"/>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pStyle w:val="10"/>
        <w:keepNext w:val="0"/>
        <w:keepLines w:val="0"/>
        <w:pageBreakBefore w:val="0"/>
        <w:widowControl/>
        <w:kinsoku/>
        <w:wordWrap/>
        <w:overflowPunct/>
        <w:topLinePunct w:val="0"/>
        <w:autoSpaceDE/>
        <w:autoSpaceDN/>
        <w:bidi w:val="0"/>
        <w:adjustRightInd/>
        <w:snapToGrid/>
        <w:spacing w:line="560" w:lineRule="atLeast"/>
        <w:ind w:right="0" w:rightChars="0" w:firstLine="600" w:firstLineChars="200"/>
        <w:jc w:val="left"/>
        <w:textAlignment w:val="auto"/>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五、</w:t>
      </w:r>
      <w:r>
        <w:rPr>
          <w:rFonts w:ascii="Adobe 仿宋 Std R" w:hAnsi="Adobe 仿宋 Std R" w:eastAsia="Adobe 仿宋 Std R" w:cs="黑体"/>
          <w:kern w:val="2"/>
          <w:sz w:val="32"/>
          <w:szCs w:val="30"/>
        </w:rPr>
        <w:t>《一般公共预算支出表》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6690" cy="3729355"/>
            <wp:effectExtent l="0" t="0" r="10160" b="4445"/>
            <wp:docPr id="5" name="图片 5" descr="3a9c91313b680def60999c7a27f0f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a9c91313b680def60999c7a27f0f34"/>
                    <pic:cNvPicPr>
                      <a:picLocks noChangeAspect="1"/>
                    </pic:cNvPicPr>
                  </pic:nvPicPr>
                  <pic:blipFill>
                    <a:blip r:embed="rId8"/>
                    <a:stretch>
                      <a:fillRect/>
                    </a:stretch>
                  </pic:blipFill>
                  <pic:spPr>
                    <a:xfrm>
                      <a:off x="0" y="0"/>
                      <a:ext cx="5266690" cy="372935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六、</w:t>
      </w:r>
      <w:r>
        <w:rPr>
          <w:rFonts w:ascii="Adobe 仿宋 Std R" w:hAnsi="Adobe 仿宋 Std R" w:eastAsia="Adobe 仿宋 Std R" w:cs="黑体"/>
          <w:kern w:val="2"/>
          <w:sz w:val="32"/>
          <w:szCs w:val="30"/>
        </w:rPr>
        <w:t>《一般公共预算基本支出表》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3675" cy="5232400"/>
            <wp:effectExtent l="0" t="0" r="3175" b="6350"/>
            <wp:docPr id="6" name="图片 6" descr="c9d4c2d96958e62489a769a948ffe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9d4c2d96958e62489a769a948ffefa"/>
                    <pic:cNvPicPr>
                      <a:picLocks noChangeAspect="1"/>
                    </pic:cNvPicPr>
                  </pic:nvPicPr>
                  <pic:blipFill>
                    <a:blip r:embed="rId9"/>
                    <a:stretch>
                      <a:fillRect/>
                    </a:stretch>
                  </pic:blipFill>
                  <pic:spPr>
                    <a:xfrm>
                      <a:off x="0" y="0"/>
                      <a:ext cx="5273675" cy="5232400"/>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七、</w:t>
      </w:r>
      <w:r>
        <w:rPr>
          <w:rFonts w:ascii="Adobe 仿宋 Std R" w:hAnsi="Adobe 仿宋 Std R" w:eastAsia="Adobe 仿宋 Std R" w:cs="黑体"/>
          <w:kern w:val="2"/>
          <w:sz w:val="32"/>
          <w:szCs w:val="30"/>
        </w:rPr>
        <w:t>《一般公共预算“三公”经费支出表》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4310" cy="1136015"/>
            <wp:effectExtent l="0" t="0" r="2540" b="6985"/>
            <wp:docPr id="7" name="图片 7" descr="487822c8b89430c0071120b72aa63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87822c8b89430c0071120b72aa637d"/>
                    <pic:cNvPicPr>
                      <a:picLocks noChangeAspect="1"/>
                    </pic:cNvPicPr>
                  </pic:nvPicPr>
                  <pic:blipFill>
                    <a:blip r:embed="rId10"/>
                    <a:stretch>
                      <a:fillRect/>
                    </a:stretch>
                  </pic:blipFill>
                  <pic:spPr>
                    <a:xfrm>
                      <a:off x="0" y="0"/>
                      <a:ext cx="5274310" cy="1136015"/>
                    </a:xfrm>
                    <a:prstGeom prst="rect">
                      <a:avLst/>
                    </a:prstGeom>
                  </pic:spPr>
                </pic:pic>
              </a:graphicData>
            </a:graphic>
          </wp:inline>
        </w:drawing>
      </w:r>
    </w:p>
    <w:p>
      <w:pPr>
        <w:pStyle w:val="10"/>
        <w:keepNext w:val="0"/>
        <w:keepLines w:val="0"/>
        <w:pageBreakBefore w:val="0"/>
        <w:widowControl/>
        <w:kinsoku/>
        <w:wordWrap/>
        <w:overflowPunct/>
        <w:topLinePunct w:val="0"/>
        <w:autoSpaceDE/>
        <w:autoSpaceDN/>
        <w:bidi w:val="0"/>
        <w:adjustRightInd/>
        <w:snapToGrid/>
        <w:spacing w:line="560" w:lineRule="atLeast"/>
        <w:ind w:right="0" w:rightChars="0"/>
        <w:jc w:val="left"/>
        <w:textAlignment w:val="auto"/>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八、</w:t>
      </w:r>
      <w:r>
        <w:rPr>
          <w:rFonts w:ascii="Adobe 仿宋 Std R" w:hAnsi="Adobe 仿宋 Std R" w:eastAsia="Adobe 仿宋 Std R" w:cs="黑体"/>
          <w:kern w:val="2"/>
          <w:sz w:val="32"/>
          <w:szCs w:val="30"/>
        </w:rPr>
        <w:t>《政府性基金预算支出表》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0500" cy="1036955"/>
            <wp:effectExtent l="0" t="0" r="6350" b="10795"/>
            <wp:docPr id="8" name="图片 8" descr="b258075d032f7e5217149303ab7d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258075d032f7e5217149303ab7d840"/>
                    <pic:cNvPicPr>
                      <a:picLocks noChangeAspect="1"/>
                    </pic:cNvPicPr>
                  </pic:nvPicPr>
                  <pic:blipFill>
                    <a:blip r:embed="rId11"/>
                    <a:stretch>
                      <a:fillRect/>
                    </a:stretch>
                  </pic:blipFill>
                  <pic:spPr>
                    <a:xfrm>
                      <a:off x="0" y="0"/>
                      <a:ext cx="5270500" cy="1036955"/>
                    </a:xfrm>
                    <a:prstGeom prst="rect">
                      <a:avLst/>
                    </a:prstGeom>
                  </pic:spPr>
                </pic:pic>
              </a:graphicData>
            </a:graphic>
          </wp:inline>
        </w:drawing>
      </w: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hint="eastAsia" w:ascii="仿宋" w:hAnsi="仿宋" w:eastAsia="仿宋" w:cs="仿宋"/>
          <w:sz w:val="30"/>
          <w:szCs w:val="30"/>
          <w:lang w:val="en-US" w:eastAsia="zh-CN"/>
        </w:rPr>
      </w:pPr>
    </w:p>
    <w:p>
      <w:pPr>
        <w:pStyle w:val="10"/>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ascii="Adobe 仿宋 Std R" w:hAnsi="Adobe 仿宋 Std R" w:eastAsia="Adobe 仿宋 Std R" w:cs="黑体"/>
          <w:kern w:val="2"/>
          <w:sz w:val="32"/>
          <w:szCs w:val="30"/>
        </w:rPr>
      </w:pPr>
      <w:r>
        <w:rPr>
          <w:rFonts w:hint="eastAsia" w:ascii="仿宋" w:hAnsi="仿宋" w:eastAsia="仿宋" w:cs="仿宋"/>
          <w:sz w:val="30"/>
          <w:szCs w:val="30"/>
          <w:lang w:val="en-US" w:eastAsia="zh-CN"/>
        </w:rPr>
        <w:t>九、</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drawing>
          <wp:inline distT="0" distB="0" distL="114300" distR="114300">
            <wp:extent cx="5269865" cy="6062345"/>
            <wp:effectExtent l="0" t="0" r="6985" b="14605"/>
            <wp:docPr id="9" name="图片 9" descr="004509555fe90da079a720ec6fd9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04509555fe90da079a720ec6fd9367"/>
                    <pic:cNvPicPr>
                      <a:picLocks noChangeAspect="1"/>
                    </pic:cNvPicPr>
                  </pic:nvPicPr>
                  <pic:blipFill>
                    <a:blip r:embed="rId12"/>
                    <a:stretch>
                      <a:fillRect/>
                    </a:stretch>
                  </pic:blipFill>
                  <pic:spPr>
                    <a:xfrm>
                      <a:off x="0" y="0"/>
                      <a:ext cx="5269865" cy="606234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jc w:val="left"/>
        <w:rPr>
          <w:rFonts w:hint="eastAsia" w:ascii="仿宋" w:hAnsi="仿宋" w:eastAsia="仿宋" w:cs="仿宋"/>
          <w:b/>
          <w:bCs/>
          <w:sz w:val="30"/>
          <w:szCs w:val="30"/>
        </w:rPr>
      </w:pPr>
    </w:p>
    <w:p>
      <w:pPr>
        <w:jc w:val="left"/>
        <w:rPr>
          <w:rFonts w:hint="eastAsia" w:ascii="仿宋" w:hAnsi="仿宋" w:eastAsia="仿宋" w:cs="仿宋"/>
          <w:b/>
          <w:bCs/>
          <w:sz w:val="30"/>
          <w:szCs w:val="30"/>
        </w:rPr>
      </w:pPr>
    </w:p>
    <w:p>
      <w:pPr>
        <w:jc w:val="left"/>
        <w:rPr>
          <w:rFonts w:hint="eastAsia" w:ascii="仿宋" w:hAnsi="仿宋" w:eastAsia="仿宋" w:cs="仿宋"/>
          <w:b/>
          <w:bCs/>
          <w:sz w:val="30"/>
          <w:szCs w:val="30"/>
        </w:rPr>
      </w:pPr>
    </w:p>
    <w:p>
      <w:pPr>
        <w:jc w:val="left"/>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 兴国县市场监督管理局2021年单位预算情况说明</w:t>
      </w:r>
    </w:p>
    <w:p>
      <w:pPr>
        <w:spacing w:line="560" w:lineRule="exact"/>
        <w:ind w:right="-210" w:rightChars="-100"/>
        <w:jc w:val="left"/>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（一）收入预算情况</w:t>
      </w:r>
    </w:p>
    <w:p>
      <w:pPr>
        <w:widowControl/>
        <w:ind w:firstLine="960" w:firstLineChars="300"/>
        <w:jc w:val="left"/>
        <w:rPr>
          <w:rFonts w:hint="eastAsia"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2021年兴国县市场监督管理局收入预算总额为2098.4万元，</w:t>
      </w:r>
      <w:r>
        <w:rPr>
          <w:rFonts w:hint="eastAsia" w:ascii="仿宋" w:hAnsi="仿宋" w:eastAsia="仿宋" w:cs="仿宋_GB2312"/>
          <w:color w:val="000000" w:themeColor="text1"/>
          <w:sz w:val="32"/>
          <w:szCs w:val="32"/>
          <w:lang w:eastAsia="zh-CN"/>
        </w:rPr>
        <w:t>较</w:t>
      </w:r>
      <w:r>
        <w:rPr>
          <w:rFonts w:hint="eastAsia" w:ascii="仿宋" w:hAnsi="仿宋" w:eastAsia="仿宋" w:cs="仿宋_GB2312"/>
          <w:color w:val="000000" w:themeColor="text1"/>
          <w:sz w:val="32"/>
          <w:szCs w:val="32"/>
          <w:lang w:val="en-US" w:eastAsia="zh-CN"/>
        </w:rPr>
        <w:t>上年预算安排减少344..46万。</w:t>
      </w:r>
      <w:r>
        <w:rPr>
          <w:rFonts w:hint="eastAsia" w:ascii="仿宋" w:hAnsi="仿宋" w:eastAsia="仿宋" w:cs="仿宋_GB2312"/>
          <w:b/>
          <w:bCs/>
          <w:color w:val="000000" w:themeColor="text1"/>
          <w:sz w:val="32"/>
          <w:szCs w:val="32"/>
          <w:lang w:val="en-US" w:eastAsia="zh-CN"/>
        </w:rPr>
        <w:t>主要原因为</w:t>
      </w:r>
      <w:r>
        <w:rPr>
          <w:rFonts w:hint="eastAsia" w:ascii="仿宋" w:hAnsi="仿宋" w:eastAsia="仿宋" w:cs="仿宋_GB2312"/>
          <w:color w:val="000000" w:themeColor="text1"/>
          <w:sz w:val="32"/>
          <w:szCs w:val="32"/>
          <w:lang w:val="en-US" w:eastAsia="zh-CN"/>
        </w:rPr>
        <w:t>：本年度下属单位兴国县市场监督执法稽查局独立核算。</w:t>
      </w:r>
    </w:p>
    <w:p>
      <w:pPr>
        <w:widowControl/>
        <w:ind w:firstLine="960" w:firstLineChars="300"/>
        <w:jc w:val="left"/>
        <w:rPr>
          <w:rFonts w:hint="eastAsia"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其中：财政拨款收入2098.4万元，占收入预算总额的100%，包括财政拨款（补助）收入1898.4万元、纳入预算管理的非税收入200万元。</w:t>
      </w:r>
    </w:p>
    <w:p>
      <w:pPr>
        <w:spacing w:line="560" w:lineRule="exact"/>
        <w:ind w:right="-210" w:rightChars="-100"/>
        <w:jc w:val="left"/>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（二）支出预算情况</w:t>
      </w:r>
    </w:p>
    <w:p>
      <w:pPr>
        <w:spacing w:line="560" w:lineRule="exact"/>
        <w:ind w:right="-210" w:rightChars="-100" w:firstLine="640" w:firstLineChars="200"/>
        <w:jc w:val="lef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2021年兴国县市场监督管理局支出预算总额为2098.4万元，</w:t>
      </w:r>
      <w:r>
        <w:rPr>
          <w:rFonts w:hint="eastAsia" w:ascii="仿宋" w:hAnsi="仿宋" w:eastAsia="仿宋" w:cs="仿宋_GB2312"/>
          <w:color w:val="000000" w:themeColor="text1"/>
          <w:sz w:val="32"/>
          <w:szCs w:val="32"/>
          <w:lang w:eastAsia="zh-CN"/>
        </w:rPr>
        <w:t>较</w:t>
      </w:r>
      <w:r>
        <w:rPr>
          <w:rFonts w:hint="eastAsia" w:ascii="仿宋" w:hAnsi="仿宋" w:eastAsia="仿宋" w:cs="仿宋_GB2312"/>
          <w:color w:val="000000" w:themeColor="text1"/>
          <w:sz w:val="32"/>
          <w:szCs w:val="32"/>
          <w:lang w:val="en-US" w:eastAsia="zh-CN"/>
        </w:rPr>
        <w:t>上年预算安排减少344.46万。</w:t>
      </w:r>
      <w:r>
        <w:rPr>
          <w:rFonts w:hint="eastAsia" w:ascii="仿宋" w:hAnsi="仿宋" w:eastAsia="仿宋" w:cs="仿宋_GB2312"/>
          <w:b/>
          <w:bCs/>
          <w:color w:val="000000" w:themeColor="text1"/>
          <w:sz w:val="32"/>
          <w:szCs w:val="32"/>
          <w:lang w:val="en-US" w:eastAsia="zh-CN"/>
        </w:rPr>
        <w:t>主要原因为</w:t>
      </w:r>
      <w:r>
        <w:rPr>
          <w:rFonts w:hint="eastAsia" w:ascii="仿宋" w:hAnsi="仿宋" w:eastAsia="仿宋" w:cs="仿宋_GB2312"/>
          <w:color w:val="000000" w:themeColor="text1"/>
          <w:sz w:val="32"/>
          <w:szCs w:val="32"/>
          <w:lang w:val="en-US" w:eastAsia="zh-CN"/>
        </w:rPr>
        <w:t>：本年度下属单位兴国县市场监督执法稽查局独立核算。</w:t>
      </w:r>
      <w:r>
        <w:rPr>
          <w:rFonts w:hint="eastAsia" w:ascii="仿宋" w:hAnsi="仿宋" w:eastAsia="仿宋" w:cs="仿宋_GB2312"/>
          <w:color w:val="000000" w:themeColor="text1"/>
          <w:sz w:val="32"/>
          <w:szCs w:val="32"/>
        </w:rPr>
        <w:t>其中：</w:t>
      </w:r>
    </w:p>
    <w:p>
      <w:pPr>
        <w:spacing w:line="560" w:lineRule="exact"/>
        <w:ind w:right="-210" w:rightChars="-100" w:firstLine="643" w:firstLineChars="200"/>
        <w:jc w:val="left"/>
        <w:rPr>
          <w:rFonts w:ascii="仿宋" w:hAnsi="仿宋" w:eastAsia="仿宋" w:cs="仿宋_GB2312"/>
          <w:color w:val="000000" w:themeColor="text1"/>
          <w:sz w:val="32"/>
          <w:szCs w:val="32"/>
        </w:rPr>
      </w:pPr>
      <w:r>
        <w:rPr>
          <w:rFonts w:hint="eastAsia" w:ascii="仿宋" w:hAnsi="仿宋" w:eastAsia="仿宋" w:cs="仿宋_GB2312"/>
          <w:b/>
          <w:bCs/>
          <w:color w:val="000000" w:themeColor="text1"/>
          <w:sz w:val="32"/>
          <w:szCs w:val="32"/>
        </w:rPr>
        <w:t>按支出项目类别划分：</w:t>
      </w:r>
      <w:r>
        <w:rPr>
          <w:rFonts w:hint="eastAsia" w:ascii="仿宋" w:hAnsi="仿宋" w:eastAsia="仿宋" w:cs="仿宋_GB2312"/>
          <w:color w:val="000000" w:themeColor="text1"/>
          <w:sz w:val="32"/>
          <w:szCs w:val="32"/>
        </w:rPr>
        <w:t>基本支出1515.4万元，占支出预算总额的72.22%，包括工资福利支出1333.59万元、商品和服务支出144.12万元、对个人和家庭的补助支出37.69万元；项目支出583万元，占支出预算总额的27.78%，包括行政事业性项目支出383万元；成本性支出200万元。</w:t>
      </w:r>
    </w:p>
    <w:p>
      <w:pPr>
        <w:spacing w:line="560" w:lineRule="exact"/>
        <w:ind w:right="-210" w:rightChars="-100" w:firstLine="643" w:firstLineChars="200"/>
        <w:jc w:val="left"/>
        <w:rPr>
          <w:rFonts w:ascii="仿宋" w:hAnsi="仿宋" w:eastAsia="仿宋" w:cs="仿宋_GB2312"/>
          <w:color w:val="000000" w:themeColor="text1"/>
          <w:sz w:val="32"/>
          <w:szCs w:val="32"/>
        </w:rPr>
      </w:pPr>
      <w:r>
        <w:rPr>
          <w:rFonts w:hint="eastAsia" w:ascii="仿宋" w:hAnsi="仿宋" w:eastAsia="仿宋" w:cs="仿宋_GB2312"/>
          <w:b/>
          <w:bCs/>
          <w:color w:val="000000" w:themeColor="text1"/>
          <w:sz w:val="32"/>
          <w:szCs w:val="32"/>
        </w:rPr>
        <w:t>按支出功能科目划分：</w:t>
      </w:r>
      <w:r>
        <w:rPr>
          <w:rFonts w:hint="eastAsia" w:ascii="仿宋" w:hAnsi="仿宋" w:eastAsia="仿宋" w:cs="仿宋_GB2312"/>
          <w:color w:val="000000" w:themeColor="text1"/>
          <w:sz w:val="32"/>
          <w:szCs w:val="32"/>
        </w:rPr>
        <w:t>一般公共服务支出1070.76万元，占支出预算总额的51.03%；社会保障和就业196.15万元，占支出预算总额的9.35%；住房保障支出95.37万元，占支出预算总额的4.54%；医疗卫生支出153.12万元，占支出预算总额的7.3%；专项工作经费支出383万元，占支出预算总额的18.25%，罚没收入支出200万元，占支出预算总额的9.53%。</w:t>
      </w:r>
    </w:p>
    <w:p>
      <w:pPr>
        <w:spacing w:line="560" w:lineRule="exact"/>
        <w:ind w:right="-210" w:rightChars="-100" w:firstLine="643" w:firstLineChars="200"/>
        <w:jc w:val="left"/>
        <w:rPr>
          <w:rFonts w:hint="eastAsia" w:ascii="仿宋" w:hAnsi="仿宋" w:eastAsia="仿宋" w:cs="楷体_GB2312"/>
          <w:b/>
          <w:bCs/>
          <w:color w:val="000000" w:themeColor="text1"/>
          <w:sz w:val="32"/>
          <w:szCs w:val="32"/>
        </w:rPr>
      </w:pPr>
    </w:p>
    <w:p>
      <w:pPr>
        <w:spacing w:line="560" w:lineRule="exact"/>
        <w:ind w:right="-210" w:rightChars="-100"/>
        <w:jc w:val="left"/>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right="-210" w:rightChars="-100" w:firstLine="1280" w:firstLineChars="400"/>
        <w:rPr>
          <w:rFonts w:hint="eastAsia" w:ascii="仿宋" w:hAnsi="仿宋" w:eastAsia="仿宋" w:cs="仿宋_GB2312"/>
          <w:color w:val="000000" w:themeColor="text1"/>
          <w:sz w:val="32"/>
          <w:szCs w:val="32"/>
          <w:lang w:eastAsia="zh-CN"/>
        </w:rPr>
      </w:pPr>
      <w:r>
        <w:rPr>
          <w:rFonts w:hint="eastAsia" w:ascii="仿宋" w:hAnsi="仿宋" w:eastAsia="仿宋" w:cs="仿宋_GB2312"/>
          <w:color w:val="000000" w:themeColor="text1"/>
          <w:sz w:val="32"/>
          <w:szCs w:val="32"/>
          <w:lang w:eastAsia="zh-CN"/>
        </w:rPr>
        <w:t>2021年兴国县市场监督管理局财政拨款（补助）支出预算1898.4万元，占支出预算总额的90.47%，具体为：一般公共服务支出1070.76万元，占财政拨款（补助）支出的56.4%；社会保障和就业196.15万元，占财政拨款（补助）支出的10.33%；住房保障支出95.37万元，占支出预算总额的5.02%；医疗卫生支出153.12万元，占财政拨款（补助）支出的8.07%；专项工作经费支出383万元，占财政拨款（补助）支出的20.17%.</w:t>
      </w:r>
    </w:p>
    <w:p>
      <w:pPr>
        <w:rPr>
          <w:rFonts w:ascii="仿宋" w:hAnsi="仿宋" w:eastAsia="仿宋" w:cs="仿宋"/>
          <w:b/>
          <w:bCs/>
          <w:sz w:val="30"/>
          <w:szCs w:val="30"/>
        </w:rPr>
      </w:pPr>
      <w:r>
        <w:rPr>
          <w:rFonts w:hint="eastAsia" w:ascii="仿宋" w:hAnsi="仿宋" w:eastAsia="仿宋" w:cs="仿宋"/>
          <w:b/>
          <w:bCs/>
          <w:sz w:val="30"/>
          <w:szCs w:val="30"/>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w:t>
      </w:r>
      <w:r>
        <w:rPr>
          <w:rFonts w:hint="eastAsia" w:ascii="仿宋" w:hAnsi="仿宋" w:eastAsia="仿宋" w:cs="仿宋_GB2312"/>
          <w:color w:val="000000" w:themeColor="text1"/>
          <w:sz w:val="32"/>
          <w:szCs w:val="32"/>
          <w:lang w:eastAsia="zh-CN"/>
        </w:rPr>
        <w:t>管理局</w:t>
      </w:r>
      <w:r>
        <w:rPr>
          <w:rFonts w:hint="eastAsia" w:ascii="仿宋" w:hAnsi="仿宋" w:eastAsia="仿宋" w:cs="仿宋"/>
          <w:sz w:val="30"/>
          <w:szCs w:val="30"/>
        </w:rPr>
        <w:t>无政府性基金预算拨款安排的支出</w:t>
      </w:r>
      <w:r>
        <w:rPr>
          <w:rFonts w:hint="eastAsia" w:ascii="仿宋" w:hAnsi="仿宋" w:eastAsia="仿宋" w:cs="仿宋_GB2312"/>
          <w:color w:val="000000" w:themeColor="text1"/>
          <w:sz w:val="32"/>
          <w:szCs w:val="32"/>
        </w:rPr>
        <w:t>。</w:t>
      </w:r>
    </w:p>
    <w:p>
      <w:pPr>
        <w:rPr>
          <w:rFonts w:ascii="仿宋" w:hAnsi="仿宋" w:eastAsia="仿宋" w:cs="仿宋"/>
          <w:b/>
          <w:bCs/>
          <w:sz w:val="30"/>
          <w:szCs w:val="30"/>
        </w:rPr>
      </w:pPr>
      <w:r>
        <w:rPr>
          <w:rFonts w:hint="eastAsia" w:ascii="仿宋" w:hAnsi="仿宋" w:eastAsia="仿宋" w:cs="楷体_GB2312"/>
          <w:b/>
          <w:bCs/>
          <w:color w:val="000000" w:themeColor="text1"/>
          <w:sz w:val="32"/>
          <w:szCs w:val="32"/>
        </w:rPr>
        <w:t>（五）</w:t>
      </w:r>
      <w:r>
        <w:rPr>
          <w:rFonts w:hint="eastAsia" w:ascii="仿宋" w:hAnsi="仿宋" w:eastAsia="仿宋" w:cs="仿宋"/>
          <w:b/>
          <w:bCs/>
          <w:sz w:val="30"/>
          <w:szCs w:val="30"/>
        </w:rPr>
        <w:t>机关运行经费等重要事项的说明</w:t>
      </w:r>
    </w:p>
    <w:p>
      <w:pPr>
        <w:ind w:firstLine="426" w:firstLineChars="142"/>
        <w:rPr>
          <w:rFonts w:ascii="仿宋" w:hAnsi="仿宋" w:eastAsia="仿宋" w:cs="仿宋"/>
          <w:b/>
          <w:bCs/>
          <w:sz w:val="30"/>
          <w:szCs w:val="30"/>
        </w:rPr>
      </w:pPr>
      <w:r>
        <w:rPr>
          <w:rFonts w:hint="eastAsia" w:ascii="仿宋" w:hAnsi="仿宋" w:eastAsia="仿宋" w:cs="仿宋"/>
          <w:sz w:val="30"/>
          <w:szCs w:val="30"/>
        </w:rPr>
        <w:t>2021年单位机关运行费预算144.12万元，比2020年预算减少4.2万元，减少2.83％，原因为：2021年下属单位执法稽查局独立核算。其中：办公费11万元，印刷费1.3万元，水费1万元，电费10万元，邮电费1.1万元，取暖费5万元，差旅费12万元，维修费2万元，培训费1万元，公务接待费20万元，工会经费3万元，福利费2万元，公务交通补贴67.32万元，公车运行维护费5万元，其他商品服务支出1.4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2021年兴国县市场监管局政府采购总额21万元，其中：政府采购货物预算21万元。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（七）国有资产占有使用情况</w:t>
      </w:r>
    </w:p>
    <w:p>
      <w:pPr>
        <w:jc w:val="left"/>
        <w:rPr>
          <w:rFonts w:ascii="仿宋" w:hAnsi="仿宋" w:eastAsia="仿宋" w:cs="仿宋"/>
          <w:sz w:val="30"/>
          <w:szCs w:val="30"/>
        </w:rPr>
      </w:pPr>
      <w:r>
        <w:rPr>
          <w:rFonts w:hint="eastAsia" w:ascii="仿宋" w:hAnsi="仿宋" w:eastAsia="仿宋" w:cs="仿宋"/>
          <w:sz w:val="30"/>
          <w:szCs w:val="30"/>
        </w:rPr>
        <w:t>截至2020年12月31日、本单位共有车辆18辆，其中17辆为执法执勤用车，1辆为特种专业技术用车。</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（八）绩效目标设置情况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2021年实行绩效目标管理的项目1个，涉及资金172万元：</w:t>
      </w:r>
    </w:p>
    <w:p>
      <w:pPr>
        <w:ind w:firstLine="567" w:firstLineChars="189"/>
        <w:rPr>
          <w:rFonts w:ascii="仿宋" w:hAnsi="仿宋" w:eastAsia="仿宋" w:cs="仿宋"/>
          <w:sz w:val="30"/>
          <w:szCs w:val="30"/>
        </w:rPr>
      </w:pPr>
      <w:r>
        <w:rPr>
          <w:rFonts w:hint="eastAsia" w:ascii="仿宋" w:hAnsi="仿宋" w:eastAsia="仿宋" w:cs="仿宋"/>
          <w:sz w:val="30"/>
          <w:szCs w:val="30"/>
        </w:rPr>
        <w:t>1、项目概述：对我县食品、药品、医疗器械、保健品、化妆品的质量状况进行监管，对食品、药品、医疗器械、化妆品进行监督抽验，以全面掌握我县食品药品质量安全状况。</w:t>
      </w:r>
    </w:p>
    <w:p>
      <w:pPr>
        <w:ind w:firstLine="567" w:firstLineChars="189"/>
        <w:rPr>
          <w:rFonts w:ascii="仿宋" w:hAnsi="仿宋" w:eastAsia="仿宋" w:cs="仿宋"/>
          <w:sz w:val="30"/>
          <w:szCs w:val="30"/>
        </w:rPr>
      </w:pPr>
      <w:r>
        <w:rPr>
          <w:rFonts w:hint="eastAsia" w:ascii="仿宋" w:hAnsi="仿宋" w:eastAsia="仿宋" w:cs="仿宋"/>
          <w:sz w:val="30"/>
          <w:szCs w:val="30"/>
        </w:rPr>
        <w:t>2.立项依据：根据赣府办发【2017】109号、赣市府办字【2015】86号、兴办字【2019】92号文件精神立项。</w:t>
      </w:r>
    </w:p>
    <w:p>
      <w:pPr>
        <w:ind w:firstLine="567" w:firstLineChars="189"/>
        <w:rPr>
          <w:rFonts w:ascii="仿宋" w:hAnsi="仿宋" w:eastAsia="仿宋" w:cs="仿宋"/>
          <w:sz w:val="30"/>
          <w:szCs w:val="30"/>
        </w:rPr>
      </w:pPr>
      <w:r>
        <w:rPr>
          <w:rFonts w:hint="eastAsia" w:ascii="仿宋" w:hAnsi="仿宋" w:eastAsia="仿宋" w:cs="仿宋"/>
          <w:sz w:val="30"/>
          <w:szCs w:val="30"/>
        </w:rPr>
        <w:t>3.实施主体：兴国县市场监督管理局</w:t>
      </w:r>
    </w:p>
    <w:p>
      <w:pPr>
        <w:ind w:firstLine="567" w:firstLineChars="189"/>
        <w:rPr>
          <w:rFonts w:ascii="仿宋" w:hAnsi="仿宋" w:eastAsia="仿宋" w:cs="仿宋"/>
          <w:sz w:val="30"/>
          <w:szCs w:val="30"/>
        </w:rPr>
      </w:pPr>
      <w:r>
        <w:rPr>
          <w:rFonts w:hint="eastAsia" w:ascii="仿宋" w:hAnsi="仿宋" w:eastAsia="仿宋" w:cs="仿宋"/>
          <w:sz w:val="30"/>
          <w:szCs w:val="30"/>
        </w:rPr>
        <w:t>4、实施周期：2021年1月1日至2021年12月31日。</w:t>
      </w:r>
    </w:p>
    <w:p>
      <w:pPr>
        <w:ind w:firstLine="567" w:firstLineChars="189"/>
        <w:rPr>
          <w:rFonts w:ascii="仿宋" w:hAnsi="仿宋" w:eastAsia="仿宋" w:cs="仿宋"/>
          <w:sz w:val="30"/>
          <w:szCs w:val="30"/>
        </w:rPr>
      </w:pPr>
      <w:r>
        <w:rPr>
          <w:rFonts w:hint="eastAsia" w:ascii="仿宋" w:hAnsi="仿宋" w:eastAsia="仿宋" w:cs="仿宋"/>
          <w:sz w:val="30"/>
          <w:szCs w:val="30"/>
        </w:rPr>
        <w:t>5.年度预算安排：年度预算总安排172万元。</w:t>
      </w:r>
    </w:p>
    <w:p>
      <w:pPr>
        <w:ind w:firstLine="567" w:firstLineChars="189"/>
        <w:rPr>
          <w:rFonts w:ascii="仿宋" w:hAnsi="仿宋" w:eastAsia="仿宋" w:cs="仿宋"/>
          <w:sz w:val="30"/>
          <w:szCs w:val="30"/>
        </w:rPr>
      </w:pPr>
      <w:r>
        <w:rPr>
          <w:rFonts w:hint="eastAsia" w:ascii="仿宋" w:hAnsi="仿宋" w:eastAsia="仿宋" w:cs="仿宋"/>
          <w:sz w:val="30"/>
          <w:szCs w:val="30"/>
        </w:rPr>
        <w:t>6.年度绩效目标：以创建“国家食品安全示范城市”，保障我县食品安全为目标，通过对食品药品抽验，发现食品药品安全问题，及时控制苗头性、系统性、区域食品药品安全风险和问题，实现监督抽验、核查处置与信息公开职动机制，倒逼生产经营企业落实质量安全主体责任，进一步我县食品药品产业健康有序发展。</w:t>
      </w:r>
    </w:p>
    <w:p>
      <w:pPr>
        <w:rPr>
          <w:rFonts w:ascii="仿宋" w:hAnsi="仿宋" w:eastAsia="仿宋" w:cs="仿宋"/>
          <w:sz w:val="30"/>
          <w:szCs w:val="30"/>
        </w:rPr>
      </w:pPr>
      <w:r>
        <w:rPr>
          <w:rFonts w:hint="eastAsia" w:ascii="仿宋" w:hAnsi="仿宋" w:eastAsia="仿宋" w:cs="仿宋"/>
          <w:b/>
          <w:bCs/>
          <w:sz w:val="30"/>
          <w:szCs w:val="30"/>
        </w:rPr>
        <w:t>二、2021年“三公”经费预算情况说明</w:t>
      </w:r>
    </w:p>
    <w:p>
      <w:pPr>
        <w:ind w:firstLine="567" w:firstLineChars="189"/>
        <w:rPr>
          <w:rFonts w:ascii="仿宋" w:hAnsi="仿宋" w:eastAsia="仿宋" w:cs="仿宋"/>
          <w:sz w:val="30"/>
          <w:szCs w:val="30"/>
        </w:rPr>
      </w:pPr>
      <w:r>
        <w:rPr>
          <w:rFonts w:hint="eastAsia" w:ascii="仿宋" w:hAnsi="仿宋" w:eastAsia="仿宋" w:cs="仿宋"/>
          <w:sz w:val="30"/>
          <w:szCs w:val="30"/>
        </w:rPr>
        <w:t>2021年兴国县市场监督管理</w:t>
      </w:r>
      <w:r>
        <w:rPr>
          <w:rFonts w:hint="eastAsia" w:ascii="仿宋" w:hAnsi="仿宋" w:eastAsia="仿宋" w:cs="仿宋"/>
          <w:sz w:val="30"/>
          <w:szCs w:val="30"/>
          <w:lang w:eastAsia="zh-CN"/>
        </w:rPr>
        <w:t>局</w:t>
      </w:r>
      <w:r>
        <w:rPr>
          <w:rFonts w:hint="eastAsia" w:ascii="仿宋" w:hAnsi="仿宋" w:eastAsia="仿宋" w:cs="仿宋"/>
          <w:sz w:val="30"/>
          <w:szCs w:val="30"/>
        </w:rPr>
        <w:t>“三公”经费一般公共预算安排90万元。其中：</w:t>
      </w:r>
    </w:p>
    <w:p>
      <w:pPr>
        <w:ind w:firstLine="567" w:firstLineChars="189"/>
        <w:rPr>
          <w:rFonts w:ascii="仿宋" w:hAnsi="仿宋" w:eastAsia="仿宋" w:cs="仿宋"/>
          <w:sz w:val="30"/>
          <w:szCs w:val="30"/>
        </w:rPr>
      </w:pPr>
      <w:r>
        <w:rPr>
          <w:rFonts w:hint="eastAsia" w:ascii="仿宋" w:hAnsi="仿宋" w:eastAsia="仿宋" w:cs="仿宋"/>
          <w:sz w:val="30"/>
          <w:szCs w:val="30"/>
        </w:rPr>
        <w:t>因公出国（境）费0万元，比上年增（减）0万元。</w:t>
      </w:r>
      <w:r>
        <w:rPr>
          <w:rFonts w:ascii="仿宋" w:hAnsi="仿宋" w:eastAsia="仿宋" w:cs="仿宋"/>
          <w:sz w:val="30"/>
          <w:szCs w:val="30"/>
        </w:rPr>
        <w:t xml:space="preserve"> </w:t>
      </w:r>
      <w:r>
        <w:rPr>
          <w:rFonts w:hint="eastAsia" w:ascii="仿宋" w:hAnsi="仿宋" w:eastAsia="仿宋" w:cs="仿宋"/>
          <w:sz w:val="30"/>
          <w:szCs w:val="30"/>
        </w:rPr>
        <w:t>本</w:t>
      </w:r>
      <w:r>
        <w:rPr>
          <w:rFonts w:hint="eastAsia" w:ascii="仿宋" w:hAnsi="仿宋" w:eastAsia="仿宋" w:cs="仿宋"/>
          <w:sz w:val="30"/>
          <w:szCs w:val="30"/>
          <w:lang w:val="en-US" w:eastAsia="zh-CN"/>
        </w:rPr>
        <w:t>单位</w:t>
      </w:r>
      <w:r>
        <w:rPr>
          <w:rFonts w:hint="eastAsia" w:ascii="仿宋" w:hAnsi="仿宋" w:eastAsia="仿宋" w:cs="仿宋"/>
          <w:sz w:val="30"/>
          <w:szCs w:val="30"/>
        </w:rPr>
        <w:t>无此类支出。</w:t>
      </w:r>
    </w:p>
    <w:p>
      <w:pPr>
        <w:ind w:firstLine="567" w:firstLineChars="189"/>
        <w:rPr>
          <w:rFonts w:ascii="仿宋" w:hAnsi="仿宋" w:eastAsia="仿宋" w:cs="仿宋"/>
          <w:sz w:val="30"/>
          <w:szCs w:val="30"/>
        </w:rPr>
      </w:pPr>
      <w:r>
        <w:rPr>
          <w:rFonts w:hint="eastAsia" w:ascii="仿宋" w:hAnsi="仿宋" w:eastAsia="仿宋" w:cs="仿宋"/>
          <w:sz w:val="30"/>
          <w:szCs w:val="30"/>
        </w:rPr>
        <w:t>公务接待费20万元，比上年减少2万元，主要原因</w:t>
      </w:r>
    </w:p>
    <w:p>
      <w:pPr>
        <w:rPr>
          <w:rFonts w:hint="eastAsia" w:ascii="仿宋" w:hAnsi="仿宋" w:eastAsia="仿宋" w:cs="仿宋"/>
          <w:sz w:val="30"/>
          <w:szCs w:val="30"/>
        </w:rPr>
      </w:pPr>
      <w:r>
        <w:rPr>
          <w:rFonts w:hint="eastAsia" w:ascii="仿宋" w:hAnsi="仿宋" w:eastAsia="仿宋" w:cs="仿宋"/>
          <w:sz w:val="30"/>
          <w:szCs w:val="30"/>
        </w:rPr>
        <w:t>是：按财政要求公务接待费每年递减。</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公务用车购置费0万元。</w:t>
      </w:r>
      <w:r>
        <w:rPr>
          <w:rFonts w:hint="eastAsia" w:ascii="仿宋" w:hAnsi="仿宋" w:eastAsia="仿宋" w:cs="仿宋"/>
          <w:sz w:val="30"/>
          <w:szCs w:val="30"/>
        </w:rPr>
        <w:t>本</w:t>
      </w:r>
      <w:r>
        <w:rPr>
          <w:rFonts w:hint="eastAsia" w:ascii="仿宋" w:hAnsi="仿宋" w:eastAsia="仿宋" w:cs="仿宋"/>
          <w:sz w:val="30"/>
          <w:szCs w:val="30"/>
          <w:lang w:val="en-US" w:eastAsia="zh-CN"/>
        </w:rPr>
        <w:t>单位</w:t>
      </w:r>
      <w:r>
        <w:rPr>
          <w:rFonts w:hint="eastAsia" w:ascii="仿宋" w:hAnsi="仿宋" w:eastAsia="仿宋" w:cs="仿宋"/>
          <w:sz w:val="30"/>
          <w:szCs w:val="30"/>
        </w:rPr>
        <w:t>无此类支出</w:t>
      </w:r>
      <w:r>
        <w:rPr>
          <w:rFonts w:hint="eastAsia" w:ascii="仿宋" w:hAnsi="仿宋" w:eastAsia="仿宋" w:cs="仿宋"/>
          <w:sz w:val="30"/>
          <w:szCs w:val="30"/>
          <w:lang w:eastAsia="zh-CN"/>
        </w:rPr>
        <w:t>。</w:t>
      </w:r>
      <w:bookmarkStart w:id="0" w:name="_GoBack"/>
      <w:bookmarkEnd w:id="0"/>
    </w:p>
    <w:p>
      <w:pPr>
        <w:ind w:firstLine="567" w:firstLineChars="189"/>
        <w:rPr>
          <w:rFonts w:ascii="仿宋" w:hAnsi="仿宋" w:eastAsia="仿宋" w:cs="仿宋"/>
          <w:sz w:val="30"/>
          <w:szCs w:val="30"/>
        </w:rPr>
      </w:pPr>
      <w:r>
        <w:rPr>
          <w:rFonts w:hint="eastAsia" w:ascii="仿宋" w:hAnsi="仿宋" w:eastAsia="仿宋" w:cs="仿宋"/>
          <w:sz w:val="30"/>
          <w:szCs w:val="30"/>
        </w:rPr>
        <w:t>公务用车运行维护费70万元，比上年增加10万元，主要原因是：执法车辆使用年限长，设施老旧，维修费等相关运行费用增加。</w:t>
      </w:r>
    </w:p>
    <w:p>
      <w:pPr>
        <w:ind w:firstLine="567" w:firstLineChars="189"/>
        <w:rPr>
          <w:rFonts w:ascii="仿宋" w:hAnsi="仿宋" w:eastAsia="仿宋" w:cs="仿宋"/>
          <w:sz w:val="30"/>
          <w:szCs w:val="30"/>
        </w:rPr>
      </w:pPr>
    </w:p>
    <w:p>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（三）事业单位经营收入：指事业单位在专业业务活动及辅助活动之外开展非独立核算经营活动取得的收入。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（四）上年结转和结余：填列2018年全部结转和结余的资金数，包括当年结转结余资金和历年滚存结转结余资金。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（五）上级补助收入：反映事业单位从主管部门和上级单位取得的非财政补助收入。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（六）其他收入：指除财政拨款、事业收入、事业单位经营收入等以外的各项收入。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二、支出科目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（一）行政运行：反映行政单位（事业单位）的基本支出。</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（二）一般行政管理事务：反映行政单位（包括事业单位）未单独设置项级科目的其他项目支出。</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（三）机关事业单位基本养老保险缴费支出：反映机关事业单位实施养老保险制度由单位缴纳的基本养老保险费的支出。</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（四）行政单位医疗：反映行政事业单位基本医疗保险缴费经费。</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（五）事业单位医疗：反映财政部门集中安排的事业单位基本医疗保险缴费经费。</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（六）死亡抚恤：反映单位遗属人员生活补助。</w:t>
      </w:r>
    </w:p>
    <w:p>
      <w:pPr>
        <w:ind w:firstLine="567" w:firstLineChars="189"/>
        <w:rPr>
          <w:rFonts w:ascii="仿宋" w:hAnsi="仿宋" w:eastAsia="仿宋" w:cs="仿宋"/>
          <w:sz w:val="30"/>
          <w:szCs w:val="30"/>
        </w:rPr>
      </w:pPr>
      <w:r>
        <w:rPr>
          <w:rFonts w:hint="eastAsia" w:ascii="仿宋" w:hAnsi="仿宋" w:eastAsia="仿宋" w:cs="仿宋"/>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FBC32"/>
    <w:multiLevelType w:val="singleLevel"/>
    <w:tmpl w:val="86CFBC32"/>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2"/>
  </w:compat>
  <w:docVars>
    <w:docVar w:name="commondata" w:val="eyJoZGlkIjoiMWI2NTkxZTdiZjU2YWYwNDg3NzUzMTg0YzA2ODc2YzQifQ=="/>
  </w:docVars>
  <w:rsids>
    <w:rsidRoot w:val="00000000"/>
    <w:rsid w:val="0B253ED3"/>
    <w:rsid w:val="280B4901"/>
    <w:rsid w:val="37E6167C"/>
    <w:rsid w:val="60291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List Paragraph"/>
    <w:basedOn w:val="1"/>
    <w:qFormat/>
    <w:uiPriority w:val="34"/>
    <w:pPr>
      <w:ind w:firstLine="420" w:firstLineChars="200"/>
    </w:pPr>
  </w:style>
  <w:style w:type="paragraph" w:customStyle="1" w:styleId="9">
    <w:name w:val="No Spacing"/>
    <w:qFormat/>
    <w:uiPriority w:val="1"/>
    <w:pPr>
      <w:widowControl w:val="0"/>
      <w:jc w:val="both"/>
    </w:pPr>
    <w:rPr>
      <w:rFonts w:ascii="Times New Roman" w:hAnsi="Times New Roman" w:eastAsia="宋体" w:cs="Times New Roman"/>
      <w:kern w:val="2"/>
      <w:sz w:val="21"/>
      <w:szCs w:val="20"/>
      <w:lang w:val="en-US" w:eastAsia="zh-CN" w:bidi="ar-SA"/>
    </w:rPr>
  </w:style>
  <w:style w:type="paragraph" w:customStyle="1" w:styleId="10">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2779</Words>
  <Characters>3092</Characters>
  <Lines>21</Lines>
  <Paragraphs>6</Paragraphs>
  <TotalTime>1</TotalTime>
  <ScaleCrop>false</ScaleCrop>
  <LinksUpToDate>false</LinksUpToDate>
  <CharactersWithSpaces>3127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2020-12-03T10:25:00Z</dcterms:created>
  <dc:creator>cw1</dc:creator>
  <cp:lastModifiedBy>cw1</cp:lastModifiedBy>
  <dcterms:modified xsi:type="dcterms:W3CDTF">2022-09-13T04:12:41Z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CCB65EEC3F894E8F97FD9191D370D47C</vt:lpwstr>
  </property>
</Properties>
</file>