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宋体" w:hAnsi="宋体" w:eastAsia="黑体" w:cs="黑体"/>
          <w:bCs/>
          <w:color w:val="000000" w:themeColor="text1"/>
          <w:sz w:val="32"/>
          <w:szCs w:val="32"/>
          <w14:textFill>
            <w14:solidFill>
              <w14:schemeClr w14:val="tx1"/>
            </w14:solidFill>
          </w14:textFill>
        </w:rPr>
      </w:pPr>
      <w:r>
        <w:rPr>
          <w:rFonts w:hint="eastAsia" w:ascii="宋体" w:hAnsi="宋体" w:eastAsia="黑体" w:cs="黑体"/>
          <w:bCs/>
          <w:color w:val="000000" w:themeColor="text1"/>
          <w:sz w:val="32"/>
          <w:szCs w:val="32"/>
          <w14:textFill>
            <w14:solidFill>
              <w14:schemeClr w14:val="tx1"/>
            </w14:solidFill>
          </w14:textFill>
        </w:rPr>
        <w:t>附件3</w:t>
      </w:r>
    </w:p>
    <w:p>
      <w:pPr>
        <w:spacing w:line="560" w:lineRule="exact"/>
        <w:jc w:val="center"/>
        <w:rPr>
          <w:rFonts w:ascii="方正小标宋简体" w:hAnsi="方正小标宋简体" w:eastAsia="方正小标宋简体" w:cs="方正小标宋简体"/>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 xml:space="preserve">  </w:t>
      </w:r>
      <w:r>
        <w:rPr>
          <w:rFonts w:hint="eastAsia" w:ascii="方正小标宋简体" w:hAnsi="方正小标宋简体" w:eastAsia="方正小标宋简体" w:cs="方正小标宋简体"/>
          <w:bCs/>
          <w:color w:val="000000" w:themeColor="text1"/>
          <w:sz w:val="44"/>
          <w:szCs w:val="44"/>
          <w:lang w:eastAsia="zh-CN"/>
          <w14:textFill>
            <w14:solidFill>
              <w14:schemeClr w14:val="tx1"/>
            </w14:solidFill>
          </w14:textFill>
        </w:rPr>
        <w:t>兴国县水利</w:t>
      </w: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局</w:t>
      </w:r>
      <w:r>
        <w:rPr>
          <w:rFonts w:hint="eastAsia" w:ascii="方正小标宋简体" w:hAnsi="方正小标宋简体" w:eastAsia="方正小标宋简体" w:cs="方正小标宋简体"/>
          <w:bCs/>
          <w:color w:val="000000" w:themeColor="text1"/>
          <w:sz w:val="44"/>
          <w:szCs w:val="44"/>
          <w:lang w:eastAsia="zh-CN"/>
          <w14:textFill>
            <w14:solidFill>
              <w14:schemeClr w14:val="tx1"/>
            </w14:solidFill>
          </w14:textFill>
        </w:rPr>
        <w:t>2022</w:t>
      </w: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年部门预算编制说明</w:t>
      </w:r>
    </w:p>
    <w:p>
      <w:pPr>
        <w:spacing w:line="560" w:lineRule="exact"/>
        <w:jc w:val="center"/>
        <w:rPr>
          <w:rFonts w:hint="eastAsia" w:ascii="黑体" w:hAnsi="黑体" w:eastAsia="黑体" w:cs="黑体"/>
          <w:sz w:val="36"/>
          <w:szCs w:val="36"/>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bookmarkStart w:id="0" w:name="_GoBack"/>
      <w:bookmarkEnd w:id="0"/>
    </w:p>
    <w:p>
      <w:pPr>
        <w:spacing w:line="560" w:lineRule="exact"/>
        <w:jc w:val="center"/>
        <w:rPr>
          <w:rFonts w:hint="eastAsia" w:ascii="黑体" w:hAnsi="黑体" w:eastAsia="黑体" w:cs="黑体"/>
          <w:sz w:val="32"/>
          <w:szCs w:val="32"/>
        </w:rPr>
      </w:pP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第一部分 兴国县</w:t>
      </w:r>
      <w:r>
        <w:rPr>
          <w:rFonts w:hint="eastAsia" w:ascii="仿宋" w:hAnsi="仿宋" w:eastAsia="仿宋" w:cs="仿宋"/>
          <w:b/>
          <w:bCs/>
          <w:sz w:val="32"/>
          <w:szCs w:val="32"/>
          <w:lang w:eastAsia="zh-CN"/>
        </w:rPr>
        <w:t>水利</w:t>
      </w:r>
      <w:r>
        <w:rPr>
          <w:rFonts w:hint="eastAsia" w:ascii="仿宋" w:hAnsi="仿宋" w:eastAsia="仿宋" w:cs="仿宋"/>
          <w:b/>
          <w:bCs/>
          <w:sz w:val="32"/>
          <w:szCs w:val="32"/>
        </w:rPr>
        <w:t>部门概况</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一、部门主要职责</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二、部门基本情况</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第二部分</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兴国县</w:t>
      </w:r>
      <w:r>
        <w:rPr>
          <w:rFonts w:hint="eastAsia" w:ascii="仿宋" w:hAnsi="仿宋" w:eastAsia="仿宋" w:cs="仿宋"/>
          <w:b/>
          <w:bCs/>
          <w:sz w:val="32"/>
          <w:szCs w:val="32"/>
          <w:lang w:eastAsia="zh-CN"/>
        </w:rPr>
        <w:t>水利局</w:t>
      </w:r>
      <w:r>
        <w:rPr>
          <w:rFonts w:hint="eastAsia" w:ascii="仿宋" w:hAnsi="仿宋" w:eastAsia="仿宋" w:cs="仿宋"/>
          <w:b/>
          <w:bCs/>
          <w:sz w:val="32"/>
          <w:szCs w:val="32"/>
          <w:lang w:val="en-US" w:eastAsia="zh-CN"/>
        </w:rPr>
        <w:t>2022</w:t>
      </w:r>
      <w:r>
        <w:rPr>
          <w:rFonts w:hint="eastAsia" w:ascii="仿宋" w:hAnsi="仿宋" w:eastAsia="仿宋" w:cs="仿宋"/>
          <w:b/>
          <w:bCs/>
          <w:sz w:val="32"/>
          <w:szCs w:val="32"/>
        </w:rPr>
        <w:t>年部门预算情况说明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sz w:val="32"/>
          <w:szCs w:val="32"/>
          <w:lang w:val="en-US" w:eastAsia="zh-CN"/>
        </w:rPr>
        <w:t>2022</w:t>
      </w:r>
      <w:r>
        <w:rPr>
          <w:rFonts w:hint="eastAsia" w:ascii="仿宋" w:hAnsi="仿宋" w:eastAsia="仿宋" w:cs="仿宋"/>
          <w:sz w:val="32"/>
          <w:szCs w:val="32"/>
        </w:rPr>
        <w:t>年部门预算收支情况说明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val="en-US" w:eastAsia="zh-CN"/>
        </w:rPr>
        <w:t>2022</w:t>
      </w:r>
      <w:r>
        <w:rPr>
          <w:rFonts w:hint="eastAsia" w:ascii="仿宋" w:hAnsi="仿宋" w:eastAsia="仿宋" w:cs="仿宋"/>
          <w:sz w:val="32"/>
          <w:szCs w:val="32"/>
        </w:rPr>
        <w:t>年“三公”经费预算情况说明</w:t>
      </w:r>
    </w:p>
    <w:p>
      <w:pPr>
        <w:spacing w:line="560" w:lineRule="exact"/>
        <w:ind w:left="641" w:hanging="684" w:hangingChars="213"/>
        <w:rPr>
          <w:rFonts w:hint="eastAsia" w:ascii="仿宋" w:hAnsi="仿宋" w:eastAsia="仿宋" w:cs="仿宋"/>
          <w:b/>
          <w:bCs/>
          <w:sz w:val="32"/>
          <w:szCs w:val="32"/>
        </w:rPr>
      </w:pPr>
      <w:r>
        <w:rPr>
          <w:rFonts w:hint="eastAsia" w:ascii="仿宋" w:hAnsi="仿宋" w:eastAsia="仿宋" w:cs="仿宋"/>
          <w:b/>
          <w:bCs/>
          <w:sz w:val="32"/>
          <w:szCs w:val="32"/>
        </w:rPr>
        <w:t>第三部分</w:t>
      </w:r>
      <w:r>
        <w:rPr>
          <w:rFonts w:hint="eastAsia" w:ascii="仿宋" w:hAnsi="仿宋" w:eastAsia="仿宋" w:cs="仿宋"/>
          <w:b/>
          <w:bCs/>
          <w:sz w:val="32"/>
          <w:szCs w:val="32"/>
          <w:lang w:val="en-US" w:eastAsia="zh-CN"/>
        </w:rPr>
        <w:t xml:space="preserve"> </w:t>
      </w:r>
      <w:r>
        <w:rPr>
          <w:rFonts w:hint="eastAsia" w:ascii="仿宋" w:hAnsi="仿宋" w:eastAsia="仿宋" w:cs="仿宋"/>
          <w:b/>
          <w:bCs/>
          <w:sz w:val="32"/>
          <w:szCs w:val="32"/>
        </w:rPr>
        <w:t>兴国县</w:t>
      </w:r>
      <w:r>
        <w:rPr>
          <w:rFonts w:hint="eastAsia" w:ascii="仿宋" w:hAnsi="仿宋" w:eastAsia="仿宋" w:cs="仿宋"/>
          <w:b/>
          <w:bCs/>
          <w:sz w:val="32"/>
          <w:szCs w:val="32"/>
          <w:lang w:eastAsia="zh-CN"/>
        </w:rPr>
        <w:t>水利局</w:t>
      </w:r>
      <w:r>
        <w:rPr>
          <w:rFonts w:hint="eastAsia" w:ascii="仿宋" w:hAnsi="仿宋" w:eastAsia="仿宋" w:cs="仿宋"/>
          <w:b/>
          <w:bCs/>
          <w:sz w:val="32"/>
          <w:szCs w:val="32"/>
          <w:lang w:val="en-US" w:eastAsia="zh-CN"/>
        </w:rPr>
        <w:t>2022</w:t>
      </w:r>
      <w:r>
        <w:rPr>
          <w:rFonts w:hint="eastAsia" w:ascii="仿宋" w:hAnsi="仿宋" w:eastAsia="仿宋" w:cs="仿宋"/>
          <w:b/>
          <w:bCs/>
          <w:sz w:val="32"/>
          <w:szCs w:val="32"/>
        </w:rPr>
        <w:t>年部门预算表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二、《部门收入总表》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三、《部门支出总表》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八、《政府性基金预算支出表》</w:t>
      </w:r>
    </w:p>
    <w:p>
      <w:pPr>
        <w:spacing w:line="560" w:lineRule="exact"/>
        <w:ind w:left="634" w:leftChars="284" w:hanging="38" w:hangingChars="12"/>
        <w:rPr>
          <w:rFonts w:hint="eastAsia" w:ascii="仿宋" w:hAnsi="仿宋" w:eastAsia="仿宋" w:cs="仿宋"/>
          <w:sz w:val="32"/>
          <w:szCs w:val="32"/>
          <w:lang w:eastAsia="zh-CN"/>
        </w:rPr>
      </w:pPr>
      <w:r>
        <w:rPr>
          <w:rFonts w:hint="eastAsia" w:ascii="仿宋" w:hAnsi="仿宋" w:eastAsia="仿宋" w:cs="仿宋"/>
          <w:sz w:val="32"/>
          <w:szCs w:val="32"/>
          <w:lang w:eastAsia="zh-CN"/>
        </w:rPr>
        <w:t>九、</w:t>
      </w:r>
      <w:r>
        <w:rPr>
          <w:rFonts w:ascii="Adobe 仿宋 Std R" w:hAnsi="Adobe 仿宋 Std R" w:eastAsia="Adobe 仿宋 Std R" w:cs="黑体"/>
          <w:kern w:val="2"/>
          <w:sz w:val="32"/>
          <w:szCs w:val="30"/>
        </w:rPr>
        <w:t>《</w:t>
      </w:r>
      <w:r>
        <w:rPr>
          <w:rFonts w:hint="eastAsia" w:ascii="Adobe 仿宋 Std R" w:hAnsi="Adobe 仿宋 Std R" w:eastAsia="Adobe 仿宋 Std R" w:cs="黑体"/>
          <w:kern w:val="2"/>
          <w:sz w:val="32"/>
          <w:szCs w:val="30"/>
        </w:rPr>
        <w:t>国有资本经营</w:t>
      </w:r>
      <w:r>
        <w:rPr>
          <w:rFonts w:ascii="Adobe 仿宋 Std R" w:hAnsi="Adobe 仿宋 Std R" w:eastAsia="Adobe 仿宋 Std R" w:cs="黑体"/>
          <w:kern w:val="2"/>
          <w:sz w:val="32"/>
          <w:szCs w:val="30"/>
        </w:rPr>
        <w:t>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lang w:eastAsia="zh-CN"/>
        </w:rPr>
        <w:t>十</w:t>
      </w:r>
      <w:r>
        <w:rPr>
          <w:rFonts w:hint="eastAsia" w:ascii="仿宋" w:hAnsi="仿宋" w:eastAsia="仿宋" w:cs="仿宋"/>
          <w:sz w:val="32"/>
          <w:szCs w:val="32"/>
        </w:rPr>
        <w:t>、《部门整体支出绩效目标表》</w:t>
      </w:r>
    </w:p>
    <w:p>
      <w:pPr>
        <w:spacing w:line="560" w:lineRule="exact"/>
        <w:ind w:left="10" w:leftChars="5" w:firstLine="620" w:firstLineChars="194"/>
        <w:rPr>
          <w:rFonts w:hint="eastAsia" w:ascii="仿宋" w:hAnsi="仿宋" w:eastAsia="仿宋" w:cs="仿宋"/>
          <w:b/>
          <w:bCs/>
          <w:sz w:val="32"/>
          <w:szCs w:val="32"/>
        </w:rPr>
      </w:pPr>
      <w:r>
        <w:rPr>
          <w:rFonts w:hint="eastAsia" w:ascii="仿宋" w:hAnsi="仿宋" w:eastAsia="仿宋" w:cs="仿宋"/>
          <w:sz w:val="32"/>
          <w:szCs w:val="32"/>
          <w:lang w:eastAsia="zh-CN"/>
        </w:rPr>
        <w:t>十一</w:t>
      </w:r>
      <w:r>
        <w:rPr>
          <w:rFonts w:hint="eastAsia" w:ascii="仿宋" w:hAnsi="仿宋" w:eastAsia="仿宋" w:cs="仿宋"/>
          <w:sz w:val="32"/>
          <w:szCs w:val="32"/>
        </w:rPr>
        <w:t>、《项目支出绩效目标表》</w:t>
      </w:r>
      <w:r>
        <w:rPr>
          <w:rFonts w:hint="eastAsia" w:ascii="仿宋" w:hAnsi="仿宋" w:eastAsia="仿宋" w:cs="仿宋"/>
          <w:sz w:val="32"/>
          <w:szCs w:val="32"/>
        </w:rPr>
        <w:cr/>
      </w:r>
      <w:r>
        <w:rPr>
          <w:rFonts w:hint="eastAsia" w:ascii="仿宋" w:hAnsi="仿宋" w:eastAsia="仿宋" w:cs="仿宋"/>
          <w:b/>
          <w:bCs/>
          <w:sz w:val="32"/>
          <w:szCs w:val="32"/>
        </w:rPr>
        <w:t>第四部分 名词解释</w:t>
      </w:r>
    </w:p>
    <w:p>
      <w:pPr>
        <w:pStyle w:val="2"/>
        <w:rPr>
          <w:rFonts w:hint="eastAsia"/>
        </w:rPr>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第一部分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兴国县</w:t>
      </w:r>
      <w:r>
        <w:rPr>
          <w:rFonts w:hint="eastAsia" w:ascii="黑体" w:hAnsi="黑体" w:eastAsia="黑体" w:cs="黑体"/>
          <w:b w:val="0"/>
          <w:bCs w:val="0"/>
          <w:sz w:val="32"/>
          <w:szCs w:val="32"/>
          <w:lang w:eastAsia="zh-CN"/>
        </w:rPr>
        <w:t>水利局</w:t>
      </w:r>
      <w:r>
        <w:rPr>
          <w:rFonts w:hint="eastAsia" w:ascii="黑体" w:hAnsi="黑体" w:eastAsia="黑体" w:cs="黑体"/>
          <w:b w:val="0"/>
          <w:bCs w:val="0"/>
          <w:sz w:val="32"/>
          <w:szCs w:val="32"/>
        </w:rPr>
        <w:t>部门概况</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一、部门或单位主要职责</w:t>
      </w:r>
    </w:p>
    <w:p>
      <w:pPr>
        <w:spacing w:line="560" w:lineRule="exact"/>
        <w:ind w:left="10" w:leftChars="5"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lang w:eastAsia="zh-CN"/>
        </w:rPr>
        <w:t>兴国县水利局</w:t>
      </w:r>
      <w:r>
        <w:rPr>
          <w:rFonts w:hint="eastAsia" w:ascii="仿宋_GB2312" w:hAnsi="仿宋_GB2312" w:eastAsia="仿宋_GB2312" w:cs="仿宋_GB2312"/>
          <w:color w:val="000000"/>
          <w:sz w:val="32"/>
          <w:szCs w:val="32"/>
        </w:rPr>
        <w:t>是县水行政主管部门正科级全额拨款单位，主要职责是：</w:t>
      </w:r>
      <w:r>
        <w:rPr>
          <w:rFonts w:hint="eastAsia" w:ascii="仿宋_GB2312" w:hAnsi="仿宋_GB2312" w:eastAsia="仿宋_GB2312" w:cs="仿宋_GB2312"/>
          <w:sz w:val="32"/>
          <w:szCs w:val="32"/>
        </w:rPr>
        <w:t>①负责保障水资源的合理开发利用。②负责生活、生产、生态环境用水的统筹兼顾和保障。③负责水资源保护工作。④负责节约用水工作。⑤</w:t>
      </w:r>
      <w:r>
        <w:rPr>
          <w:rFonts w:hint="eastAsia" w:ascii="仿宋_GB2312" w:hAnsi="仿宋_GB2312" w:eastAsia="仿宋_GB2312" w:cs="仿宋_GB2312"/>
          <w:sz w:val="32"/>
          <w:szCs w:val="32"/>
          <w:u w:val="none"/>
        </w:rPr>
        <w:t>指导监督水利</w:t>
      </w:r>
      <w:r>
        <w:rPr>
          <w:rFonts w:hint="eastAsia" w:ascii="仿宋_GB2312" w:hAnsi="仿宋_GB2312" w:eastAsia="仿宋_GB2312" w:cs="仿宋_GB2312"/>
          <w:sz w:val="32"/>
          <w:szCs w:val="32"/>
          <w:u w:val="none"/>
          <w:lang w:eastAsia="zh-CN"/>
        </w:rPr>
        <w:t>工程</w:t>
      </w:r>
      <w:r>
        <w:rPr>
          <w:rFonts w:hint="eastAsia" w:ascii="仿宋_GB2312" w:hAnsi="仿宋_GB2312" w:eastAsia="仿宋_GB2312" w:cs="仿宋_GB2312"/>
          <w:sz w:val="32"/>
          <w:szCs w:val="32"/>
          <w:u w:val="none"/>
        </w:rPr>
        <w:t>、水域及岸线管理、保护和综合运用，以及水利工程建设与运行管理。</w:t>
      </w:r>
      <w:r>
        <w:rPr>
          <w:rFonts w:hint="eastAsia" w:ascii="仿宋_GB2312" w:hAnsi="仿宋_GB2312" w:eastAsia="仿宋_GB2312" w:cs="仿宋_GB2312"/>
          <w:sz w:val="32"/>
          <w:szCs w:val="32"/>
        </w:rPr>
        <w:t>⑥</w:t>
      </w:r>
      <w:r>
        <w:rPr>
          <w:rFonts w:hint="eastAsia" w:ascii="仿宋_GB2312" w:hAnsi="仿宋_GB2312" w:eastAsia="仿宋_GB2312" w:cs="仿宋_GB2312"/>
          <w:sz w:val="32"/>
          <w:szCs w:val="32"/>
          <w:u w:val="none"/>
        </w:rPr>
        <w:t>负责水土保持工作</w:t>
      </w:r>
      <w:r>
        <w:rPr>
          <w:rFonts w:hint="eastAsia" w:ascii="仿宋_GB2312" w:hAnsi="仿宋_GB2312" w:eastAsia="仿宋_GB2312" w:cs="仿宋_GB2312"/>
          <w:sz w:val="32"/>
          <w:szCs w:val="32"/>
        </w:rPr>
        <w:t>。⑦</w:t>
      </w:r>
      <w:r>
        <w:rPr>
          <w:rFonts w:hint="eastAsia" w:ascii="仿宋_GB2312" w:hAnsi="仿宋_GB2312" w:eastAsia="仿宋_GB2312" w:cs="仿宋_GB2312"/>
          <w:sz w:val="32"/>
          <w:szCs w:val="32"/>
          <w:u w:val="none"/>
        </w:rPr>
        <w:t>指导农村水利工作。</w:t>
      </w:r>
      <w:r>
        <w:rPr>
          <w:rFonts w:hint="eastAsia" w:ascii="仿宋_GB2312" w:hAnsi="仿宋_GB2312" w:eastAsia="仿宋_GB2312" w:cs="仿宋_GB2312"/>
          <w:sz w:val="32"/>
          <w:szCs w:val="32"/>
        </w:rPr>
        <w:t>⑧</w:t>
      </w:r>
      <w:r>
        <w:rPr>
          <w:rFonts w:hint="eastAsia" w:ascii="仿宋_GB2312" w:hAnsi="仿宋_GB2312" w:eastAsia="仿宋_GB2312" w:cs="仿宋_GB2312"/>
          <w:sz w:val="32"/>
          <w:szCs w:val="32"/>
          <w:u w:val="none"/>
        </w:rPr>
        <w:t>负责重大涉水违法事件的查处。</w:t>
      </w:r>
      <w:r>
        <w:rPr>
          <w:rFonts w:hint="eastAsia" w:ascii="仿宋_GB2312" w:hAnsi="仿宋_GB2312" w:eastAsia="仿宋_GB2312" w:cs="仿宋_GB2312"/>
          <w:sz w:val="32"/>
          <w:szCs w:val="32"/>
        </w:rPr>
        <w:t>⑨</w:t>
      </w:r>
      <w:r>
        <w:rPr>
          <w:rFonts w:hint="eastAsia" w:ascii="仿宋_GB2312" w:hAnsi="仿宋_GB2312" w:eastAsia="仿宋_GB2312" w:cs="仿宋_GB2312"/>
          <w:sz w:val="32"/>
          <w:szCs w:val="32"/>
          <w:u w:val="none"/>
        </w:rPr>
        <w:t>开展水利科技教育和</w:t>
      </w:r>
      <w:r>
        <w:rPr>
          <w:rFonts w:hint="eastAsia" w:ascii="仿宋_GB2312" w:hAnsi="仿宋_GB2312" w:eastAsia="仿宋_GB2312" w:cs="仿宋_GB2312"/>
          <w:sz w:val="32"/>
          <w:szCs w:val="32"/>
          <w:u w:val="none"/>
          <w:lang w:eastAsia="zh-CN"/>
        </w:rPr>
        <w:t>对外交流与合作</w:t>
      </w:r>
      <w:r>
        <w:rPr>
          <w:rFonts w:hint="eastAsia" w:ascii="仿宋_GB2312" w:hAnsi="仿宋_GB2312" w:eastAsia="仿宋_GB2312" w:cs="仿宋_GB2312"/>
          <w:sz w:val="32"/>
          <w:szCs w:val="32"/>
          <w:u w:val="none"/>
        </w:rPr>
        <w:t>工作。</w:t>
      </w:r>
      <w:r>
        <w:rPr>
          <w:rFonts w:hint="eastAsia" w:ascii="仿宋_GB2312" w:eastAsia="仿宋_GB2312"/>
          <w:color w:val="000000"/>
          <w:sz w:val="32"/>
          <w:szCs w:val="32"/>
          <w:lang w:val="en-US" w:eastAsia="zh-CN"/>
        </w:rPr>
        <w:t>⑩</w:t>
      </w:r>
      <w:r>
        <w:rPr>
          <w:rFonts w:hint="eastAsia" w:ascii="仿宋_GB2312" w:hAnsi="仿宋_GB2312" w:eastAsia="仿宋_GB2312" w:cs="仿宋_GB2312"/>
          <w:sz w:val="32"/>
          <w:szCs w:val="32"/>
          <w:u w:val="none"/>
        </w:rPr>
        <w:t>负责水利防灾减灾工作</w:t>
      </w:r>
      <w:r>
        <w:rPr>
          <w:rFonts w:hint="eastAsia" w:ascii="仿宋_GB2312" w:hAnsi="仿宋_GB2312" w:eastAsia="仿宋_GB2312" w:cs="仿宋_GB2312"/>
          <w:sz w:val="32"/>
          <w:szCs w:val="32"/>
        </w:rPr>
        <w:t>等。</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二、部门或单位基本情况</w:t>
      </w:r>
    </w:p>
    <w:p>
      <w:pPr>
        <w:spacing w:line="560" w:lineRule="exact"/>
        <w:ind w:firstLine="640" w:firstLineChars="200"/>
        <w:rPr>
          <w:rFonts w:ascii="仿宋" w:hAnsi="仿宋" w:eastAsia="仿宋" w:cs="仿宋"/>
          <w:sz w:val="32"/>
          <w:szCs w:val="32"/>
        </w:rPr>
      </w:pPr>
      <w:r>
        <w:rPr>
          <w:rFonts w:hint="eastAsia" w:ascii="仿宋_GB2312" w:hAnsi="仿宋_GB2312" w:eastAsia="仿宋_GB2312" w:cs="仿宋_GB2312"/>
          <w:sz w:val="32"/>
          <w:szCs w:val="32"/>
        </w:rPr>
        <w:t>兴国县水利局</w:t>
      </w:r>
      <w:r>
        <w:rPr>
          <w:rFonts w:hint="eastAsia" w:ascii="仿宋_GB2312" w:hAnsi="仿宋_GB2312" w:eastAsia="仿宋_GB2312" w:cs="仿宋_GB2312"/>
          <w:sz w:val="32"/>
          <w:szCs w:val="32"/>
          <w:lang w:eastAsia="zh-CN"/>
        </w:rPr>
        <w:t>机关现有</w:t>
      </w:r>
      <w:r>
        <w:rPr>
          <w:rFonts w:hint="eastAsia" w:ascii="仿宋_GB2312" w:hAnsi="仿宋_GB2312" w:eastAsia="仿宋_GB2312" w:cs="仿宋_GB2312"/>
          <w:sz w:val="32"/>
          <w:szCs w:val="32"/>
        </w:rPr>
        <w:t>编制人数</w:t>
      </w:r>
      <w:r>
        <w:rPr>
          <w:rFonts w:hint="eastAsia" w:ascii="仿宋_GB2312" w:hAnsi="仿宋_GB2312" w:eastAsia="仿宋_GB2312" w:cs="仿宋_GB2312"/>
          <w:sz w:val="32"/>
          <w:szCs w:val="32"/>
          <w:lang w:val="en-US" w:eastAsia="zh-CN"/>
        </w:rPr>
        <w:t>146</w:t>
      </w:r>
      <w:r>
        <w:rPr>
          <w:rFonts w:hint="eastAsia" w:ascii="仿宋_GB2312" w:hAnsi="仿宋_GB2312" w:eastAsia="仿宋_GB2312" w:cs="仿宋_GB2312"/>
          <w:sz w:val="32"/>
          <w:szCs w:val="32"/>
        </w:rPr>
        <w:t>个，其中：行政编制（含工勤）</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eastAsia="zh-CN"/>
        </w:rPr>
        <w:t>事业编制</w:t>
      </w:r>
      <w:r>
        <w:rPr>
          <w:rFonts w:hint="eastAsia" w:ascii="仿宋_GB2312" w:hAnsi="仿宋_GB2312" w:eastAsia="仿宋_GB2312" w:cs="仿宋_GB2312"/>
          <w:sz w:val="32"/>
          <w:szCs w:val="32"/>
          <w:lang w:val="en-US" w:eastAsia="zh-CN"/>
        </w:rPr>
        <w:t>131个，其中：水利局机关行政编15人，水保服务中心事业编58人，乡镇农业服务中心水利岗</w:t>
      </w:r>
      <w:r>
        <w:rPr>
          <w:rFonts w:hint="eastAsia" w:ascii="仿宋_GB2312" w:hAnsi="仿宋_GB2312" w:eastAsia="仿宋_GB2312" w:cs="仿宋_GB2312"/>
          <w:sz w:val="32"/>
          <w:szCs w:val="32"/>
        </w:rPr>
        <w:t>事业</w:t>
      </w:r>
      <w:r>
        <w:rPr>
          <w:rFonts w:hint="eastAsia" w:ascii="仿宋_GB2312" w:hAnsi="仿宋_GB2312" w:eastAsia="仿宋_GB2312" w:cs="仿宋_GB2312"/>
          <w:sz w:val="32"/>
          <w:szCs w:val="32"/>
          <w:lang w:val="en-US" w:eastAsia="zh-CN"/>
        </w:rPr>
        <w:t>43人、水保岗事业30人</w:t>
      </w:r>
      <w:r>
        <w:rPr>
          <w:rFonts w:hint="eastAsia" w:ascii="仿宋_GB2312" w:hAnsi="仿宋_GB2312" w:eastAsia="仿宋_GB2312" w:cs="仿宋_GB2312"/>
          <w:sz w:val="32"/>
          <w:szCs w:val="32"/>
        </w:rPr>
        <w:t>；退休人员</w:t>
      </w:r>
      <w:r>
        <w:rPr>
          <w:rFonts w:hint="eastAsia" w:ascii="仿宋_GB2312" w:hAnsi="仿宋_GB2312" w:eastAsia="仿宋_GB2312" w:cs="仿宋_GB2312"/>
          <w:sz w:val="32"/>
          <w:szCs w:val="32"/>
          <w:lang w:val="en-US" w:eastAsia="zh-CN"/>
        </w:rPr>
        <w:t>132</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eastAsia="zh-CN"/>
        </w:rPr>
        <w:t>，遗属补助</w:t>
      </w:r>
      <w:r>
        <w:rPr>
          <w:rFonts w:hint="eastAsia" w:ascii="仿宋_GB2312" w:hAnsi="仿宋_GB2312" w:eastAsia="仿宋_GB2312" w:cs="仿宋_GB2312"/>
          <w:sz w:val="32"/>
          <w:szCs w:val="32"/>
          <w:lang w:val="en-US" w:eastAsia="zh-CN"/>
        </w:rPr>
        <w:t>29人</w:t>
      </w:r>
      <w:r>
        <w:rPr>
          <w:rFonts w:hint="eastAsia" w:ascii="仿宋_GB2312" w:hAnsi="仿宋_GB2312" w:eastAsia="仿宋_GB2312" w:cs="仿宋_GB2312"/>
          <w:sz w:val="32"/>
          <w:szCs w:val="32"/>
        </w:rPr>
        <w:t>。</w:t>
      </w:r>
    </w:p>
    <w:p>
      <w:pPr>
        <w:spacing w:line="560" w:lineRule="exact"/>
        <w:rPr>
          <w:rFonts w:ascii="仿宋" w:hAnsi="仿宋" w:eastAsia="仿宋" w:cs="仿宋"/>
          <w:sz w:val="32"/>
          <w:szCs w:val="32"/>
        </w:rPr>
      </w:pPr>
    </w:p>
    <w:p>
      <w:pPr>
        <w:spacing w:line="560" w:lineRule="exact"/>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第二部分 兴国县</w:t>
      </w:r>
      <w:r>
        <w:rPr>
          <w:rFonts w:hint="eastAsia" w:ascii="黑体" w:hAnsi="黑体" w:eastAsia="黑体" w:cs="黑体"/>
          <w:b w:val="0"/>
          <w:bCs w:val="0"/>
          <w:sz w:val="32"/>
          <w:szCs w:val="32"/>
          <w:lang w:eastAsia="zh-CN"/>
        </w:rPr>
        <w:t>水利局</w:t>
      </w:r>
      <w:r>
        <w:rPr>
          <w:rFonts w:hint="eastAsia" w:ascii="黑体" w:hAnsi="黑体" w:eastAsia="黑体" w:cs="黑体"/>
          <w:b w:val="0"/>
          <w:bCs w:val="0"/>
          <w:sz w:val="32"/>
          <w:szCs w:val="32"/>
        </w:rPr>
        <w:t>部门</w:t>
      </w:r>
      <w:r>
        <w:rPr>
          <w:rFonts w:hint="eastAsia" w:ascii="黑体" w:hAnsi="黑体" w:eastAsia="黑体" w:cs="黑体"/>
          <w:b w:val="0"/>
          <w:bCs w:val="0"/>
          <w:sz w:val="32"/>
          <w:szCs w:val="32"/>
          <w:lang w:val="en-US" w:eastAsia="zh-CN"/>
        </w:rPr>
        <w:t>2022</w:t>
      </w:r>
      <w:r>
        <w:rPr>
          <w:rFonts w:hint="eastAsia" w:ascii="黑体" w:hAnsi="黑体" w:eastAsia="黑体" w:cs="黑体"/>
          <w:b w:val="0"/>
          <w:bCs w:val="0"/>
          <w:sz w:val="32"/>
          <w:szCs w:val="32"/>
        </w:rPr>
        <w:t>年部门预算情况说明</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val="en-US" w:eastAsia="zh-CN"/>
        </w:rPr>
        <w:t>2022</w:t>
      </w:r>
      <w:r>
        <w:rPr>
          <w:rFonts w:hint="eastAsia" w:ascii="楷体" w:hAnsi="楷体" w:eastAsia="楷体" w:cs="楷体"/>
          <w:b/>
          <w:bCs/>
          <w:sz w:val="32"/>
          <w:szCs w:val="32"/>
        </w:rPr>
        <w:t>年部门预算收支情况说明</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000000"/>
          <w:sz w:val="32"/>
          <w:szCs w:val="32"/>
          <w:lang w:val="en-US" w:eastAsia="zh-CN"/>
        </w:rPr>
      </w:pPr>
      <w:r>
        <w:rPr>
          <w:rFonts w:hint="eastAsia" w:cs="仿宋_GB2312"/>
          <w:color w:val="auto"/>
          <w:sz w:val="32"/>
          <w:szCs w:val="32"/>
          <w:lang w:eastAsia="zh-CN"/>
        </w:rPr>
        <w:t>202</w:t>
      </w:r>
      <w:r>
        <w:rPr>
          <w:rFonts w:hint="eastAsia" w:cs="仿宋_GB2312"/>
          <w:color w:val="auto"/>
          <w:sz w:val="32"/>
          <w:szCs w:val="32"/>
          <w:lang w:val="en-US" w:eastAsia="zh-CN"/>
        </w:rPr>
        <w:t>2</w:t>
      </w:r>
      <w:r>
        <w:rPr>
          <w:rFonts w:hint="eastAsia" w:cs="仿宋_GB2312"/>
          <w:color w:val="auto"/>
          <w:sz w:val="32"/>
          <w:szCs w:val="32"/>
          <w:lang w:eastAsia="zh-CN"/>
        </w:rPr>
        <w:t>年水利</w:t>
      </w:r>
      <w:r>
        <w:rPr>
          <w:rFonts w:hint="eastAsia" w:ascii="仿宋_GB2312" w:hAnsi="仿宋_GB2312" w:eastAsia="仿宋_GB2312" w:cs="仿宋_GB2312"/>
          <w:color w:val="auto"/>
          <w:sz w:val="32"/>
          <w:szCs w:val="32"/>
        </w:rPr>
        <w:t>局收入预算总额为</w:t>
      </w:r>
      <w:r>
        <w:rPr>
          <w:rFonts w:hint="eastAsia" w:cs="仿宋_GB2312"/>
          <w:color w:val="auto"/>
          <w:sz w:val="32"/>
          <w:szCs w:val="32"/>
          <w:lang w:val="en-US" w:eastAsia="zh-CN"/>
        </w:rPr>
        <w:t>28022.16</w:t>
      </w:r>
      <w:r>
        <w:rPr>
          <w:rFonts w:hint="eastAsia" w:ascii="仿宋_GB2312" w:hAnsi="仿宋_GB2312" w:eastAsia="仿宋_GB2312" w:cs="仿宋_GB2312"/>
          <w:color w:val="auto"/>
          <w:sz w:val="32"/>
          <w:szCs w:val="32"/>
        </w:rPr>
        <w:t>万元，</w:t>
      </w:r>
      <w:r>
        <w:rPr>
          <w:rFonts w:hint="eastAsia" w:ascii="仿宋" w:hAnsi="仿宋" w:eastAsia="仿宋" w:cs="仿宋"/>
          <w:color w:val="auto"/>
          <w:sz w:val="32"/>
          <w:szCs w:val="32"/>
        </w:rPr>
        <w:t>较上年</w:t>
      </w:r>
      <w:r>
        <w:rPr>
          <w:rFonts w:hint="eastAsia" w:ascii="仿宋_GB2312" w:hAnsi="仿宋_GB2312" w:eastAsia="仿宋_GB2312" w:cs="仿宋_GB2312"/>
          <w:color w:val="auto"/>
          <w:sz w:val="32"/>
          <w:szCs w:val="32"/>
        </w:rPr>
        <w:t>预算安排</w:t>
      </w:r>
      <w:r>
        <w:rPr>
          <w:rFonts w:hint="eastAsia" w:ascii="仿宋_GB2312" w:hAnsi="仿宋_GB2312" w:eastAsia="仿宋_GB2312" w:cs="仿宋_GB2312"/>
          <w:color w:val="auto"/>
          <w:sz w:val="32"/>
          <w:szCs w:val="32"/>
          <w:lang w:eastAsia="zh-CN"/>
        </w:rPr>
        <w:t>增加</w:t>
      </w:r>
      <w:r>
        <w:rPr>
          <w:rFonts w:hint="eastAsia" w:cs="仿宋_GB2312"/>
          <w:color w:val="auto"/>
          <w:sz w:val="32"/>
          <w:szCs w:val="32"/>
          <w:lang w:val="en-US" w:eastAsia="zh-CN"/>
        </w:rPr>
        <w:t>152</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（主要是增加项目收入</w:t>
      </w:r>
      <w:r>
        <w:rPr>
          <w:rFonts w:hint="eastAsia" w:cs="仿宋_GB2312"/>
          <w:color w:val="auto"/>
          <w:sz w:val="32"/>
          <w:szCs w:val="32"/>
          <w:lang w:val="en-US" w:eastAsia="zh-CN"/>
        </w:rPr>
        <w:t>8590.81</w:t>
      </w:r>
      <w:r>
        <w:rPr>
          <w:rFonts w:hint="eastAsia" w:ascii="仿宋_GB2312" w:hAnsi="仿宋_GB2312" w:eastAsia="仿宋_GB2312" w:cs="仿宋_GB2312"/>
          <w:color w:val="auto"/>
          <w:sz w:val="32"/>
          <w:szCs w:val="32"/>
          <w:lang w:val="en-US" w:eastAsia="zh-CN"/>
        </w:rPr>
        <w:t>万元</w:t>
      </w:r>
      <w:r>
        <w:rPr>
          <w:rFonts w:hint="eastAsia" w:cs="仿宋_GB2312"/>
          <w:color w:val="auto"/>
          <w:sz w:val="32"/>
          <w:szCs w:val="32"/>
          <w:lang w:val="en-US" w:eastAsia="zh-CN"/>
        </w:rPr>
        <w:t>,</w:t>
      </w:r>
      <w:r>
        <w:rPr>
          <w:rFonts w:hint="eastAsia" w:cs="仿宋_GB2312"/>
          <w:color w:val="000000"/>
          <w:sz w:val="32"/>
          <w:szCs w:val="32"/>
          <w:lang w:eastAsia="zh-CN"/>
        </w:rPr>
        <w:t>上年结转</w:t>
      </w:r>
      <w:r>
        <w:rPr>
          <w:rFonts w:hint="eastAsia" w:cs="仿宋_GB2312"/>
          <w:color w:val="000000"/>
          <w:sz w:val="32"/>
          <w:szCs w:val="32"/>
          <w:lang w:val="en-US" w:eastAsia="zh-CN"/>
        </w:rPr>
        <w:t>8336.67万元</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color w:val="000000"/>
          <w:sz w:val="32"/>
          <w:szCs w:val="32"/>
        </w:rPr>
        <w:t>其中：财政拨款收入</w:t>
      </w:r>
      <w:r>
        <w:rPr>
          <w:rFonts w:hint="eastAsia" w:cs="仿宋_GB2312"/>
          <w:color w:val="000000"/>
          <w:sz w:val="32"/>
          <w:szCs w:val="32"/>
          <w:lang w:val="en-US" w:eastAsia="zh-CN"/>
        </w:rPr>
        <w:t>(含非税收入1000万元）2918.32</w:t>
      </w:r>
      <w:r>
        <w:rPr>
          <w:rFonts w:hint="eastAsia" w:ascii="仿宋_GB2312" w:hAnsi="仿宋_GB2312" w:eastAsia="仿宋_GB2312" w:cs="仿宋_GB2312"/>
          <w:color w:val="000000"/>
          <w:sz w:val="32"/>
          <w:szCs w:val="32"/>
        </w:rPr>
        <w:t>万元，占收入预算总额的</w:t>
      </w:r>
      <w:r>
        <w:rPr>
          <w:rFonts w:hint="eastAsia" w:cs="仿宋_GB2312"/>
          <w:color w:val="000000"/>
          <w:sz w:val="32"/>
          <w:szCs w:val="32"/>
          <w:lang w:val="en-US" w:eastAsia="zh-CN"/>
        </w:rPr>
        <w:t>10</w:t>
      </w:r>
      <w:r>
        <w:rPr>
          <w:rFonts w:hint="eastAsia" w:ascii="仿宋_GB2312" w:hAnsi="仿宋_GB2312" w:eastAsia="仿宋_GB2312" w:cs="仿宋_GB2312"/>
          <w:color w:val="000000"/>
          <w:sz w:val="32"/>
          <w:szCs w:val="32"/>
        </w:rPr>
        <w:t>%，包括</w:t>
      </w:r>
      <w:r>
        <w:rPr>
          <w:rFonts w:hint="eastAsia" w:cs="仿宋_GB2312"/>
          <w:color w:val="auto"/>
          <w:sz w:val="32"/>
          <w:szCs w:val="32"/>
          <w:lang w:eastAsia="zh-CN"/>
        </w:rPr>
        <w:t>一般公共预算收入</w:t>
      </w:r>
      <w:r>
        <w:rPr>
          <w:rFonts w:hint="eastAsia" w:cs="仿宋_GB2312"/>
          <w:color w:val="auto"/>
          <w:sz w:val="32"/>
          <w:szCs w:val="32"/>
          <w:lang w:val="en-US" w:eastAsia="zh-CN"/>
        </w:rPr>
        <w:t>(</w:t>
      </w:r>
      <w:r>
        <w:rPr>
          <w:rFonts w:hint="eastAsia" w:cs="仿宋_GB2312"/>
          <w:color w:val="000000"/>
          <w:sz w:val="32"/>
          <w:szCs w:val="32"/>
          <w:lang w:val="en-US" w:eastAsia="zh-CN"/>
        </w:rPr>
        <w:t>含非税收入1000万元）2918.32</w:t>
      </w:r>
      <w:r>
        <w:rPr>
          <w:rFonts w:hint="eastAsia" w:ascii="仿宋_GB2312" w:hAnsi="仿宋_GB2312" w:eastAsia="仿宋_GB2312" w:cs="仿宋_GB2312"/>
          <w:color w:val="000000"/>
          <w:sz w:val="32"/>
          <w:szCs w:val="32"/>
        </w:rPr>
        <w:t>万元，占收入预算总额的</w:t>
      </w:r>
      <w:r>
        <w:rPr>
          <w:rFonts w:hint="eastAsia" w:cs="仿宋_GB2312"/>
          <w:color w:val="000000"/>
          <w:sz w:val="32"/>
          <w:szCs w:val="32"/>
          <w:lang w:val="en-US" w:eastAsia="zh-CN"/>
        </w:rPr>
        <w:t>10</w:t>
      </w:r>
      <w:r>
        <w:rPr>
          <w:rFonts w:hint="eastAsia" w:ascii="仿宋_GB2312" w:hAnsi="仿宋_GB2312" w:eastAsia="仿宋_GB2312" w:cs="仿宋_GB2312"/>
          <w:color w:val="000000"/>
          <w:sz w:val="32"/>
          <w:szCs w:val="32"/>
        </w:rPr>
        <w:t>%；</w:t>
      </w:r>
      <w:r>
        <w:rPr>
          <w:rFonts w:hint="eastAsia" w:cs="仿宋_GB2312"/>
          <w:color w:val="000000"/>
          <w:sz w:val="32"/>
          <w:szCs w:val="32"/>
          <w:lang w:eastAsia="zh-CN"/>
        </w:rPr>
        <w:t>上级补助收入</w:t>
      </w:r>
      <w:r>
        <w:rPr>
          <w:rFonts w:hint="eastAsia" w:cs="仿宋_GB2312"/>
          <w:color w:val="000000"/>
          <w:sz w:val="32"/>
          <w:szCs w:val="32"/>
          <w:lang w:val="en-US" w:eastAsia="zh-CN"/>
        </w:rPr>
        <w:t>14808万元，占收入预算总额</w:t>
      </w:r>
      <w:r>
        <w:rPr>
          <w:rFonts w:hint="eastAsia" w:cs="仿宋_GB2312"/>
          <w:color w:val="000000"/>
          <w:sz w:val="32"/>
          <w:szCs w:val="32"/>
          <w:lang w:eastAsia="zh-CN"/>
        </w:rPr>
        <w:t>的</w:t>
      </w:r>
      <w:r>
        <w:rPr>
          <w:rFonts w:hint="eastAsia" w:cs="仿宋_GB2312"/>
          <w:color w:val="000000"/>
          <w:sz w:val="32"/>
          <w:szCs w:val="32"/>
          <w:lang w:val="en-US" w:eastAsia="zh-CN"/>
        </w:rPr>
        <w:t>53%；其他收入1959.17</w:t>
      </w:r>
      <w:r>
        <w:rPr>
          <w:rFonts w:hint="eastAsia" w:ascii="仿宋_GB2312" w:hAnsi="仿宋_GB2312" w:eastAsia="仿宋_GB2312" w:cs="仿宋_GB2312"/>
          <w:color w:val="000000"/>
          <w:sz w:val="32"/>
          <w:szCs w:val="32"/>
        </w:rPr>
        <w:t>万元，占收入预算总额的</w:t>
      </w:r>
      <w:r>
        <w:rPr>
          <w:rFonts w:hint="eastAsia" w:cs="仿宋_GB2312"/>
          <w:color w:val="000000"/>
          <w:sz w:val="32"/>
          <w:szCs w:val="32"/>
          <w:lang w:val="en-US" w:eastAsia="zh-CN"/>
        </w:rPr>
        <w:t>7</w:t>
      </w:r>
      <w:r>
        <w:rPr>
          <w:rFonts w:hint="eastAsia" w:ascii="仿宋_GB2312" w:hAnsi="仿宋_GB2312" w:eastAsia="仿宋_GB2312" w:cs="仿宋_GB2312"/>
          <w:color w:val="000000"/>
          <w:sz w:val="32"/>
          <w:szCs w:val="32"/>
        </w:rPr>
        <w:t>%</w:t>
      </w:r>
      <w:r>
        <w:rPr>
          <w:rFonts w:hint="eastAsia" w:cs="仿宋_GB2312"/>
          <w:color w:val="000000"/>
          <w:sz w:val="32"/>
          <w:szCs w:val="32"/>
          <w:lang w:eastAsia="zh-CN"/>
        </w:rPr>
        <w:t>；上年结转</w:t>
      </w:r>
      <w:r>
        <w:rPr>
          <w:rFonts w:hint="eastAsia" w:cs="仿宋_GB2312"/>
          <w:color w:val="000000"/>
          <w:sz w:val="32"/>
          <w:szCs w:val="32"/>
          <w:lang w:val="en-US" w:eastAsia="zh-CN"/>
        </w:rPr>
        <w:t>8336.67万元，</w:t>
      </w:r>
      <w:r>
        <w:rPr>
          <w:rFonts w:hint="eastAsia" w:ascii="仿宋_GB2312" w:hAnsi="仿宋_GB2312" w:eastAsia="仿宋_GB2312" w:cs="仿宋_GB2312"/>
          <w:color w:val="000000"/>
          <w:sz w:val="32"/>
          <w:szCs w:val="32"/>
        </w:rPr>
        <w:t>占收入预算总额的</w:t>
      </w:r>
      <w:r>
        <w:rPr>
          <w:rFonts w:hint="eastAsia" w:cs="仿宋_GB2312"/>
          <w:color w:val="000000"/>
          <w:sz w:val="32"/>
          <w:szCs w:val="32"/>
          <w:lang w:val="en-US" w:eastAsia="zh-CN"/>
        </w:rPr>
        <w:t>30%</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cs="仿宋_GB2312"/>
          <w:color w:val="auto"/>
          <w:sz w:val="32"/>
          <w:szCs w:val="32"/>
          <w:lang w:eastAsia="zh-CN"/>
        </w:rPr>
        <w:t>202</w:t>
      </w:r>
      <w:r>
        <w:rPr>
          <w:rFonts w:hint="eastAsia" w:cs="仿宋_GB2312"/>
          <w:color w:val="auto"/>
          <w:sz w:val="32"/>
          <w:szCs w:val="32"/>
          <w:lang w:val="en-US" w:eastAsia="zh-CN"/>
        </w:rPr>
        <w:t>2</w:t>
      </w:r>
      <w:r>
        <w:rPr>
          <w:rFonts w:hint="eastAsia" w:cs="仿宋_GB2312"/>
          <w:color w:val="auto"/>
          <w:sz w:val="32"/>
          <w:szCs w:val="32"/>
          <w:lang w:eastAsia="zh-CN"/>
        </w:rPr>
        <w:t>年</w:t>
      </w:r>
      <w:r>
        <w:rPr>
          <w:rFonts w:hint="eastAsia" w:ascii="仿宋_GB2312" w:hAnsi="仿宋_GB2312" w:eastAsia="仿宋_GB2312" w:cs="仿宋_GB2312"/>
          <w:color w:val="auto"/>
          <w:sz w:val="32"/>
          <w:szCs w:val="32"/>
        </w:rPr>
        <w:t>支出预算总额为</w:t>
      </w:r>
      <w:r>
        <w:rPr>
          <w:rFonts w:hint="eastAsia" w:cs="仿宋_GB2312"/>
          <w:color w:val="auto"/>
          <w:sz w:val="32"/>
          <w:szCs w:val="32"/>
          <w:lang w:val="en-US" w:eastAsia="zh-CN"/>
        </w:rPr>
        <w:t>28022.16</w:t>
      </w:r>
      <w:r>
        <w:rPr>
          <w:rFonts w:hint="eastAsia" w:ascii="仿宋_GB2312" w:hAnsi="仿宋_GB2312" w:eastAsia="仿宋_GB2312" w:cs="仿宋_GB2312"/>
          <w:color w:val="auto"/>
          <w:sz w:val="32"/>
          <w:szCs w:val="32"/>
        </w:rPr>
        <w:t>万元，</w:t>
      </w:r>
      <w:r>
        <w:rPr>
          <w:rFonts w:hint="eastAsia" w:ascii="仿宋" w:hAnsi="仿宋" w:eastAsia="仿宋" w:cs="仿宋"/>
          <w:color w:val="auto"/>
          <w:sz w:val="32"/>
          <w:szCs w:val="32"/>
        </w:rPr>
        <w:t>较上年预算安</w:t>
      </w:r>
      <w:r>
        <w:rPr>
          <w:rFonts w:hint="eastAsia" w:ascii="仿宋_GB2312" w:hAnsi="仿宋_GB2312" w:eastAsia="仿宋_GB2312" w:cs="仿宋_GB2312"/>
          <w:color w:val="auto"/>
          <w:sz w:val="32"/>
          <w:szCs w:val="32"/>
        </w:rPr>
        <w:t>排</w:t>
      </w:r>
      <w:r>
        <w:rPr>
          <w:rFonts w:hint="eastAsia" w:ascii="仿宋_GB2312" w:hAnsi="仿宋_GB2312" w:eastAsia="仿宋_GB2312" w:cs="仿宋_GB2312"/>
          <w:color w:val="auto"/>
          <w:sz w:val="32"/>
          <w:szCs w:val="32"/>
          <w:lang w:eastAsia="zh-CN"/>
        </w:rPr>
        <w:t>增加</w:t>
      </w:r>
      <w:r>
        <w:rPr>
          <w:rFonts w:hint="eastAsia" w:cs="仿宋_GB2312"/>
          <w:color w:val="auto"/>
          <w:sz w:val="32"/>
          <w:szCs w:val="32"/>
          <w:lang w:val="en-US" w:eastAsia="zh-CN"/>
        </w:rPr>
        <w:t>152</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（主要是增加项目</w:t>
      </w:r>
      <w:r>
        <w:rPr>
          <w:rFonts w:hint="eastAsia" w:cs="仿宋_GB2312"/>
          <w:color w:val="auto"/>
          <w:sz w:val="32"/>
          <w:szCs w:val="32"/>
          <w:lang w:eastAsia="zh-CN"/>
        </w:rPr>
        <w:t>支出</w:t>
      </w:r>
      <w:r>
        <w:rPr>
          <w:rFonts w:hint="eastAsia" w:cs="仿宋_GB2312"/>
          <w:color w:val="auto"/>
          <w:sz w:val="32"/>
          <w:szCs w:val="32"/>
          <w:lang w:val="en-US" w:eastAsia="zh-CN"/>
        </w:rPr>
        <w:t>16927.48</w:t>
      </w:r>
      <w:r>
        <w:rPr>
          <w:rFonts w:hint="eastAsia" w:ascii="仿宋_GB2312" w:hAnsi="仿宋_GB2312" w:eastAsia="仿宋_GB2312" w:cs="仿宋_GB2312"/>
          <w:color w:val="auto"/>
          <w:sz w:val="32"/>
          <w:szCs w:val="32"/>
          <w:lang w:val="en-US" w:eastAsia="zh-CN"/>
        </w:rPr>
        <w:t>万元）</w:t>
      </w:r>
      <w:r>
        <w:rPr>
          <w:rFonts w:hint="eastAsia" w:ascii="仿宋_GB2312" w:hAnsi="仿宋_GB2312" w:eastAsia="仿宋_GB2312" w:cs="仿宋_GB2312"/>
          <w:color w:val="auto"/>
          <w:sz w:val="32"/>
          <w:szCs w:val="32"/>
        </w:rPr>
        <w:t>其中：</w:t>
      </w:r>
    </w:p>
    <w:p>
      <w:pPr>
        <w:pStyle w:val="2"/>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cs="仿宋_GB2312"/>
          <w:color w:val="FF0000"/>
          <w:sz w:val="32"/>
          <w:szCs w:val="32"/>
          <w:lang w:val="en-US" w:eastAsia="zh-CN"/>
        </w:rPr>
      </w:pPr>
      <w:r>
        <w:rPr>
          <w:rFonts w:hint="eastAsia" w:ascii="仿宋_GB2312" w:hAnsi="仿宋_GB2312" w:eastAsia="仿宋_GB2312" w:cs="仿宋_GB2312"/>
          <w:b/>
          <w:bCs/>
          <w:color w:val="auto"/>
          <w:sz w:val="32"/>
          <w:szCs w:val="32"/>
        </w:rPr>
        <w:t>按支出</w:t>
      </w:r>
      <w:r>
        <w:rPr>
          <w:rFonts w:hint="eastAsia" w:ascii="仿宋" w:hAnsi="仿宋" w:eastAsia="仿宋" w:cs="仿宋"/>
          <w:b/>
          <w:bCs/>
          <w:color w:val="auto"/>
          <w:sz w:val="32"/>
          <w:szCs w:val="32"/>
        </w:rPr>
        <w:t>资金性质</w:t>
      </w:r>
      <w:r>
        <w:rPr>
          <w:rFonts w:hint="eastAsia" w:ascii="仿宋_GB2312" w:hAnsi="仿宋_GB2312" w:eastAsia="仿宋_GB2312" w:cs="仿宋_GB2312"/>
          <w:b/>
          <w:bCs/>
          <w:color w:val="auto"/>
          <w:sz w:val="32"/>
          <w:szCs w:val="32"/>
        </w:rPr>
        <w:t>划分</w:t>
      </w:r>
      <w:r>
        <w:rPr>
          <w:rFonts w:hint="eastAsia" w:ascii="仿宋_GB2312" w:hAnsi="仿宋_GB2312" w:eastAsia="仿宋_GB2312" w:cs="仿宋_GB2312"/>
          <w:color w:val="auto"/>
          <w:sz w:val="32"/>
          <w:szCs w:val="32"/>
        </w:rPr>
        <w:t>：</w:t>
      </w:r>
      <w:r>
        <w:rPr>
          <w:rFonts w:hint="eastAsia" w:cs="仿宋_GB2312"/>
          <w:color w:val="auto"/>
          <w:sz w:val="32"/>
          <w:szCs w:val="32"/>
          <w:lang w:eastAsia="zh-CN"/>
        </w:rPr>
        <w:t>财政拨款支出</w:t>
      </w:r>
      <w:r>
        <w:rPr>
          <w:rFonts w:hint="eastAsia" w:cs="仿宋_GB2312"/>
          <w:color w:val="auto"/>
          <w:sz w:val="32"/>
          <w:szCs w:val="32"/>
          <w:lang w:val="en-US" w:eastAsia="zh-CN"/>
        </w:rPr>
        <w:t>11254.99万元，其中一般公共预算支出：2918.32万元,上年结转支出：8336.67万元；上级补助支出14808万元；其他支出1959.17万元。</w:t>
      </w:r>
    </w:p>
    <w:p>
      <w:pPr>
        <w:spacing w:line="560" w:lineRule="exact"/>
        <w:ind w:firstLine="643"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按支出功能科目划分</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农林水</w:t>
      </w:r>
      <w:r>
        <w:rPr>
          <w:rFonts w:hint="eastAsia" w:ascii="仿宋_GB2312" w:hAnsi="仿宋_GB2312" w:eastAsia="仿宋_GB2312" w:cs="仿宋_GB2312"/>
          <w:color w:val="000000"/>
          <w:sz w:val="32"/>
          <w:szCs w:val="32"/>
        </w:rPr>
        <w:t>支出</w:t>
      </w:r>
      <w:r>
        <w:rPr>
          <w:rFonts w:hint="eastAsia" w:ascii="仿宋_GB2312" w:hAnsi="仿宋_GB2312" w:eastAsia="仿宋_GB2312" w:cs="仿宋_GB2312"/>
          <w:color w:val="000000"/>
          <w:sz w:val="32"/>
          <w:szCs w:val="32"/>
          <w:lang w:val="en-US" w:eastAsia="zh-CN"/>
        </w:rPr>
        <w:t>25325.43</w:t>
      </w:r>
      <w:r>
        <w:rPr>
          <w:rFonts w:hint="eastAsia" w:ascii="仿宋_GB2312" w:hAnsi="仿宋_GB2312" w:eastAsia="仿宋_GB2312" w:cs="仿宋_GB2312"/>
          <w:color w:val="000000"/>
          <w:sz w:val="32"/>
          <w:szCs w:val="32"/>
        </w:rPr>
        <w:t>万元，占支出预算总额的</w:t>
      </w:r>
      <w:r>
        <w:rPr>
          <w:rFonts w:hint="eastAsia" w:ascii="仿宋_GB2312" w:hAnsi="仿宋_GB2312" w:eastAsia="仿宋_GB2312" w:cs="仿宋_GB2312"/>
          <w:color w:val="000000"/>
          <w:sz w:val="32"/>
          <w:szCs w:val="32"/>
          <w:lang w:val="en-US" w:eastAsia="zh-CN"/>
        </w:rPr>
        <w:t>90</w:t>
      </w:r>
      <w:r>
        <w:rPr>
          <w:rFonts w:hint="eastAsia" w:ascii="仿宋_GB2312" w:hAnsi="仿宋_GB2312" w:eastAsia="仿宋_GB2312" w:cs="仿宋_GB2312"/>
          <w:color w:val="000000"/>
          <w:sz w:val="32"/>
          <w:szCs w:val="32"/>
        </w:rPr>
        <w:t>%；社会保障和就业</w:t>
      </w:r>
      <w:r>
        <w:rPr>
          <w:rFonts w:hint="eastAsia" w:ascii="仿宋_GB2312" w:hAnsi="仿宋_GB2312" w:eastAsia="仿宋_GB2312" w:cs="仿宋_GB2312"/>
          <w:color w:val="000000"/>
          <w:sz w:val="32"/>
          <w:szCs w:val="32"/>
          <w:lang w:val="en-US" w:eastAsia="zh-CN"/>
        </w:rPr>
        <w:t>322.42</w:t>
      </w:r>
      <w:r>
        <w:rPr>
          <w:rFonts w:hint="eastAsia" w:ascii="仿宋_GB2312" w:hAnsi="仿宋_GB2312" w:eastAsia="仿宋_GB2312" w:cs="仿宋_GB2312"/>
          <w:color w:val="000000"/>
          <w:sz w:val="32"/>
          <w:szCs w:val="32"/>
        </w:rPr>
        <w:t>万元，占支出预算总额的</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%；卫生</w:t>
      </w:r>
      <w:r>
        <w:rPr>
          <w:rFonts w:hint="eastAsia" w:ascii="仿宋_GB2312" w:hAnsi="仿宋_GB2312" w:eastAsia="仿宋_GB2312" w:cs="仿宋_GB2312"/>
          <w:color w:val="000000"/>
          <w:sz w:val="32"/>
          <w:szCs w:val="32"/>
          <w:lang w:eastAsia="zh-CN"/>
        </w:rPr>
        <w:t>健康</w:t>
      </w:r>
      <w:r>
        <w:rPr>
          <w:rFonts w:hint="eastAsia" w:ascii="仿宋_GB2312" w:hAnsi="仿宋_GB2312" w:eastAsia="仿宋_GB2312" w:cs="仿宋_GB2312"/>
          <w:color w:val="000000"/>
          <w:sz w:val="32"/>
          <w:szCs w:val="32"/>
        </w:rPr>
        <w:t>支出</w:t>
      </w:r>
      <w:r>
        <w:rPr>
          <w:rFonts w:hint="eastAsia" w:ascii="仿宋_GB2312" w:hAnsi="仿宋_GB2312" w:eastAsia="仿宋_GB2312" w:cs="仿宋_GB2312"/>
          <w:color w:val="000000"/>
          <w:sz w:val="32"/>
          <w:szCs w:val="32"/>
          <w:lang w:val="en-US" w:eastAsia="zh-CN"/>
        </w:rPr>
        <w:t>190.36</w:t>
      </w:r>
      <w:r>
        <w:rPr>
          <w:rFonts w:hint="eastAsia" w:ascii="仿宋_GB2312" w:hAnsi="仿宋_GB2312" w:eastAsia="仿宋_GB2312" w:cs="仿宋_GB2312"/>
          <w:color w:val="000000"/>
          <w:sz w:val="32"/>
          <w:szCs w:val="32"/>
        </w:rPr>
        <w:t>万元，占支出预算总额的</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%；住房</w:t>
      </w:r>
      <w:r>
        <w:rPr>
          <w:rFonts w:hint="eastAsia" w:ascii="仿宋_GB2312" w:hAnsi="仿宋_GB2312" w:eastAsia="仿宋_GB2312" w:cs="仿宋_GB2312"/>
          <w:color w:val="000000"/>
          <w:sz w:val="32"/>
          <w:szCs w:val="32"/>
          <w:lang w:eastAsia="zh-CN"/>
        </w:rPr>
        <w:t>保障</w:t>
      </w:r>
      <w:r>
        <w:rPr>
          <w:rFonts w:hint="eastAsia" w:ascii="仿宋_GB2312" w:hAnsi="仿宋_GB2312" w:eastAsia="仿宋_GB2312" w:cs="仿宋_GB2312"/>
          <w:color w:val="000000"/>
          <w:sz w:val="32"/>
          <w:szCs w:val="32"/>
        </w:rPr>
        <w:t>支出</w:t>
      </w:r>
      <w:r>
        <w:rPr>
          <w:rFonts w:hint="eastAsia" w:ascii="仿宋_GB2312" w:hAnsi="仿宋_GB2312" w:eastAsia="仿宋_GB2312" w:cs="仿宋_GB2312"/>
          <w:color w:val="000000"/>
          <w:sz w:val="32"/>
          <w:szCs w:val="32"/>
          <w:lang w:val="en-US" w:eastAsia="zh-CN"/>
        </w:rPr>
        <w:t>187.25</w:t>
      </w:r>
      <w:r>
        <w:rPr>
          <w:rFonts w:hint="eastAsia" w:ascii="仿宋_GB2312" w:hAnsi="仿宋_GB2312" w:eastAsia="仿宋_GB2312" w:cs="仿宋_GB2312"/>
          <w:color w:val="000000"/>
          <w:sz w:val="32"/>
          <w:szCs w:val="32"/>
        </w:rPr>
        <w:t>万元，占支出预算总额的</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；节能环保支出</w:t>
      </w:r>
      <w:r>
        <w:rPr>
          <w:rFonts w:hint="eastAsia" w:ascii="仿宋_GB2312" w:hAnsi="仿宋_GB2312" w:eastAsia="仿宋_GB2312" w:cs="仿宋_GB2312"/>
          <w:color w:val="000000"/>
          <w:sz w:val="32"/>
          <w:szCs w:val="32"/>
          <w:lang w:val="en-US" w:eastAsia="zh-CN"/>
        </w:rPr>
        <w:t>50.86万元，占支出预算总额1%；</w:t>
      </w:r>
      <w:r>
        <w:rPr>
          <w:rFonts w:hint="eastAsia" w:ascii="仿宋_GB2312" w:hAnsi="仿宋_GB2312" w:eastAsia="仿宋_GB2312" w:cs="仿宋_GB2312"/>
          <w:color w:val="000000"/>
          <w:sz w:val="32"/>
          <w:szCs w:val="32"/>
          <w:lang w:eastAsia="zh-CN"/>
        </w:rPr>
        <w:t>其他支出</w:t>
      </w:r>
      <w:r>
        <w:rPr>
          <w:rFonts w:hint="eastAsia" w:ascii="仿宋_GB2312" w:hAnsi="仿宋_GB2312" w:eastAsia="仿宋_GB2312" w:cs="仿宋_GB2312"/>
          <w:b w:val="0"/>
          <w:bCs w:val="0"/>
          <w:color w:val="000000"/>
          <w:sz w:val="32"/>
          <w:szCs w:val="32"/>
          <w:lang w:val="en-US" w:eastAsia="zh-CN"/>
        </w:rPr>
        <w:t>1945.85</w:t>
      </w:r>
      <w:r>
        <w:rPr>
          <w:rFonts w:hint="eastAsia" w:ascii="仿宋_GB2312" w:hAnsi="仿宋_GB2312" w:eastAsia="仿宋_GB2312" w:cs="仿宋_GB2312"/>
          <w:color w:val="000000"/>
          <w:sz w:val="32"/>
          <w:szCs w:val="32"/>
          <w:lang w:val="en-US" w:eastAsia="zh-CN"/>
        </w:rPr>
        <w:t>万元，占支出预算总额的6%</w:t>
      </w:r>
      <w:r>
        <w:rPr>
          <w:rFonts w:hint="eastAsia" w:ascii="仿宋_GB2312" w:hAnsi="仿宋_GB2312" w:eastAsia="仿宋_GB2312" w:cs="仿宋_GB2312"/>
          <w:color w:val="000000"/>
          <w:sz w:val="32"/>
          <w:szCs w:val="32"/>
        </w:rPr>
        <w:t>。</w:t>
      </w:r>
    </w:p>
    <w:p>
      <w:pPr>
        <w:pStyle w:val="2"/>
        <w:ind w:firstLine="643"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按支出</w:t>
      </w:r>
      <w:r>
        <w:rPr>
          <w:rFonts w:hint="eastAsia" w:cs="仿宋_GB2312"/>
          <w:b/>
          <w:bCs/>
          <w:color w:val="000000"/>
          <w:sz w:val="32"/>
          <w:szCs w:val="32"/>
          <w:lang w:eastAsia="zh-CN"/>
        </w:rPr>
        <w:t>项目</w:t>
      </w:r>
      <w:r>
        <w:rPr>
          <w:rFonts w:hint="eastAsia" w:ascii="仿宋" w:hAnsi="仿宋" w:eastAsia="仿宋" w:cs="仿宋"/>
          <w:b/>
          <w:bCs/>
          <w:sz w:val="32"/>
          <w:szCs w:val="32"/>
        </w:rPr>
        <w:t>经济分类</w:t>
      </w:r>
      <w:r>
        <w:rPr>
          <w:rFonts w:hint="eastAsia" w:ascii="仿宋_GB2312" w:hAnsi="仿宋_GB2312" w:eastAsia="仿宋_GB2312" w:cs="仿宋_GB2312"/>
          <w:b/>
          <w:bCs/>
          <w:color w:val="000000"/>
          <w:sz w:val="32"/>
          <w:szCs w:val="32"/>
        </w:rPr>
        <w:t>划分</w:t>
      </w:r>
      <w:r>
        <w:rPr>
          <w:rFonts w:hint="eastAsia" w:ascii="仿宋_GB2312" w:hAnsi="仿宋_GB2312" w:eastAsia="仿宋_GB2312" w:cs="仿宋_GB2312"/>
          <w:color w:val="000000"/>
          <w:sz w:val="32"/>
          <w:szCs w:val="32"/>
        </w:rPr>
        <w:t>：基本支出 2911.86 万元，占支出预算总额的10%，包括社会保障和就业322.42万元，卫生健康支出190.36万元，农林水支出2211.84万元，住房保障支出187.25万元;项目支出25110.3万元，占支出预算总额的90%</w:t>
      </w:r>
      <w:r>
        <w:rPr>
          <w:rFonts w:hint="eastAsia" w:cs="仿宋_GB2312"/>
          <w:color w:val="000000"/>
          <w:sz w:val="32"/>
          <w:szCs w:val="32"/>
          <w:lang w:eastAsia="zh-CN"/>
        </w:rPr>
        <w:t>，</w:t>
      </w:r>
      <w:r>
        <w:rPr>
          <w:rFonts w:hint="eastAsia" w:ascii="仿宋_GB2312" w:hAnsi="仿宋_GB2312" w:eastAsia="仿宋_GB2312" w:cs="仿宋_GB2312"/>
          <w:color w:val="000000"/>
          <w:sz w:val="32"/>
          <w:szCs w:val="32"/>
        </w:rPr>
        <w:t>包括节能环保支出50.86万元，农林水支出23113.59万元，其他支出1945.85万元。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（三）财政拨款支出情况</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 w:hAnsi="仿宋" w:eastAsia="仿宋" w:cs="仿宋"/>
          <w:sz w:val="32"/>
          <w:szCs w:val="32"/>
        </w:rPr>
      </w:pPr>
      <w:r>
        <w:rPr>
          <w:rFonts w:hint="eastAsia" w:cs="仿宋_GB2312"/>
          <w:color w:val="000000"/>
          <w:sz w:val="32"/>
          <w:szCs w:val="32"/>
          <w:lang w:eastAsia="zh-CN"/>
        </w:rPr>
        <w:t>202</w:t>
      </w:r>
      <w:r>
        <w:rPr>
          <w:rFonts w:hint="eastAsia" w:cs="仿宋_GB2312"/>
          <w:color w:val="000000"/>
          <w:sz w:val="32"/>
          <w:szCs w:val="32"/>
          <w:lang w:val="en-US" w:eastAsia="zh-CN"/>
        </w:rPr>
        <w:t>2</w:t>
      </w:r>
      <w:r>
        <w:rPr>
          <w:rFonts w:hint="eastAsia" w:cs="仿宋_GB2312"/>
          <w:color w:val="000000"/>
          <w:sz w:val="32"/>
          <w:szCs w:val="32"/>
          <w:lang w:eastAsia="zh-CN"/>
        </w:rPr>
        <w:t>年</w:t>
      </w:r>
      <w:r>
        <w:rPr>
          <w:rFonts w:hint="eastAsia" w:ascii="仿宋_GB2312" w:hAnsi="仿宋_GB2312" w:eastAsia="仿宋_GB2312" w:cs="仿宋_GB2312"/>
          <w:color w:val="000000"/>
          <w:sz w:val="32"/>
          <w:szCs w:val="32"/>
        </w:rPr>
        <w:t>财政拨款（补助）支出预算</w:t>
      </w:r>
      <w:r>
        <w:rPr>
          <w:rFonts w:hint="eastAsia" w:cs="仿宋_GB2312"/>
          <w:color w:val="000000"/>
          <w:sz w:val="32"/>
          <w:szCs w:val="32"/>
          <w:lang w:val="en-US" w:eastAsia="zh-CN"/>
        </w:rPr>
        <w:t>2918.32</w:t>
      </w:r>
      <w:r>
        <w:rPr>
          <w:rFonts w:hint="eastAsia" w:ascii="仿宋_GB2312" w:hAnsi="仿宋_GB2312" w:eastAsia="仿宋_GB2312" w:cs="仿宋_GB2312"/>
          <w:color w:val="000000"/>
          <w:sz w:val="32"/>
          <w:szCs w:val="32"/>
        </w:rPr>
        <w:t>万元，</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73</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（主要是减少项目支出</w:t>
      </w:r>
      <w:r>
        <w:rPr>
          <w:rFonts w:hint="eastAsia" w:ascii="仿宋" w:hAnsi="仿宋" w:eastAsia="仿宋" w:cs="仿宋"/>
          <w:color w:val="auto"/>
          <w:sz w:val="32"/>
          <w:szCs w:val="32"/>
          <w:lang w:val="en-US" w:eastAsia="zh-CN"/>
        </w:rPr>
        <w:t>7770.82万元）</w:t>
      </w:r>
      <w:r>
        <w:rPr>
          <w:rFonts w:hint="eastAsia" w:ascii="仿宋" w:hAnsi="仿宋" w:eastAsia="仿宋" w:cs="仿宋"/>
          <w:sz w:val="32"/>
          <w:szCs w:val="32"/>
        </w:rPr>
        <w:t>。</w:t>
      </w:r>
      <w:r>
        <w:rPr>
          <w:rFonts w:hint="eastAsia" w:ascii="仿宋_GB2312" w:hAnsi="仿宋_GB2312" w:eastAsia="仿宋_GB2312" w:cs="仿宋_GB2312"/>
          <w:color w:val="000000"/>
          <w:sz w:val="32"/>
          <w:szCs w:val="32"/>
        </w:rPr>
        <w:t>具体为：</w:t>
      </w:r>
      <w:r>
        <w:rPr>
          <w:rFonts w:hint="eastAsia" w:cs="仿宋_GB2312"/>
          <w:color w:val="000000"/>
          <w:sz w:val="32"/>
          <w:szCs w:val="32"/>
          <w:lang w:eastAsia="zh-CN"/>
        </w:rPr>
        <w:t>农林水</w:t>
      </w:r>
      <w:r>
        <w:rPr>
          <w:rFonts w:hint="eastAsia" w:ascii="仿宋_GB2312" w:hAnsi="仿宋_GB2312" w:eastAsia="仿宋_GB2312" w:cs="仿宋_GB2312"/>
          <w:color w:val="000000"/>
          <w:sz w:val="32"/>
          <w:szCs w:val="32"/>
        </w:rPr>
        <w:t>支出</w:t>
      </w:r>
      <w:r>
        <w:rPr>
          <w:rFonts w:hint="eastAsia" w:cs="仿宋_GB2312"/>
          <w:color w:val="000000"/>
          <w:sz w:val="32"/>
          <w:szCs w:val="32"/>
          <w:lang w:val="en-US" w:eastAsia="zh-CN"/>
        </w:rPr>
        <w:t>2239.59</w:t>
      </w:r>
      <w:r>
        <w:rPr>
          <w:rFonts w:hint="eastAsia" w:ascii="仿宋_GB2312" w:hAnsi="仿宋_GB2312" w:eastAsia="仿宋_GB2312" w:cs="仿宋_GB2312"/>
          <w:color w:val="000000"/>
          <w:sz w:val="32"/>
          <w:szCs w:val="32"/>
        </w:rPr>
        <w:t>万元，占财政拨款（补助）支出的</w:t>
      </w:r>
      <w:r>
        <w:rPr>
          <w:rFonts w:hint="eastAsia" w:cs="仿宋_GB2312"/>
          <w:color w:val="000000"/>
          <w:sz w:val="32"/>
          <w:szCs w:val="32"/>
          <w:lang w:val="en-US" w:eastAsia="zh-CN"/>
        </w:rPr>
        <w:t>78</w:t>
      </w:r>
      <w:r>
        <w:rPr>
          <w:rFonts w:hint="eastAsia" w:ascii="仿宋_GB2312" w:hAnsi="仿宋_GB2312" w:eastAsia="仿宋_GB2312" w:cs="仿宋_GB2312"/>
          <w:color w:val="000000"/>
          <w:sz w:val="32"/>
          <w:szCs w:val="32"/>
        </w:rPr>
        <w:t>%；社会保障和就业</w:t>
      </w:r>
      <w:r>
        <w:rPr>
          <w:rFonts w:hint="eastAsia" w:cs="仿宋_GB2312"/>
          <w:color w:val="000000"/>
          <w:sz w:val="32"/>
          <w:szCs w:val="32"/>
          <w:lang w:val="en-US" w:eastAsia="zh-CN"/>
        </w:rPr>
        <w:t>306.25</w:t>
      </w:r>
      <w:r>
        <w:rPr>
          <w:rFonts w:hint="eastAsia" w:ascii="仿宋_GB2312" w:hAnsi="仿宋_GB2312" w:eastAsia="仿宋_GB2312" w:cs="仿宋_GB2312"/>
          <w:color w:val="000000"/>
          <w:sz w:val="32"/>
          <w:szCs w:val="32"/>
        </w:rPr>
        <w:t>万元，占财政拨款（补助）支出的</w:t>
      </w:r>
      <w:r>
        <w:rPr>
          <w:rFonts w:hint="eastAsia" w:cs="仿宋_GB2312"/>
          <w:color w:val="000000"/>
          <w:sz w:val="32"/>
          <w:szCs w:val="32"/>
          <w:lang w:val="en-US" w:eastAsia="zh-CN"/>
        </w:rPr>
        <w:t>10</w:t>
      </w:r>
      <w:r>
        <w:rPr>
          <w:rFonts w:hint="eastAsia" w:ascii="仿宋_GB2312" w:hAnsi="仿宋_GB2312" w:eastAsia="仿宋_GB2312" w:cs="仿宋_GB2312"/>
          <w:color w:val="000000"/>
          <w:sz w:val="32"/>
          <w:szCs w:val="32"/>
        </w:rPr>
        <w:t>%；卫生</w:t>
      </w:r>
      <w:r>
        <w:rPr>
          <w:rFonts w:hint="eastAsia" w:cs="仿宋_GB2312"/>
          <w:color w:val="000000"/>
          <w:sz w:val="32"/>
          <w:szCs w:val="32"/>
          <w:lang w:eastAsia="zh-CN"/>
        </w:rPr>
        <w:t>健康</w:t>
      </w:r>
      <w:r>
        <w:rPr>
          <w:rFonts w:hint="eastAsia" w:ascii="仿宋_GB2312" w:hAnsi="仿宋_GB2312" w:eastAsia="仿宋_GB2312" w:cs="仿宋_GB2312"/>
          <w:color w:val="000000"/>
          <w:sz w:val="32"/>
          <w:szCs w:val="32"/>
        </w:rPr>
        <w:t>支出</w:t>
      </w:r>
      <w:r>
        <w:rPr>
          <w:rFonts w:hint="eastAsia" w:cs="仿宋_GB2312"/>
          <w:color w:val="000000"/>
          <w:sz w:val="32"/>
          <w:szCs w:val="32"/>
          <w:lang w:val="en-US" w:eastAsia="zh-CN"/>
        </w:rPr>
        <w:t>185.23</w:t>
      </w:r>
      <w:r>
        <w:rPr>
          <w:rFonts w:hint="eastAsia" w:ascii="仿宋_GB2312" w:hAnsi="仿宋_GB2312" w:eastAsia="仿宋_GB2312" w:cs="仿宋_GB2312"/>
          <w:color w:val="000000"/>
          <w:sz w:val="32"/>
          <w:szCs w:val="32"/>
        </w:rPr>
        <w:t>万元，占财政拨款（补助）支出的</w:t>
      </w:r>
      <w:r>
        <w:rPr>
          <w:rFonts w:hint="eastAsia" w:cs="仿宋_GB2312"/>
          <w:color w:val="000000"/>
          <w:sz w:val="32"/>
          <w:szCs w:val="32"/>
          <w:lang w:val="en-US" w:eastAsia="zh-CN"/>
        </w:rPr>
        <w:t>6</w:t>
      </w:r>
      <w:r>
        <w:rPr>
          <w:rFonts w:hint="eastAsia" w:ascii="仿宋_GB2312" w:hAnsi="仿宋_GB2312" w:eastAsia="仿宋_GB2312" w:cs="仿宋_GB2312"/>
          <w:color w:val="000000"/>
          <w:sz w:val="32"/>
          <w:szCs w:val="32"/>
        </w:rPr>
        <w:t>%；住房</w:t>
      </w:r>
      <w:r>
        <w:rPr>
          <w:rFonts w:hint="eastAsia" w:ascii="仿宋_GB2312" w:hAnsi="仿宋_GB2312" w:eastAsia="仿宋_GB2312" w:cs="仿宋_GB2312"/>
          <w:color w:val="000000"/>
          <w:sz w:val="32"/>
          <w:szCs w:val="32"/>
          <w:lang w:eastAsia="zh-CN"/>
        </w:rPr>
        <w:t>保障</w:t>
      </w:r>
      <w:r>
        <w:rPr>
          <w:rFonts w:hint="eastAsia" w:ascii="仿宋_GB2312" w:hAnsi="仿宋_GB2312" w:eastAsia="仿宋_GB2312" w:cs="仿宋_GB2312"/>
          <w:color w:val="000000"/>
          <w:sz w:val="32"/>
          <w:szCs w:val="32"/>
        </w:rPr>
        <w:t>支出</w:t>
      </w:r>
      <w:r>
        <w:rPr>
          <w:rFonts w:hint="eastAsia" w:cs="仿宋_GB2312"/>
          <w:color w:val="000000"/>
          <w:sz w:val="32"/>
          <w:szCs w:val="32"/>
          <w:lang w:val="en-US" w:eastAsia="zh-CN"/>
        </w:rPr>
        <w:t>187.25</w:t>
      </w:r>
      <w:r>
        <w:rPr>
          <w:rFonts w:hint="eastAsia" w:ascii="仿宋_GB2312" w:hAnsi="仿宋_GB2312" w:eastAsia="仿宋_GB2312" w:cs="仿宋_GB2312"/>
          <w:color w:val="000000"/>
          <w:sz w:val="32"/>
          <w:szCs w:val="32"/>
        </w:rPr>
        <w:t>万元，占财政拨款（补助）支出的</w:t>
      </w:r>
      <w:r>
        <w:rPr>
          <w:rFonts w:hint="eastAsia" w:cs="仿宋_GB2312"/>
          <w:color w:val="000000"/>
          <w:sz w:val="32"/>
          <w:szCs w:val="32"/>
          <w:lang w:val="en-US" w:eastAsia="zh-CN"/>
        </w:rPr>
        <w:t>6</w:t>
      </w:r>
      <w:r>
        <w:rPr>
          <w:rFonts w:hint="eastAsia" w:ascii="仿宋_GB2312" w:hAnsi="仿宋_GB2312" w:eastAsia="仿宋_GB2312" w:cs="仿宋_GB2312"/>
          <w:color w:val="000000"/>
          <w:sz w:val="32"/>
          <w:szCs w:val="32"/>
        </w:rPr>
        <w:t>%</w:t>
      </w:r>
      <w:r>
        <w:rPr>
          <w:rFonts w:hint="eastAsia" w:cs="仿宋_GB2312"/>
          <w:color w:val="000000"/>
          <w:sz w:val="32"/>
          <w:szCs w:val="32"/>
          <w:lang w:eastAsia="zh-CN"/>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无政府性基金预算拨款安排的支出。</w:t>
      </w:r>
    </w:p>
    <w:p>
      <w:pPr>
        <w:ind w:firstLine="643" w:firstLineChars="200"/>
        <w:rPr>
          <w:rStyle w:val="6"/>
          <w:rFonts w:ascii="Adobe 仿宋 Std R" w:hAnsi="Adobe 仿宋 Std R" w:eastAsia="Adobe 仿宋 Std R"/>
          <w:b/>
          <w:sz w:val="32"/>
          <w:szCs w:val="32"/>
        </w:rPr>
      </w:pPr>
      <w:r>
        <w:rPr>
          <w:rStyle w:val="6"/>
          <w:rFonts w:hint="eastAsia" w:ascii="Adobe 仿宋 Std R" w:hAnsi="Adobe 仿宋 Std R" w:eastAsia="Adobe 仿宋 Std R"/>
          <w:b/>
          <w:sz w:val="32"/>
          <w:szCs w:val="32"/>
        </w:rPr>
        <w:t>（五）国有资本经营情况</w:t>
      </w:r>
    </w:p>
    <w:p>
      <w:pPr>
        <w:ind w:firstLine="640" w:firstLineChars="200"/>
        <w:rPr>
          <w:rFonts w:hint="eastAsia" w:ascii="仿宋" w:hAnsi="仿宋" w:eastAsia="仿宋" w:cs="仿宋"/>
          <w:b/>
          <w:bCs/>
          <w:sz w:val="32"/>
          <w:szCs w:val="32"/>
        </w:rPr>
      </w:pPr>
      <w:r>
        <w:rPr>
          <w:rStyle w:val="6"/>
          <w:rFonts w:hint="eastAsia" w:ascii="仿宋" w:hAnsi="仿宋" w:eastAsia="仿宋"/>
          <w:sz w:val="32"/>
          <w:szCs w:val="32"/>
        </w:rPr>
        <w:t>没有使用国有资本经营预算拨款安排的支出</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eastAsia="zh-CN"/>
        </w:rPr>
        <w:t>六</w:t>
      </w:r>
      <w:r>
        <w:rPr>
          <w:rFonts w:hint="eastAsia" w:ascii="仿宋" w:hAnsi="仿宋" w:eastAsia="仿宋" w:cs="仿宋"/>
          <w:b/>
          <w:bCs/>
          <w:sz w:val="32"/>
          <w:szCs w:val="32"/>
        </w:rPr>
        <w:t>）机关运行经费等重要事项的说明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eastAsia="zh-CN"/>
        </w:rPr>
        <w:t>2022年</w:t>
      </w:r>
      <w:r>
        <w:rPr>
          <w:rFonts w:hint="eastAsia" w:ascii="仿宋" w:hAnsi="仿宋" w:eastAsia="仿宋" w:cs="仿宋"/>
          <w:sz w:val="32"/>
          <w:szCs w:val="32"/>
        </w:rPr>
        <w:t>部门或单位机关运行费预算</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699.9</w:t>
      </w:r>
      <w:r>
        <w:rPr>
          <w:rFonts w:hint="eastAsia" w:ascii="仿宋" w:hAnsi="仿宋" w:eastAsia="仿宋" w:cs="仿宋"/>
          <w:sz w:val="32"/>
          <w:szCs w:val="32"/>
        </w:rPr>
        <w:t>万元，</w:t>
      </w:r>
      <w:r>
        <w:rPr>
          <w:rFonts w:hint="eastAsia" w:ascii="仿宋" w:hAnsi="仿宋" w:eastAsia="仿宋" w:cs="仿宋"/>
          <w:color w:val="auto"/>
          <w:sz w:val="32"/>
          <w:szCs w:val="32"/>
        </w:rPr>
        <w:t>比</w:t>
      </w:r>
      <w:r>
        <w:rPr>
          <w:rFonts w:hint="eastAsia" w:ascii="仿宋" w:hAnsi="仿宋" w:eastAsia="仿宋" w:cs="仿宋"/>
          <w:color w:val="auto"/>
          <w:sz w:val="32"/>
          <w:szCs w:val="32"/>
          <w:lang w:eastAsia="zh-CN"/>
        </w:rPr>
        <w:t>2022年</w:t>
      </w:r>
      <w:r>
        <w:rPr>
          <w:rFonts w:hint="eastAsia" w:ascii="仿宋" w:hAnsi="仿宋" w:eastAsia="仿宋" w:cs="仿宋"/>
          <w:color w:val="auto"/>
          <w:sz w:val="32"/>
          <w:szCs w:val="32"/>
        </w:rPr>
        <w:t>(上一年度）预算增加</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529.4</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万元，增长</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single"/>
          <w:lang w:val="en-US" w:eastAsia="zh-CN"/>
        </w:rPr>
        <w:t>410</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sz w:val="32"/>
          <w:szCs w:val="32"/>
          <w:lang w:eastAsia="zh-CN"/>
        </w:rPr>
        <w:t>（主要原因为机构改革，原水土保持局、长冈水库管理局整合至水利局）</w:t>
      </w:r>
      <w:r>
        <w:rPr>
          <w:rFonts w:hint="eastAsia" w:ascii="仿宋" w:hAnsi="仿宋" w:eastAsia="仿宋" w:cs="仿宋"/>
          <w:sz w:val="32"/>
          <w:szCs w:val="32"/>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eastAsia="zh-CN"/>
        </w:rPr>
        <w:t>七</w:t>
      </w:r>
      <w:r>
        <w:rPr>
          <w:rFonts w:hint="eastAsia" w:ascii="仿宋" w:hAnsi="仿宋" w:eastAsia="仿宋" w:cs="仿宋"/>
          <w:b/>
          <w:bCs/>
          <w:sz w:val="32"/>
          <w:szCs w:val="32"/>
        </w:rPr>
        <w:t>）政府采购情况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eastAsia="zh-CN"/>
        </w:rPr>
        <w:t>2022年</w:t>
      </w:r>
      <w:r>
        <w:rPr>
          <w:rFonts w:hint="eastAsia" w:ascii="仿宋" w:hAnsi="仿宋" w:eastAsia="仿宋" w:cs="仿宋"/>
          <w:sz w:val="32"/>
          <w:szCs w:val="32"/>
        </w:rPr>
        <w:t>部门或单位所属各单位政府采购总额</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179</w:t>
      </w:r>
      <w:r>
        <w:rPr>
          <w:rFonts w:hint="eastAsia" w:ascii="仿宋" w:hAnsi="仿宋" w:eastAsia="仿宋" w:cs="仿宋"/>
          <w:sz w:val="32"/>
          <w:szCs w:val="32"/>
          <w:u w:val="single"/>
        </w:rPr>
        <w:t xml:space="preserve"> </w:t>
      </w:r>
      <w:r>
        <w:rPr>
          <w:rFonts w:hint="eastAsia" w:ascii="仿宋" w:hAnsi="仿宋" w:eastAsia="仿宋" w:cs="仿宋"/>
          <w:sz w:val="32"/>
          <w:szCs w:val="32"/>
        </w:rPr>
        <w:t>万元，其中：政府采购货物预算</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105</w:t>
      </w:r>
      <w:r>
        <w:rPr>
          <w:rFonts w:hint="eastAsia" w:ascii="仿宋" w:hAnsi="仿宋" w:eastAsia="仿宋" w:cs="仿宋"/>
          <w:sz w:val="32"/>
          <w:szCs w:val="32"/>
          <w:u w:val="single"/>
        </w:rPr>
        <w:t xml:space="preserve"> </w:t>
      </w:r>
      <w:r>
        <w:rPr>
          <w:rFonts w:hint="eastAsia" w:ascii="仿宋" w:hAnsi="仿宋" w:eastAsia="仿宋" w:cs="仿宋"/>
          <w:sz w:val="32"/>
          <w:szCs w:val="32"/>
        </w:rPr>
        <w:t>万元、政府采购工程预算</w:t>
      </w:r>
      <w:r>
        <w:rPr>
          <w:rFonts w:hint="eastAsia" w:ascii="仿宋" w:hAnsi="仿宋" w:eastAsia="仿宋" w:cs="仿宋"/>
          <w:sz w:val="32"/>
          <w:szCs w:val="32"/>
          <w:u w:val="single"/>
          <w:lang w:val="en-US" w:eastAsia="zh-CN"/>
        </w:rPr>
        <w:t>70</w:t>
      </w:r>
      <w:r>
        <w:rPr>
          <w:rFonts w:hint="eastAsia" w:ascii="仿宋" w:hAnsi="仿宋" w:eastAsia="仿宋" w:cs="仿宋"/>
          <w:sz w:val="32"/>
          <w:szCs w:val="32"/>
          <w:u w:val="single"/>
        </w:rPr>
        <w:t xml:space="preserve"> </w:t>
      </w:r>
      <w:r>
        <w:rPr>
          <w:rFonts w:hint="eastAsia" w:ascii="仿宋" w:hAnsi="仿宋" w:eastAsia="仿宋" w:cs="仿宋"/>
          <w:sz w:val="32"/>
          <w:szCs w:val="32"/>
        </w:rPr>
        <w:t>万元、政府采购服务预算</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4</w:t>
      </w:r>
      <w:r>
        <w:rPr>
          <w:rFonts w:hint="eastAsia" w:ascii="仿宋" w:hAnsi="仿宋" w:eastAsia="仿宋" w:cs="仿宋"/>
          <w:sz w:val="32"/>
          <w:szCs w:val="32"/>
          <w:u w:val="single"/>
        </w:rPr>
        <w:t xml:space="preserve"> </w:t>
      </w:r>
      <w:r>
        <w:rPr>
          <w:rFonts w:hint="eastAsia" w:ascii="仿宋" w:hAnsi="仿宋" w:eastAsia="仿宋" w:cs="仿宋"/>
          <w:sz w:val="32"/>
          <w:szCs w:val="32"/>
        </w:rPr>
        <w:t>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eastAsia="zh-CN"/>
        </w:rPr>
        <w:t>八</w:t>
      </w:r>
      <w:r>
        <w:rPr>
          <w:rFonts w:hint="eastAsia" w:ascii="仿宋" w:hAnsi="仿宋" w:eastAsia="仿宋" w:cs="仿宋"/>
          <w:b/>
          <w:bCs/>
          <w:sz w:val="32"/>
          <w:szCs w:val="32"/>
        </w:rPr>
        <w:t>）国有资产占有使用情况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截至</w:t>
      </w:r>
      <w:r>
        <w:rPr>
          <w:rFonts w:hint="eastAsia" w:ascii="仿宋" w:hAnsi="仿宋" w:eastAsia="仿宋" w:cs="仿宋"/>
          <w:sz w:val="32"/>
          <w:szCs w:val="32"/>
          <w:lang w:eastAsia="zh-CN"/>
        </w:rPr>
        <w:t>2022年</w:t>
      </w:r>
      <w:r>
        <w:rPr>
          <w:rFonts w:hint="eastAsia" w:ascii="仿宋" w:hAnsi="仿宋" w:eastAsia="仿宋" w:cs="仿宋"/>
          <w:sz w:val="32"/>
          <w:szCs w:val="32"/>
        </w:rPr>
        <w:t>12月31日、部门共有车辆</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1</w:t>
      </w:r>
      <w:r>
        <w:rPr>
          <w:rFonts w:hint="eastAsia" w:ascii="仿宋" w:hAnsi="仿宋" w:eastAsia="仿宋" w:cs="仿宋"/>
          <w:sz w:val="32"/>
          <w:szCs w:val="32"/>
          <w:u w:val="single"/>
        </w:rPr>
        <w:t xml:space="preserve"> </w:t>
      </w:r>
      <w:r>
        <w:rPr>
          <w:rFonts w:hint="eastAsia" w:ascii="仿宋" w:hAnsi="仿宋" w:eastAsia="仿宋" w:cs="仿宋"/>
          <w:sz w:val="32"/>
          <w:szCs w:val="32"/>
        </w:rPr>
        <w:t>辆、其中、</w:t>
      </w:r>
      <w:r>
        <w:rPr>
          <w:rFonts w:hint="eastAsia" w:ascii="仿宋" w:hAnsi="仿宋" w:eastAsia="仿宋" w:cs="仿宋"/>
          <w:sz w:val="32"/>
          <w:szCs w:val="32"/>
          <w:lang w:eastAsia="zh-CN"/>
        </w:rPr>
        <w:t>其他专用</w:t>
      </w:r>
      <w:r>
        <w:rPr>
          <w:rFonts w:hint="eastAsia" w:ascii="仿宋" w:hAnsi="仿宋" w:eastAsia="仿宋" w:cs="仿宋"/>
          <w:sz w:val="32"/>
          <w:szCs w:val="32"/>
        </w:rPr>
        <w:t>车</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1</w:t>
      </w:r>
      <w:r>
        <w:rPr>
          <w:rFonts w:hint="eastAsia" w:ascii="仿宋" w:hAnsi="仿宋" w:eastAsia="仿宋" w:cs="仿宋"/>
          <w:sz w:val="32"/>
          <w:szCs w:val="32"/>
          <w:u w:val="single"/>
        </w:rPr>
        <w:t xml:space="preserve"> </w:t>
      </w:r>
      <w:r>
        <w:rPr>
          <w:rFonts w:hint="eastAsia" w:ascii="仿宋" w:hAnsi="仿宋" w:eastAsia="仿宋" w:cs="仿宋"/>
          <w:sz w:val="32"/>
          <w:szCs w:val="32"/>
        </w:rPr>
        <w:t>辆。</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2022年</w:t>
      </w:r>
      <w:r>
        <w:rPr>
          <w:rFonts w:hint="eastAsia" w:ascii="仿宋" w:hAnsi="仿宋" w:eastAsia="仿宋" w:cs="仿宋"/>
          <w:sz w:val="32"/>
          <w:szCs w:val="32"/>
        </w:rPr>
        <w:t>部门或单位预算安排购置车辆</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val="en-US" w:eastAsia="zh-CN"/>
        </w:rPr>
        <w:t>0</w:t>
      </w:r>
      <w:r>
        <w:rPr>
          <w:rFonts w:hint="eastAsia" w:ascii="仿宋" w:hAnsi="仿宋" w:eastAsia="仿宋" w:cs="仿宋"/>
          <w:sz w:val="32"/>
          <w:szCs w:val="32"/>
          <w:u w:val="single"/>
        </w:rPr>
        <w:t xml:space="preserve">   </w:t>
      </w:r>
      <w:r>
        <w:rPr>
          <w:rFonts w:hint="eastAsia" w:ascii="仿宋" w:hAnsi="仿宋" w:eastAsia="仿宋" w:cs="仿宋"/>
          <w:sz w:val="32"/>
          <w:szCs w:val="32"/>
        </w:rPr>
        <w:t>辆，安排购置单位价值200万元以上大型设备具体为：</w:t>
      </w:r>
      <w:r>
        <w:rPr>
          <w:rFonts w:hint="eastAsia" w:ascii="仿宋" w:hAnsi="仿宋" w:eastAsia="仿宋" w:cs="仿宋"/>
          <w:sz w:val="32"/>
          <w:szCs w:val="32"/>
          <w:u w:val="single"/>
        </w:rPr>
        <w:t xml:space="preserve">  </w:t>
      </w:r>
      <w:r>
        <w:rPr>
          <w:rFonts w:hint="eastAsia" w:ascii="仿宋" w:hAnsi="仿宋" w:eastAsia="仿宋" w:cs="仿宋"/>
          <w:sz w:val="32"/>
          <w:szCs w:val="32"/>
          <w:u w:val="single"/>
          <w:lang w:eastAsia="zh-CN"/>
        </w:rPr>
        <w:t>无</w:t>
      </w:r>
      <w:r>
        <w:rPr>
          <w:rFonts w:hint="eastAsia" w:ascii="仿宋" w:hAnsi="仿宋" w:eastAsia="仿宋" w:cs="仿宋"/>
          <w:sz w:val="32"/>
          <w:szCs w:val="32"/>
          <w:u w:val="single"/>
        </w:rPr>
        <w:t xml:space="preserve">  </w:t>
      </w:r>
      <w:r>
        <w:rPr>
          <w:rFonts w:hint="eastAsia" w:ascii="仿宋" w:hAnsi="仿宋" w:eastAsia="仿宋" w:cs="仿宋"/>
          <w:sz w:val="32"/>
          <w:szCs w:val="32"/>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eastAsia="zh-CN"/>
        </w:rPr>
        <w:t>九</w:t>
      </w:r>
      <w:r>
        <w:rPr>
          <w:rFonts w:hint="eastAsia" w:ascii="仿宋" w:hAnsi="仿宋" w:eastAsia="仿宋" w:cs="仿宋"/>
          <w:b/>
          <w:bCs/>
          <w:sz w:val="32"/>
          <w:szCs w:val="32"/>
        </w:rPr>
        <w:t>）绩效目标设置情况</w:t>
      </w:r>
    </w:p>
    <w:p>
      <w:pPr>
        <w:spacing w:line="56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2022年</w:t>
      </w:r>
      <w:r>
        <w:rPr>
          <w:rFonts w:hint="eastAsia" w:ascii="仿宋" w:hAnsi="仿宋" w:eastAsia="仿宋" w:cs="仿宋"/>
          <w:sz w:val="32"/>
          <w:szCs w:val="32"/>
        </w:rPr>
        <w:t>实行绩效目标管理的项目</w:t>
      </w:r>
      <w:r>
        <w:rPr>
          <w:rFonts w:hint="eastAsia" w:ascii="仿宋" w:hAnsi="仿宋" w:eastAsia="仿宋" w:cs="仿宋"/>
          <w:sz w:val="32"/>
          <w:szCs w:val="32"/>
          <w:lang w:val="en-US" w:eastAsia="zh-CN"/>
        </w:rPr>
        <w:t>11</w:t>
      </w:r>
      <w:r>
        <w:rPr>
          <w:rFonts w:hint="eastAsia" w:ascii="仿宋" w:hAnsi="仿宋" w:eastAsia="仿宋" w:cs="仿宋"/>
          <w:sz w:val="32"/>
          <w:szCs w:val="32"/>
        </w:rPr>
        <w:t>个，涉及资金</w:t>
      </w:r>
      <w:r>
        <w:rPr>
          <w:rFonts w:hint="eastAsia" w:ascii="仿宋" w:hAnsi="仿宋" w:eastAsia="仿宋" w:cs="仿宋"/>
          <w:sz w:val="32"/>
          <w:szCs w:val="32"/>
          <w:lang w:val="en-US" w:eastAsia="zh-CN"/>
        </w:rPr>
        <w:t>16867.17</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spacing w:line="560" w:lineRule="exact"/>
        <w:ind w:firstLine="640" w:firstLineChars="200"/>
        <w:rPr>
          <w:rFonts w:hint="eastAsia" w:ascii="仿宋_GB2312" w:hAnsi="仿宋_GB2312" w:eastAsia="仿宋_GB2312" w:cs="仿宋_GB2312"/>
          <w:color w:val="333333"/>
          <w:sz w:val="30"/>
          <w:szCs w:val="30"/>
        </w:rPr>
      </w:pPr>
      <w:r>
        <w:rPr>
          <w:rFonts w:hint="eastAsia" w:ascii="仿宋" w:hAnsi="仿宋" w:eastAsia="仿宋" w:cs="仿宋"/>
          <w:sz w:val="32"/>
          <w:szCs w:val="32"/>
        </w:rPr>
        <w:t>项目名称：</w:t>
      </w:r>
      <w:r>
        <w:rPr>
          <w:rFonts w:hint="eastAsia" w:ascii="仿宋_GB2312" w:hAnsi="仿宋_GB2312" w:eastAsia="仿宋_GB2312" w:cs="仿宋_GB2312"/>
          <w:color w:val="333333"/>
          <w:sz w:val="30"/>
          <w:szCs w:val="30"/>
        </w:rPr>
        <w:t>兴国县</w:t>
      </w:r>
      <w:r>
        <w:rPr>
          <w:rFonts w:hint="eastAsia" w:ascii="仿宋_GB2312" w:hAnsi="仿宋_GB2312" w:eastAsia="仿宋_GB2312" w:cs="仿宋_GB2312"/>
          <w:color w:val="333333"/>
          <w:sz w:val="30"/>
          <w:szCs w:val="30"/>
          <w:lang w:eastAsia="zh-CN"/>
        </w:rPr>
        <w:t>中小河流治理项目</w:t>
      </w:r>
      <w:r>
        <w:rPr>
          <w:rFonts w:hint="eastAsia" w:ascii="仿宋_GB2312" w:hAnsi="仿宋_GB2312" w:eastAsia="仿宋_GB2312" w:cs="仿宋_GB2312"/>
          <w:color w:val="333333"/>
          <w:sz w:val="30"/>
          <w:szCs w:val="30"/>
        </w:rPr>
        <w:t>（玉旺、高多、集瑞、上社、文溪、新圩、睦埠河段）</w:t>
      </w:r>
    </w:p>
    <w:p>
      <w:pPr>
        <w:shd w:val="clear" w:color="auto" w:fill="FFFFFF"/>
        <w:ind w:firstLine="602" w:firstLineChars="200"/>
        <w:rPr>
          <w:rFonts w:hint="eastAsia" w:ascii="仿宋_GB2312" w:hAnsi="仿宋_GB2312" w:eastAsia="仿宋_GB2312" w:cs="仿宋_GB2312"/>
          <w:color w:val="333333"/>
          <w:kern w:val="0"/>
          <w:sz w:val="30"/>
          <w:szCs w:val="30"/>
        </w:rPr>
      </w:pPr>
      <w:r>
        <w:rPr>
          <w:rFonts w:hint="eastAsia" w:ascii="仿宋_GB2312" w:hAnsi="仿宋_GB2312" w:eastAsia="仿宋_GB2312" w:cs="仿宋_GB2312"/>
          <w:b/>
          <w:bCs/>
          <w:color w:val="333333"/>
          <w:sz w:val="30"/>
          <w:szCs w:val="30"/>
          <w:lang w:val="en-US" w:eastAsia="zh-CN"/>
        </w:rPr>
        <w:t>1、</w:t>
      </w:r>
      <w:r>
        <w:rPr>
          <w:rFonts w:hint="eastAsia" w:ascii="仿宋_GB2312" w:hAnsi="仿宋_GB2312" w:eastAsia="仿宋_GB2312" w:cs="仿宋_GB2312"/>
          <w:b/>
          <w:bCs/>
          <w:color w:val="333333"/>
          <w:sz w:val="30"/>
          <w:szCs w:val="30"/>
        </w:rPr>
        <w:t>项目概述</w:t>
      </w:r>
      <w:r>
        <w:rPr>
          <w:rFonts w:hint="eastAsia" w:ascii="仿宋_GB2312" w:hAnsi="仿宋_GB2312" w:eastAsia="仿宋_GB2312" w:cs="仿宋_GB2312"/>
          <w:color w:val="333333"/>
          <w:sz w:val="30"/>
          <w:szCs w:val="30"/>
        </w:rPr>
        <w:t>：</w:t>
      </w:r>
      <w:r>
        <w:rPr>
          <w:rFonts w:hint="eastAsia" w:ascii="仿宋_GB2312" w:hAnsi="仿宋_GB2312" w:eastAsia="仿宋_GB2312" w:cs="仿宋_GB2312"/>
          <w:color w:val="333333"/>
          <w:kern w:val="0"/>
          <w:sz w:val="30"/>
          <w:szCs w:val="30"/>
        </w:rPr>
        <w:t>工程治理河道长36.608km（其中治理玉旺河5.89km，高多河5.298km，集瑞河7.02km，上社河3.72km，文溪河5.62km，新圩河6..263km，睦埠河2.797km）。通过新建堤防、加高加固现有堤防，对迎流顶冲堤段护坡，对塌岸险段进行加固，新建穿堤建筑物等措施达到保安及生态河道的目的。</w:t>
      </w:r>
    </w:p>
    <w:p>
      <w:pPr>
        <w:ind w:firstLine="602" w:firstLineChars="200"/>
        <w:rPr>
          <w:rFonts w:hint="eastAsia" w:ascii="仿宋_GB2312" w:hAnsi="仿宋_GB2312" w:eastAsia="仿宋_GB2312" w:cs="仿宋_GB2312"/>
          <w:color w:val="333333"/>
          <w:sz w:val="30"/>
          <w:szCs w:val="30"/>
          <w:lang w:eastAsia="zh-CN"/>
        </w:rPr>
      </w:pPr>
      <w:r>
        <w:rPr>
          <w:rFonts w:hint="eastAsia" w:ascii="仿宋_GB2312" w:hAnsi="仿宋_GB2312" w:eastAsia="仿宋_GB2312" w:cs="仿宋_GB2312"/>
          <w:b/>
          <w:bCs/>
          <w:color w:val="333333"/>
          <w:sz w:val="30"/>
          <w:szCs w:val="30"/>
          <w:lang w:val="en-US" w:eastAsia="zh-CN"/>
        </w:rPr>
        <w:t>2、</w:t>
      </w:r>
      <w:r>
        <w:rPr>
          <w:rFonts w:hint="eastAsia" w:ascii="仿宋_GB2312" w:hAnsi="仿宋_GB2312" w:eastAsia="仿宋_GB2312" w:cs="仿宋_GB2312"/>
          <w:b/>
          <w:bCs/>
          <w:color w:val="333333"/>
          <w:sz w:val="30"/>
          <w:szCs w:val="30"/>
          <w:lang w:eastAsia="zh-CN"/>
        </w:rPr>
        <w:t>立项</w:t>
      </w:r>
      <w:r>
        <w:rPr>
          <w:rFonts w:hint="eastAsia" w:ascii="仿宋_GB2312" w:hAnsi="仿宋_GB2312" w:eastAsia="仿宋_GB2312" w:cs="仿宋_GB2312"/>
          <w:b/>
          <w:bCs/>
          <w:color w:val="333333"/>
          <w:sz w:val="30"/>
          <w:szCs w:val="30"/>
        </w:rPr>
        <w:t>依据</w:t>
      </w:r>
      <w:r>
        <w:rPr>
          <w:rFonts w:hint="eastAsia" w:ascii="仿宋_GB2312" w:hAnsi="仿宋_GB2312" w:eastAsia="仿宋_GB2312" w:cs="仿宋_GB2312"/>
          <w:color w:val="333333"/>
          <w:sz w:val="30"/>
          <w:szCs w:val="30"/>
        </w:rPr>
        <w:t>：《江西省水利厅关于灾后水利薄弱环节建设新增中小河流治理信丰县大阿镇防洪工程等2个项目初步设计报告的批复》赣水河湖字[2018]55号、《江西省水利厅关于灾后水利薄弱环节建设新增中小河流治理兴国县文溪河堤除险加固工程等2个项目初步设计报告的批复》赣水河湖字[2018]74号、《江西省水利厅关于灾后水利薄弱环节建设新增中小河流治理兴国县高多河堤除险加固工程等3个项目初步设计报告的批复》赣水河湖字[2018]81号、《江西省水利厅关于灾后水利薄弱环节建设新增中小河流治理赣县小坌水韩坊镇梅街段防洪治理工程等2个项目初步设计报告的批复》赣水河湖字[2018]88号、《江西省水利厅关于灾后水利薄弱环节建设新增中小河流治理兴国县新圩河堤除险加固工程初步设计报告的批复》</w:t>
      </w:r>
      <w:r>
        <w:rPr>
          <w:rFonts w:hint="eastAsia" w:ascii="仿宋_GB2312" w:hAnsi="仿宋_GB2312" w:eastAsia="仿宋_GB2312" w:cs="仿宋_GB2312"/>
          <w:color w:val="333333"/>
          <w:sz w:val="30"/>
          <w:szCs w:val="30"/>
          <w:lang w:eastAsia="zh-CN"/>
        </w:rPr>
        <w:t>（</w:t>
      </w:r>
      <w:r>
        <w:rPr>
          <w:rFonts w:hint="eastAsia" w:ascii="仿宋_GB2312" w:hAnsi="仿宋_GB2312" w:eastAsia="仿宋_GB2312" w:cs="仿宋_GB2312"/>
          <w:color w:val="333333"/>
          <w:sz w:val="30"/>
          <w:szCs w:val="30"/>
        </w:rPr>
        <w:t>赣水建管字[2019]20号</w:t>
      </w:r>
      <w:r>
        <w:rPr>
          <w:rFonts w:hint="eastAsia" w:ascii="仿宋_GB2312" w:hAnsi="仿宋_GB2312" w:eastAsia="仿宋_GB2312" w:cs="仿宋_GB2312"/>
          <w:color w:val="333333"/>
          <w:sz w:val="30"/>
          <w:szCs w:val="30"/>
          <w:lang w:eastAsia="zh-CN"/>
        </w:rPr>
        <w:t>）。</w:t>
      </w:r>
    </w:p>
    <w:p>
      <w:pPr>
        <w:ind w:firstLine="602"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b/>
          <w:bCs/>
          <w:color w:val="333333"/>
          <w:sz w:val="30"/>
          <w:szCs w:val="30"/>
          <w:lang w:val="en-US" w:eastAsia="zh-CN"/>
        </w:rPr>
        <w:t>3、</w:t>
      </w:r>
      <w:r>
        <w:rPr>
          <w:rFonts w:hint="eastAsia" w:ascii="仿宋_GB2312" w:hAnsi="仿宋_GB2312" w:eastAsia="仿宋_GB2312" w:cs="仿宋_GB2312"/>
          <w:b/>
          <w:bCs/>
          <w:color w:val="333333"/>
          <w:sz w:val="30"/>
          <w:szCs w:val="30"/>
        </w:rPr>
        <w:t>实施主体</w:t>
      </w:r>
      <w:r>
        <w:rPr>
          <w:rFonts w:hint="eastAsia" w:ascii="仿宋_GB2312" w:hAnsi="仿宋_GB2312" w:eastAsia="仿宋_GB2312" w:cs="仿宋_GB2312"/>
          <w:color w:val="333333"/>
          <w:sz w:val="30"/>
          <w:szCs w:val="30"/>
        </w:rPr>
        <w:t>：</w:t>
      </w:r>
      <w:r>
        <w:rPr>
          <w:rFonts w:hint="eastAsia" w:ascii="仿宋_GB2312" w:hAnsi="仿宋_GB2312" w:eastAsia="仿宋_GB2312" w:cs="仿宋_GB2312"/>
          <w:color w:val="333333"/>
          <w:kern w:val="0"/>
          <w:sz w:val="30"/>
          <w:szCs w:val="30"/>
        </w:rPr>
        <w:t>工程治理河道长36.608km（其中治理玉旺河5.89km，高多河5.298km，集瑞河7.02km，上社河3.72km，文溪河5.62km，新圩河6..263km，睦埠河2.797km）。</w:t>
      </w:r>
    </w:p>
    <w:p>
      <w:pPr>
        <w:ind w:firstLine="602"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b/>
          <w:bCs/>
          <w:color w:val="333333"/>
          <w:sz w:val="30"/>
          <w:szCs w:val="30"/>
          <w:lang w:val="en-US" w:eastAsia="zh-CN"/>
        </w:rPr>
        <w:t>4、</w:t>
      </w:r>
      <w:r>
        <w:rPr>
          <w:rFonts w:hint="eastAsia" w:ascii="仿宋_GB2312" w:hAnsi="仿宋_GB2312" w:eastAsia="仿宋_GB2312" w:cs="仿宋_GB2312"/>
          <w:b/>
          <w:bCs/>
          <w:color w:val="333333"/>
          <w:sz w:val="30"/>
          <w:szCs w:val="30"/>
        </w:rPr>
        <w:t>实施周期</w:t>
      </w:r>
      <w:r>
        <w:rPr>
          <w:rFonts w:hint="eastAsia" w:ascii="仿宋_GB2312" w:hAnsi="仿宋_GB2312" w:eastAsia="仿宋_GB2312" w:cs="仿宋_GB2312"/>
          <w:color w:val="333333"/>
          <w:sz w:val="30"/>
          <w:szCs w:val="30"/>
        </w:rPr>
        <w:t>：本工程施工总工期为12个月，从</w:t>
      </w:r>
      <w:r>
        <w:rPr>
          <w:rFonts w:hint="eastAsia" w:ascii="仿宋_GB2312" w:hAnsi="仿宋_GB2312" w:eastAsia="仿宋_GB2312" w:cs="仿宋_GB2312"/>
          <w:color w:val="333333"/>
          <w:sz w:val="30"/>
          <w:szCs w:val="30"/>
          <w:lang w:val="en-US" w:eastAsia="zh-CN"/>
        </w:rPr>
        <w:t>2021</w:t>
      </w:r>
      <w:r>
        <w:rPr>
          <w:rFonts w:hint="eastAsia" w:ascii="仿宋_GB2312" w:hAnsi="仿宋_GB2312" w:eastAsia="仿宋_GB2312" w:cs="仿宋_GB2312"/>
          <w:color w:val="333333"/>
          <w:sz w:val="30"/>
          <w:szCs w:val="30"/>
        </w:rPr>
        <w:t>的9月初开工，至</w:t>
      </w:r>
      <w:r>
        <w:rPr>
          <w:rFonts w:hint="eastAsia" w:ascii="仿宋_GB2312" w:hAnsi="仿宋_GB2312" w:eastAsia="仿宋_GB2312" w:cs="仿宋_GB2312"/>
          <w:color w:val="333333"/>
          <w:sz w:val="30"/>
          <w:szCs w:val="30"/>
          <w:lang w:val="en-US" w:eastAsia="zh-CN"/>
        </w:rPr>
        <w:t>2022年</w:t>
      </w:r>
      <w:r>
        <w:rPr>
          <w:rFonts w:hint="eastAsia" w:ascii="仿宋_GB2312" w:hAnsi="仿宋_GB2312" w:eastAsia="仿宋_GB2312" w:cs="仿宋_GB2312"/>
          <w:color w:val="333333"/>
          <w:sz w:val="30"/>
          <w:szCs w:val="30"/>
        </w:rPr>
        <w:t>8月底竣工，分筹建期、准备期、主体工程施工期、完建期四个阶段，各阶段工程进度安排如下：</w:t>
      </w:r>
    </w:p>
    <w:p>
      <w:pPr>
        <w:ind w:firstLine="600"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（1）筹建期</w:t>
      </w:r>
    </w:p>
    <w:p>
      <w:pPr>
        <w:ind w:firstLine="600"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lang w:val="en-US" w:eastAsia="zh-CN"/>
        </w:rPr>
        <w:t>2021年</w:t>
      </w:r>
      <w:r>
        <w:rPr>
          <w:rFonts w:hint="eastAsia" w:ascii="仿宋_GB2312" w:hAnsi="仿宋_GB2312" w:eastAsia="仿宋_GB2312" w:cs="仿宋_GB2312"/>
          <w:color w:val="333333"/>
          <w:sz w:val="30"/>
          <w:szCs w:val="30"/>
        </w:rPr>
        <w:t>8月底前为工程筹建期，由业主完成征地、“三通一平”及招标等工程建设筹备工作，确保施工队伍按期进场。筹建期不计入施工总工期。</w:t>
      </w:r>
    </w:p>
    <w:p>
      <w:pPr>
        <w:ind w:firstLine="600"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（2）工程施工准备期</w:t>
      </w:r>
    </w:p>
    <w:p>
      <w:pPr>
        <w:ind w:firstLine="600"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lang w:val="en-US" w:eastAsia="zh-CN"/>
        </w:rPr>
        <w:t>2021</w:t>
      </w:r>
      <w:r>
        <w:rPr>
          <w:rFonts w:hint="eastAsia" w:ascii="仿宋_GB2312" w:hAnsi="仿宋_GB2312" w:eastAsia="仿宋_GB2312" w:cs="仿宋_GB2312"/>
          <w:color w:val="333333"/>
          <w:sz w:val="30"/>
          <w:szCs w:val="30"/>
        </w:rPr>
        <w:t>年9月为本工程施工准备期。本阶段由施工承包人进场完成施工用房、场内交通、水、电及砼系统统筹安排和布置，保证主体工程按期施工。</w:t>
      </w:r>
    </w:p>
    <w:p>
      <w:pPr>
        <w:ind w:firstLine="600"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（3）主体工程施工期</w:t>
      </w:r>
    </w:p>
    <w:p>
      <w:pPr>
        <w:ind w:firstLine="600"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主体工程安排在</w:t>
      </w:r>
      <w:r>
        <w:rPr>
          <w:rFonts w:hint="eastAsia" w:ascii="仿宋_GB2312" w:hAnsi="仿宋_GB2312" w:eastAsia="仿宋_GB2312" w:cs="仿宋_GB2312"/>
          <w:color w:val="333333"/>
          <w:sz w:val="30"/>
          <w:szCs w:val="30"/>
          <w:lang w:val="en-US" w:eastAsia="zh-CN"/>
        </w:rPr>
        <w:t>2021</w:t>
      </w:r>
      <w:r>
        <w:rPr>
          <w:rFonts w:hint="eastAsia" w:ascii="仿宋_GB2312" w:hAnsi="仿宋_GB2312" w:eastAsia="仿宋_GB2312" w:cs="仿宋_GB2312"/>
          <w:color w:val="333333"/>
          <w:sz w:val="30"/>
          <w:szCs w:val="30"/>
        </w:rPr>
        <w:t>年10月至</w:t>
      </w:r>
      <w:r>
        <w:rPr>
          <w:rFonts w:hint="eastAsia" w:ascii="仿宋_GB2312" w:hAnsi="仿宋_GB2312" w:eastAsia="仿宋_GB2312" w:cs="仿宋_GB2312"/>
          <w:color w:val="333333"/>
          <w:sz w:val="30"/>
          <w:szCs w:val="30"/>
          <w:lang w:val="en-US" w:eastAsia="zh-CN"/>
        </w:rPr>
        <w:t>2022</w:t>
      </w:r>
      <w:r>
        <w:rPr>
          <w:rFonts w:hint="eastAsia" w:ascii="仿宋_GB2312" w:hAnsi="仿宋_GB2312" w:eastAsia="仿宋_GB2312" w:cs="仿宋_GB2312"/>
          <w:color w:val="333333"/>
          <w:sz w:val="30"/>
          <w:szCs w:val="30"/>
        </w:rPr>
        <w:t>年7月施工，主要施工项目有土方开挖、土方回填、抛石、砌石、护坡、砼道路。拟进行分段施工，堤防工程需先修筑围堰，11月底完成全堤段土方开挖并开始挡墙及土方回填施工。</w:t>
      </w:r>
      <w:r>
        <w:rPr>
          <w:rFonts w:hint="eastAsia" w:ascii="仿宋_GB2312" w:hAnsi="仿宋_GB2312" w:eastAsia="仿宋_GB2312" w:cs="仿宋_GB2312"/>
          <w:color w:val="333333"/>
          <w:sz w:val="30"/>
          <w:szCs w:val="30"/>
          <w:lang w:val="en-US" w:eastAsia="zh-CN"/>
        </w:rPr>
        <w:t>2022</w:t>
      </w:r>
      <w:r>
        <w:rPr>
          <w:rFonts w:hint="eastAsia" w:ascii="仿宋_GB2312" w:hAnsi="仿宋_GB2312" w:eastAsia="仿宋_GB2312" w:cs="仿宋_GB2312"/>
          <w:color w:val="333333"/>
          <w:sz w:val="30"/>
          <w:szCs w:val="30"/>
        </w:rPr>
        <w:t>年2月底，结束抛石工程及土堤施工至防汛水位以上。</w:t>
      </w:r>
      <w:r>
        <w:rPr>
          <w:rFonts w:hint="eastAsia" w:ascii="仿宋_GB2312" w:hAnsi="仿宋_GB2312" w:eastAsia="仿宋_GB2312" w:cs="仿宋_GB2312"/>
          <w:color w:val="333333"/>
          <w:sz w:val="30"/>
          <w:szCs w:val="30"/>
          <w:lang w:val="en-US" w:eastAsia="zh-CN"/>
        </w:rPr>
        <w:t>2022</w:t>
      </w:r>
      <w:r>
        <w:rPr>
          <w:rFonts w:hint="eastAsia" w:ascii="仿宋_GB2312" w:hAnsi="仿宋_GB2312" w:eastAsia="仿宋_GB2312" w:cs="仿宋_GB2312"/>
          <w:color w:val="333333"/>
          <w:sz w:val="30"/>
          <w:szCs w:val="30"/>
        </w:rPr>
        <w:t>年3～7月进行防洪堤土方填筑及草皮护坡施工。</w:t>
      </w:r>
    </w:p>
    <w:p>
      <w:pPr>
        <w:ind w:firstLine="600"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rPr>
        <w:t>（4）工程完建期</w:t>
      </w:r>
    </w:p>
    <w:p>
      <w:pPr>
        <w:ind w:firstLine="600"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color w:val="333333"/>
          <w:sz w:val="30"/>
          <w:szCs w:val="30"/>
          <w:lang w:val="en-US" w:eastAsia="zh-CN"/>
        </w:rPr>
        <w:t>2022</w:t>
      </w:r>
      <w:r>
        <w:rPr>
          <w:rFonts w:hint="eastAsia" w:ascii="仿宋_GB2312" w:hAnsi="仿宋_GB2312" w:eastAsia="仿宋_GB2312" w:cs="仿宋_GB2312"/>
          <w:color w:val="333333"/>
          <w:sz w:val="30"/>
          <w:szCs w:val="30"/>
        </w:rPr>
        <w:t>年8月初进入工程的完建期，进行场区内工程整理美化及水土保持工程。8月31日工程全面竣工。</w:t>
      </w:r>
    </w:p>
    <w:p>
      <w:pPr>
        <w:ind w:firstLine="602" w:firstLineChars="200"/>
        <w:rPr>
          <w:rFonts w:hint="eastAsia" w:ascii="仿宋_GB2312" w:hAnsi="仿宋_GB2312" w:eastAsia="仿宋_GB2312" w:cs="仿宋_GB2312"/>
          <w:color w:val="333333"/>
          <w:sz w:val="30"/>
          <w:szCs w:val="30"/>
          <w:lang w:eastAsia="zh-CN"/>
        </w:rPr>
      </w:pPr>
      <w:r>
        <w:rPr>
          <w:rFonts w:hint="eastAsia" w:ascii="仿宋_GB2312" w:hAnsi="仿宋_GB2312" w:eastAsia="仿宋_GB2312" w:cs="仿宋_GB2312"/>
          <w:b/>
          <w:bCs/>
          <w:color w:val="333333"/>
          <w:sz w:val="30"/>
          <w:szCs w:val="30"/>
          <w:lang w:val="en-US" w:eastAsia="zh-CN"/>
        </w:rPr>
        <w:t>5、</w:t>
      </w:r>
      <w:r>
        <w:rPr>
          <w:rFonts w:hint="eastAsia" w:ascii="仿宋_GB2312" w:hAnsi="仿宋_GB2312" w:eastAsia="仿宋_GB2312" w:cs="仿宋_GB2312"/>
          <w:b/>
          <w:bCs/>
          <w:color w:val="333333"/>
          <w:sz w:val="30"/>
          <w:szCs w:val="30"/>
        </w:rPr>
        <w:t>年度预算安排</w:t>
      </w:r>
      <w:r>
        <w:rPr>
          <w:rFonts w:hint="eastAsia" w:ascii="仿宋_GB2312" w:hAnsi="仿宋_GB2312" w:eastAsia="仿宋_GB2312" w:cs="仿宋_GB2312"/>
          <w:color w:val="333333"/>
          <w:sz w:val="30"/>
          <w:szCs w:val="30"/>
        </w:rPr>
        <w:t>：项目资金</w:t>
      </w:r>
      <w:r>
        <w:rPr>
          <w:rFonts w:hint="eastAsia" w:ascii="仿宋_GB2312" w:hAnsi="仿宋_GB2312" w:eastAsia="仿宋_GB2312" w:cs="仿宋_GB2312"/>
          <w:color w:val="333333"/>
          <w:sz w:val="30"/>
          <w:szCs w:val="30"/>
          <w:lang w:val="en-US" w:eastAsia="zh-CN"/>
        </w:rPr>
        <w:t>12000</w:t>
      </w:r>
      <w:r>
        <w:rPr>
          <w:rFonts w:hint="eastAsia" w:ascii="仿宋_GB2312" w:hAnsi="仿宋_GB2312" w:eastAsia="仿宋_GB2312" w:cs="仿宋_GB2312"/>
          <w:color w:val="333333"/>
          <w:sz w:val="30"/>
          <w:szCs w:val="30"/>
        </w:rPr>
        <w:t>万元</w:t>
      </w:r>
      <w:r>
        <w:rPr>
          <w:rFonts w:hint="eastAsia" w:ascii="仿宋_GB2312" w:hAnsi="仿宋_GB2312" w:eastAsia="仿宋_GB2312" w:cs="仿宋_GB2312"/>
          <w:color w:val="333333"/>
          <w:sz w:val="30"/>
          <w:szCs w:val="30"/>
          <w:lang w:eastAsia="zh-CN"/>
        </w:rPr>
        <w:t>。</w:t>
      </w:r>
    </w:p>
    <w:p>
      <w:pPr>
        <w:spacing w:line="560" w:lineRule="exact"/>
        <w:ind w:left="10" w:leftChars="5" w:firstLine="602" w:firstLineChars="200"/>
        <w:rPr>
          <w:rFonts w:hint="eastAsia" w:ascii="仿宋_GB2312" w:hAnsi="仿宋_GB2312" w:eastAsia="仿宋_GB2312" w:cs="仿宋_GB2312"/>
          <w:color w:val="333333"/>
          <w:sz w:val="30"/>
          <w:szCs w:val="30"/>
        </w:rPr>
      </w:pPr>
      <w:r>
        <w:rPr>
          <w:rFonts w:hint="eastAsia" w:ascii="仿宋_GB2312" w:hAnsi="仿宋_GB2312" w:eastAsia="仿宋_GB2312" w:cs="仿宋_GB2312"/>
          <w:b/>
          <w:bCs/>
          <w:color w:val="333333"/>
          <w:sz w:val="30"/>
          <w:szCs w:val="30"/>
          <w:lang w:val="en-US" w:eastAsia="zh-CN"/>
        </w:rPr>
        <w:t>6、</w:t>
      </w:r>
      <w:r>
        <w:rPr>
          <w:rFonts w:hint="eastAsia" w:ascii="仿宋_GB2312" w:hAnsi="仿宋_GB2312" w:eastAsia="仿宋_GB2312" w:cs="仿宋_GB2312"/>
          <w:b/>
          <w:bCs/>
          <w:color w:val="333333"/>
          <w:sz w:val="30"/>
          <w:szCs w:val="30"/>
        </w:rPr>
        <w:t>年度绩效目标</w:t>
      </w:r>
      <w:r>
        <w:rPr>
          <w:rFonts w:hint="eastAsia" w:ascii="仿宋_GB2312" w:hAnsi="仿宋_GB2312" w:eastAsia="仿宋_GB2312" w:cs="仿宋_GB2312"/>
          <w:color w:val="333333"/>
          <w:sz w:val="30"/>
          <w:szCs w:val="30"/>
        </w:rPr>
        <w:t>：通过项目实施，提高工程区河段的行洪能力和防洪标准，确保工程区内人口及耕地的防洪安全和人民生命财产安全，促进区域经济的持续发展，改善河道两岸的乡村环境和投资环境。</w:t>
      </w:r>
    </w:p>
    <w:p>
      <w:pPr>
        <w:spacing w:line="560" w:lineRule="exact"/>
        <w:ind w:left="10" w:leftChars="5" w:firstLine="643" w:firstLineChars="200"/>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val="en-US" w:eastAsia="zh-CN"/>
        </w:rPr>
        <w:t>2022</w:t>
      </w:r>
      <w:r>
        <w:rPr>
          <w:rFonts w:hint="eastAsia" w:ascii="楷体" w:hAnsi="楷体" w:eastAsia="楷体" w:cs="楷体"/>
          <w:b/>
          <w:bCs/>
          <w:sz w:val="32"/>
          <w:szCs w:val="32"/>
        </w:rPr>
        <w:t>年“三公”经费预算情况说明</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lang w:eastAsia="zh-CN"/>
        </w:rPr>
        <w:t>2022年</w:t>
      </w:r>
      <w:r>
        <w:rPr>
          <w:rFonts w:hint="eastAsia" w:ascii="仿宋" w:hAnsi="仿宋" w:eastAsia="仿宋" w:cs="仿宋"/>
          <w:sz w:val="32"/>
          <w:szCs w:val="32"/>
        </w:rPr>
        <w:t>兴国县</w:t>
      </w:r>
      <w:r>
        <w:rPr>
          <w:rFonts w:hint="eastAsia" w:ascii="仿宋" w:hAnsi="仿宋" w:eastAsia="仿宋" w:cs="仿宋"/>
          <w:sz w:val="32"/>
          <w:szCs w:val="32"/>
          <w:lang w:eastAsia="zh-CN"/>
        </w:rPr>
        <w:t>水利局</w:t>
      </w:r>
      <w:r>
        <w:rPr>
          <w:rFonts w:hint="eastAsia" w:ascii="仿宋" w:hAnsi="仿宋" w:eastAsia="仿宋" w:cs="仿宋"/>
          <w:sz w:val="32"/>
          <w:szCs w:val="32"/>
        </w:rPr>
        <w:t>部门“三公”经费一般公共预算安排</w:t>
      </w:r>
      <w:r>
        <w:rPr>
          <w:rFonts w:hint="eastAsia" w:ascii="仿宋" w:hAnsi="仿宋" w:eastAsia="仿宋" w:cs="仿宋"/>
          <w:sz w:val="32"/>
          <w:szCs w:val="32"/>
          <w:lang w:val="en-US" w:eastAsia="zh-CN"/>
        </w:rPr>
        <w:t>55</w:t>
      </w:r>
      <w:r>
        <w:rPr>
          <w:rFonts w:hint="eastAsia" w:ascii="仿宋" w:hAnsi="仿宋" w:eastAsia="仿宋" w:cs="仿宋"/>
          <w:sz w:val="32"/>
          <w:szCs w:val="32"/>
        </w:rPr>
        <w:t>万元。其中：</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万元，比上年增（减）</w:t>
      </w:r>
      <w:r>
        <w:rPr>
          <w:rFonts w:hint="eastAsia" w:ascii="仿宋" w:hAnsi="仿宋" w:eastAsia="仿宋" w:cs="仿宋"/>
          <w:sz w:val="32"/>
          <w:szCs w:val="32"/>
          <w:lang w:val="en-US" w:eastAsia="zh-CN"/>
        </w:rPr>
        <w:t>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无</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公务接待费</w:t>
      </w:r>
      <w:r>
        <w:rPr>
          <w:rFonts w:hint="eastAsia" w:ascii="仿宋" w:hAnsi="仿宋" w:eastAsia="仿宋" w:cs="仿宋"/>
          <w:sz w:val="32"/>
          <w:szCs w:val="32"/>
          <w:lang w:val="en-US" w:eastAsia="zh-CN"/>
        </w:rPr>
        <w:t>50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27.5</w:t>
      </w:r>
      <w:r>
        <w:rPr>
          <w:rFonts w:hint="eastAsia" w:ascii="仿宋" w:hAnsi="仿宋" w:eastAsia="仿宋" w:cs="仿宋"/>
          <w:sz w:val="32"/>
          <w:szCs w:val="32"/>
        </w:rPr>
        <w:t>万元，主要原因是：</w:t>
      </w:r>
      <w:r>
        <w:rPr>
          <w:rFonts w:hint="eastAsia" w:ascii="仿宋" w:hAnsi="仿宋" w:eastAsia="仿宋" w:cs="仿宋"/>
          <w:sz w:val="32"/>
          <w:szCs w:val="32"/>
          <w:lang w:eastAsia="zh-CN"/>
        </w:rPr>
        <w:t>机构改革，原水土保持局、长冈水库管理局整合至水利局</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公务用车运行维护费</w:t>
      </w:r>
      <w:r>
        <w:rPr>
          <w:rFonts w:hint="eastAsia" w:ascii="仿宋" w:hAnsi="仿宋" w:eastAsia="仿宋" w:cs="仿宋"/>
          <w:sz w:val="32"/>
          <w:szCs w:val="32"/>
          <w:lang w:val="en-US" w:eastAsia="zh-CN"/>
        </w:rPr>
        <w:t>5</w:t>
      </w:r>
      <w:r>
        <w:rPr>
          <w:rFonts w:hint="eastAsia" w:ascii="仿宋" w:hAnsi="仿宋" w:eastAsia="仿宋" w:cs="仿宋"/>
          <w:sz w:val="32"/>
          <w:szCs w:val="32"/>
        </w:rPr>
        <w:t>万元，比上年减</w:t>
      </w:r>
      <w:r>
        <w:rPr>
          <w:rFonts w:hint="eastAsia" w:ascii="仿宋" w:hAnsi="仿宋" w:eastAsia="仿宋" w:cs="仿宋"/>
          <w:sz w:val="32"/>
          <w:szCs w:val="32"/>
          <w:lang w:val="en-US" w:eastAsia="zh-CN"/>
        </w:rPr>
        <w:t>1</w:t>
      </w:r>
      <w:r>
        <w:rPr>
          <w:rFonts w:hint="eastAsia" w:ascii="仿宋" w:hAnsi="仿宋" w:eastAsia="仿宋" w:cs="仿宋"/>
          <w:sz w:val="32"/>
          <w:szCs w:val="32"/>
        </w:rPr>
        <w:t>万元，主要原因是：</w:t>
      </w:r>
      <w:r>
        <w:rPr>
          <w:rFonts w:hint="eastAsia" w:ascii="仿宋" w:hAnsi="仿宋" w:eastAsia="仿宋" w:cs="仿宋"/>
          <w:sz w:val="32"/>
          <w:szCs w:val="32"/>
          <w:lang w:eastAsia="zh-CN"/>
        </w:rPr>
        <w:t>原长冈水库管理局的其他专用车为能源车，运行维护费减少</w:t>
      </w:r>
      <w:r>
        <w:rPr>
          <w:rFonts w:hint="eastAsia" w:ascii="仿宋" w:hAnsi="仿宋" w:eastAsia="仿宋" w:cs="仿宋"/>
          <w:sz w:val="32"/>
          <w:szCs w:val="32"/>
        </w:rPr>
        <w:t>。</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公务用车购置费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万元，比上年增（减）</w:t>
      </w:r>
      <w:r>
        <w:rPr>
          <w:rFonts w:hint="eastAsia" w:ascii="仿宋" w:hAnsi="仿宋" w:eastAsia="仿宋" w:cs="仿宋"/>
          <w:sz w:val="32"/>
          <w:szCs w:val="32"/>
          <w:lang w:val="en-US" w:eastAsia="zh-CN"/>
        </w:rPr>
        <w:t>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无</w:t>
      </w:r>
      <w:r>
        <w:rPr>
          <w:rFonts w:hint="eastAsia" w:ascii="仿宋" w:hAnsi="仿宋" w:eastAsia="仿宋" w:cs="仿宋"/>
          <w:sz w:val="32"/>
          <w:szCs w:val="32"/>
        </w:rPr>
        <w:t>。</w:t>
      </w:r>
    </w:p>
    <w:p>
      <w:pPr>
        <w:spacing w:line="560" w:lineRule="exact"/>
        <w:jc w:val="both"/>
        <w:rPr>
          <w:rFonts w:hint="eastAsia" w:ascii="黑体" w:hAnsi="黑体" w:eastAsia="黑体" w:cs="黑体"/>
          <w:b w:val="0"/>
          <w:bCs w:val="0"/>
          <w:sz w:val="32"/>
          <w:szCs w:val="32"/>
        </w:rPr>
      </w:pPr>
    </w:p>
    <w:p>
      <w:pPr>
        <w:spacing w:line="560" w:lineRule="exact"/>
        <w:jc w:val="center"/>
        <w:rPr>
          <w:rFonts w:hint="eastAsia" w:ascii="黑体" w:hAnsi="黑体" w:eastAsia="黑体" w:cs="黑体"/>
          <w:b w:val="0"/>
          <w:bCs w:val="0"/>
          <w:sz w:val="32"/>
          <w:szCs w:val="32"/>
        </w:rPr>
      </w:pPr>
    </w:p>
    <w:p>
      <w:pPr>
        <w:spacing w:line="560" w:lineRule="exact"/>
        <w:jc w:val="center"/>
        <w:rPr>
          <w:rFonts w:hint="eastAsia" w:ascii="黑体" w:hAnsi="黑体" w:eastAsia="黑体" w:cs="黑体"/>
          <w:b w:val="0"/>
          <w:bCs w:val="0"/>
          <w:sz w:val="32"/>
          <w:szCs w:val="32"/>
        </w:rPr>
      </w:pPr>
    </w:p>
    <w:p>
      <w:pPr>
        <w:spacing w:line="560" w:lineRule="exact"/>
        <w:jc w:val="center"/>
        <w:rPr>
          <w:rFonts w:hint="eastAsia" w:ascii="黑体" w:hAnsi="黑体" w:eastAsia="黑体" w:cs="黑体"/>
          <w:sz w:val="32"/>
          <w:szCs w:val="32"/>
        </w:rPr>
      </w:pPr>
      <w:r>
        <w:rPr>
          <w:rFonts w:hint="eastAsia" w:ascii="黑体" w:hAnsi="黑体" w:eastAsia="黑体" w:cs="黑体"/>
          <w:b w:val="0"/>
          <w:bCs w:val="0"/>
          <w:sz w:val="32"/>
          <w:szCs w:val="32"/>
        </w:rPr>
        <w:t>第三部分 兴国县</w:t>
      </w:r>
      <w:r>
        <w:rPr>
          <w:rFonts w:hint="eastAsia" w:ascii="黑体" w:hAnsi="黑体" w:eastAsia="黑体" w:cs="黑体"/>
          <w:b w:val="0"/>
          <w:bCs w:val="0"/>
          <w:sz w:val="32"/>
          <w:szCs w:val="32"/>
          <w:lang w:eastAsia="zh-CN"/>
        </w:rPr>
        <w:t>水利局</w:t>
      </w:r>
      <w:r>
        <w:rPr>
          <w:rFonts w:hint="eastAsia" w:ascii="黑体" w:hAnsi="黑体" w:eastAsia="黑体" w:cs="黑体"/>
          <w:b w:val="0"/>
          <w:bCs w:val="0"/>
          <w:sz w:val="32"/>
          <w:szCs w:val="32"/>
          <w:lang w:val="en-US" w:eastAsia="zh-CN"/>
        </w:rPr>
        <w:t>2022</w:t>
      </w:r>
      <w:r>
        <w:rPr>
          <w:rFonts w:hint="eastAsia" w:ascii="黑体" w:hAnsi="黑体" w:eastAsia="黑体" w:cs="黑体"/>
          <w:b w:val="0"/>
          <w:bCs w:val="0"/>
          <w:sz w:val="32"/>
          <w:szCs w:val="32"/>
        </w:rPr>
        <w:t>年部门预算表</w:t>
      </w:r>
    </w:p>
    <w:p>
      <w:pPr>
        <w:spacing w:line="560" w:lineRule="exact"/>
        <w:ind w:firstLine="604" w:firstLineChars="189"/>
        <w:jc w:val="center"/>
        <w:rPr>
          <w:rFonts w:hint="eastAsia" w:ascii="仿宋" w:hAnsi="仿宋" w:eastAsia="仿宋" w:cs="仿宋"/>
          <w:sz w:val="32"/>
          <w:szCs w:val="32"/>
        </w:rPr>
      </w:pPr>
      <w:r>
        <w:rPr>
          <w:rFonts w:hint="eastAsia" w:ascii="仿宋" w:hAnsi="仿宋" w:eastAsia="仿宋" w:cs="仿宋"/>
          <w:sz w:val="32"/>
          <w:szCs w:val="32"/>
        </w:rPr>
        <w:t>（附表）</w:t>
      </w:r>
    </w:p>
    <w:p>
      <w:pPr>
        <w:pStyle w:val="2"/>
      </w:pPr>
      <w:r>
        <w:drawing>
          <wp:inline distT="0" distB="0" distL="114300" distR="114300">
            <wp:extent cx="5537835" cy="5809615"/>
            <wp:effectExtent l="0" t="0" r="5715" b="63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5"/>
                    <a:stretch>
                      <a:fillRect/>
                    </a:stretch>
                  </pic:blipFill>
                  <pic:spPr>
                    <a:xfrm>
                      <a:off x="0" y="0"/>
                      <a:ext cx="5537835" cy="5809615"/>
                    </a:xfrm>
                    <a:prstGeom prst="rect">
                      <a:avLst/>
                    </a:prstGeom>
                    <a:noFill/>
                    <a:ln>
                      <a:noFill/>
                    </a:ln>
                  </pic:spPr>
                </pic:pic>
              </a:graphicData>
            </a:graphic>
          </wp:inline>
        </w:drawing>
      </w:r>
    </w:p>
    <w:p>
      <w:pPr>
        <w:pStyle w:val="2"/>
      </w:pPr>
      <w:r>
        <w:drawing>
          <wp:inline distT="0" distB="0" distL="114300" distR="114300">
            <wp:extent cx="5534025" cy="5609590"/>
            <wp:effectExtent l="0" t="0" r="9525" b="1016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6"/>
                    <a:stretch>
                      <a:fillRect/>
                    </a:stretch>
                  </pic:blipFill>
                  <pic:spPr>
                    <a:xfrm>
                      <a:off x="0" y="0"/>
                      <a:ext cx="5534025" cy="5609590"/>
                    </a:xfrm>
                    <a:prstGeom prst="rect">
                      <a:avLst/>
                    </a:prstGeom>
                    <a:noFill/>
                    <a:ln>
                      <a:noFill/>
                    </a:ln>
                  </pic:spPr>
                </pic:pic>
              </a:graphicData>
            </a:graphic>
          </wp:inline>
        </w:drawing>
      </w:r>
    </w:p>
    <w:p>
      <w:pPr>
        <w:pStyle w:val="2"/>
      </w:pPr>
      <w:r>
        <w:drawing>
          <wp:inline distT="0" distB="0" distL="114300" distR="114300">
            <wp:extent cx="5536565" cy="8854440"/>
            <wp:effectExtent l="0" t="0" r="6985" b="3810"/>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7"/>
                    <a:stretch>
                      <a:fillRect/>
                    </a:stretch>
                  </pic:blipFill>
                  <pic:spPr>
                    <a:xfrm>
                      <a:off x="0" y="0"/>
                      <a:ext cx="5536565" cy="8854440"/>
                    </a:xfrm>
                    <a:prstGeom prst="rect">
                      <a:avLst/>
                    </a:prstGeom>
                    <a:noFill/>
                    <a:ln>
                      <a:noFill/>
                    </a:ln>
                  </pic:spPr>
                </pic:pic>
              </a:graphicData>
            </a:graphic>
          </wp:inline>
        </w:drawing>
      </w:r>
    </w:p>
    <w:p>
      <w:pPr>
        <w:pStyle w:val="2"/>
      </w:pPr>
      <w:r>
        <w:drawing>
          <wp:inline distT="0" distB="0" distL="114300" distR="114300">
            <wp:extent cx="5535930" cy="5432425"/>
            <wp:effectExtent l="0" t="0" r="7620" b="15875"/>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8"/>
                    <a:stretch>
                      <a:fillRect/>
                    </a:stretch>
                  </pic:blipFill>
                  <pic:spPr>
                    <a:xfrm>
                      <a:off x="0" y="0"/>
                      <a:ext cx="5535930" cy="5432425"/>
                    </a:xfrm>
                    <a:prstGeom prst="rect">
                      <a:avLst/>
                    </a:prstGeom>
                    <a:noFill/>
                    <a:ln>
                      <a:noFill/>
                    </a:ln>
                  </pic:spPr>
                </pic:pic>
              </a:graphicData>
            </a:graphic>
          </wp:inline>
        </w:drawing>
      </w:r>
    </w:p>
    <w:p>
      <w:pPr>
        <w:pStyle w:val="2"/>
      </w:pPr>
      <w:r>
        <w:drawing>
          <wp:inline distT="0" distB="0" distL="114300" distR="114300">
            <wp:extent cx="5541010" cy="5355590"/>
            <wp:effectExtent l="0" t="0" r="2540" b="16510"/>
            <wp:docPr id="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pic:cNvPicPr>
                      <a:picLocks noChangeAspect="1"/>
                    </pic:cNvPicPr>
                  </pic:nvPicPr>
                  <pic:blipFill>
                    <a:blip r:embed="rId9"/>
                    <a:stretch>
                      <a:fillRect/>
                    </a:stretch>
                  </pic:blipFill>
                  <pic:spPr>
                    <a:xfrm>
                      <a:off x="0" y="0"/>
                      <a:ext cx="5541010" cy="5355590"/>
                    </a:xfrm>
                    <a:prstGeom prst="rect">
                      <a:avLst/>
                    </a:prstGeom>
                    <a:noFill/>
                    <a:ln>
                      <a:noFill/>
                    </a:ln>
                  </pic:spPr>
                </pic:pic>
              </a:graphicData>
            </a:graphic>
          </wp:inline>
        </w:drawing>
      </w:r>
    </w:p>
    <w:p>
      <w:pPr>
        <w:spacing w:line="240" w:lineRule="auto"/>
        <w:ind w:firstLine="0" w:firstLineChars="0"/>
        <w:rPr>
          <w:rFonts w:ascii="仿宋" w:hAnsi="仿宋" w:eastAsia="仿宋" w:cs="仿宋"/>
          <w:sz w:val="32"/>
          <w:szCs w:val="32"/>
        </w:rPr>
      </w:pPr>
      <w:r>
        <w:drawing>
          <wp:inline distT="0" distB="0" distL="114300" distR="114300">
            <wp:extent cx="5535930" cy="7980045"/>
            <wp:effectExtent l="0" t="0" r="762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5535930" cy="7980045"/>
                    </a:xfrm>
                    <a:prstGeom prst="rect">
                      <a:avLst/>
                    </a:prstGeom>
                    <a:noFill/>
                    <a:ln>
                      <a:noFill/>
                    </a:ln>
                  </pic:spPr>
                </pic:pic>
              </a:graphicData>
            </a:graphic>
          </wp:inline>
        </w:drawing>
      </w:r>
    </w:p>
    <w:p>
      <w:pPr>
        <w:spacing w:line="560" w:lineRule="exact"/>
        <w:ind w:firstLine="0" w:firstLineChars="0"/>
        <w:jc w:val="center"/>
      </w:pPr>
    </w:p>
    <w:p>
      <w:pPr>
        <w:spacing w:line="560" w:lineRule="exact"/>
        <w:ind w:firstLine="0" w:firstLineChars="0"/>
        <w:jc w:val="center"/>
      </w:pPr>
    </w:p>
    <w:p>
      <w:pPr>
        <w:spacing w:line="240" w:lineRule="auto"/>
        <w:ind w:firstLine="0" w:firstLineChars="0"/>
        <w:jc w:val="center"/>
        <w:rPr>
          <w:rFonts w:hint="eastAsia" w:ascii="黑体" w:hAnsi="黑体" w:eastAsia="黑体" w:cs="黑体"/>
          <w:b w:val="0"/>
          <w:bCs w:val="0"/>
          <w:sz w:val="32"/>
          <w:szCs w:val="32"/>
        </w:rPr>
      </w:pPr>
      <w:r>
        <w:drawing>
          <wp:inline distT="0" distB="0" distL="114300" distR="114300">
            <wp:extent cx="5536565" cy="1076325"/>
            <wp:effectExtent l="0" t="0" r="6985" b="9525"/>
            <wp:docPr id="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pic:cNvPicPr>
                      <a:picLocks noChangeAspect="1"/>
                    </pic:cNvPicPr>
                  </pic:nvPicPr>
                  <pic:blipFill>
                    <a:blip r:embed="rId11"/>
                    <a:stretch>
                      <a:fillRect/>
                    </a:stretch>
                  </pic:blipFill>
                  <pic:spPr>
                    <a:xfrm>
                      <a:off x="0" y="0"/>
                      <a:ext cx="5536565" cy="1076325"/>
                    </a:xfrm>
                    <a:prstGeom prst="rect">
                      <a:avLst/>
                    </a:prstGeom>
                    <a:noFill/>
                    <a:ln>
                      <a:noFill/>
                    </a:ln>
                  </pic:spPr>
                </pic:pic>
              </a:graphicData>
            </a:graphic>
          </wp:inline>
        </w:drawing>
      </w:r>
    </w:p>
    <w:p>
      <w:pPr>
        <w:spacing w:line="560" w:lineRule="exact"/>
        <w:ind w:firstLine="0" w:firstLineChars="0"/>
        <w:jc w:val="center"/>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rPr>
      </w:pPr>
    </w:p>
    <w:p>
      <w:pPr>
        <w:spacing w:line="560" w:lineRule="exact"/>
        <w:ind w:firstLine="0" w:firstLineChars="0"/>
        <w:jc w:val="center"/>
        <w:rPr>
          <w:rFonts w:hint="eastAsia" w:ascii="黑体" w:hAnsi="黑体" w:eastAsia="黑体" w:cs="黑体"/>
          <w:b w:val="0"/>
          <w:bCs w:val="0"/>
          <w:sz w:val="32"/>
          <w:szCs w:val="32"/>
        </w:rPr>
      </w:pPr>
    </w:p>
    <w:p>
      <w:pPr>
        <w:spacing w:line="240" w:lineRule="auto"/>
        <w:ind w:firstLine="0" w:firstLineChars="0"/>
        <w:jc w:val="center"/>
      </w:pPr>
      <w:r>
        <w:drawing>
          <wp:inline distT="0" distB="0" distL="114300" distR="114300">
            <wp:extent cx="5544820" cy="992505"/>
            <wp:effectExtent l="0" t="0" r="17780" b="17145"/>
            <wp:docPr id="1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pic:cNvPicPr>
                      <a:picLocks noChangeAspect="1"/>
                    </pic:cNvPicPr>
                  </pic:nvPicPr>
                  <pic:blipFill>
                    <a:blip r:embed="rId12"/>
                    <a:stretch>
                      <a:fillRect/>
                    </a:stretch>
                  </pic:blipFill>
                  <pic:spPr>
                    <a:xfrm>
                      <a:off x="0" y="0"/>
                      <a:ext cx="5544820" cy="992505"/>
                    </a:xfrm>
                    <a:prstGeom prst="rect">
                      <a:avLst/>
                    </a:prstGeom>
                    <a:noFill/>
                    <a:ln>
                      <a:noFill/>
                    </a:ln>
                  </pic:spPr>
                </pic:pic>
              </a:graphicData>
            </a:graphic>
          </wp:inline>
        </w:drawing>
      </w:r>
    </w:p>
    <w:p>
      <w:pPr>
        <w:spacing w:line="240" w:lineRule="auto"/>
        <w:ind w:firstLine="0" w:firstLineChars="0"/>
        <w:jc w:val="center"/>
      </w:pPr>
    </w:p>
    <w:p>
      <w:pPr>
        <w:spacing w:line="240" w:lineRule="auto"/>
        <w:ind w:firstLine="0" w:firstLineChars="0"/>
        <w:jc w:val="center"/>
      </w:pPr>
    </w:p>
    <w:p>
      <w:pPr>
        <w:spacing w:line="240" w:lineRule="auto"/>
        <w:ind w:firstLine="0" w:firstLineChars="0"/>
        <w:jc w:val="center"/>
      </w:pPr>
    </w:p>
    <w:p>
      <w:pPr>
        <w:spacing w:line="240" w:lineRule="auto"/>
        <w:ind w:firstLine="0" w:firstLineChars="0"/>
        <w:jc w:val="center"/>
      </w:pPr>
    </w:p>
    <w:p>
      <w:pPr>
        <w:spacing w:line="240" w:lineRule="auto"/>
        <w:ind w:firstLine="0" w:firstLineChars="0"/>
        <w:jc w:val="center"/>
      </w:pPr>
    </w:p>
    <w:p>
      <w:pPr>
        <w:spacing w:line="240" w:lineRule="auto"/>
        <w:ind w:firstLine="0" w:firstLineChars="0"/>
        <w:jc w:val="center"/>
      </w:pPr>
    </w:p>
    <w:p>
      <w:pPr>
        <w:spacing w:line="240" w:lineRule="auto"/>
        <w:ind w:firstLine="0" w:firstLineChars="0"/>
        <w:jc w:val="center"/>
      </w:pPr>
    </w:p>
    <w:p>
      <w:pPr>
        <w:spacing w:line="240" w:lineRule="auto"/>
        <w:ind w:firstLine="0" w:firstLineChars="0"/>
        <w:jc w:val="center"/>
      </w:pPr>
    </w:p>
    <w:p>
      <w:pPr>
        <w:spacing w:line="240" w:lineRule="auto"/>
        <w:ind w:firstLine="0" w:firstLineChars="0"/>
        <w:jc w:val="center"/>
      </w:pPr>
    </w:p>
    <w:p>
      <w:pPr>
        <w:spacing w:line="240" w:lineRule="auto"/>
        <w:ind w:firstLine="0" w:firstLineChars="0"/>
        <w:jc w:val="center"/>
      </w:pPr>
    </w:p>
    <w:p>
      <w:pPr>
        <w:spacing w:line="240" w:lineRule="auto"/>
        <w:ind w:firstLine="0" w:firstLineChars="0"/>
        <w:jc w:val="center"/>
      </w:pPr>
    </w:p>
    <w:p>
      <w:pPr>
        <w:spacing w:line="240" w:lineRule="auto"/>
        <w:ind w:firstLine="0" w:firstLineChars="0"/>
        <w:jc w:val="center"/>
      </w:pPr>
    </w:p>
    <w:p>
      <w:pPr>
        <w:spacing w:line="240" w:lineRule="auto"/>
        <w:ind w:firstLine="0" w:firstLineChars="0"/>
        <w:jc w:val="center"/>
      </w:pPr>
    </w:p>
    <w:p>
      <w:pPr>
        <w:spacing w:line="240" w:lineRule="auto"/>
        <w:ind w:firstLine="0" w:firstLineChars="0"/>
        <w:jc w:val="center"/>
      </w:pPr>
    </w:p>
    <w:p>
      <w:pPr>
        <w:spacing w:line="240" w:lineRule="auto"/>
        <w:ind w:firstLine="0" w:firstLineChars="0"/>
        <w:jc w:val="center"/>
      </w:pPr>
    </w:p>
    <w:p>
      <w:pPr>
        <w:spacing w:line="240" w:lineRule="auto"/>
        <w:ind w:firstLine="0" w:firstLineChars="0"/>
        <w:jc w:val="center"/>
      </w:pPr>
    </w:p>
    <w:p>
      <w:pPr>
        <w:spacing w:line="240" w:lineRule="auto"/>
        <w:ind w:firstLine="0" w:firstLineChars="0"/>
        <w:jc w:val="center"/>
      </w:pPr>
      <w:r>
        <w:drawing>
          <wp:inline distT="0" distB="0" distL="114300" distR="114300">
            <wp:extent cx="5542915" cy="3885565"/>
            <wp:effectExtent l="0" t="0" r="635" b="635"/>
            <wp:docPr id="1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9"/>
                    <pic:cNvPicPr>
                      <a:picLocks noChangeAspect="1"/>
                    </pic:cNvPicPr>
                  </pic:nvPicPr>
                  <pic:blipFill>
                    <a:blip r:embed="rId13"/>
                    <a:stretch>
                      <a:fillRect/>
                    </a:stretch>
                  </pic:blipFill>
                  <pic:spPr>
                    <a:xfrm>
                      <a:off x="0" y="0"/>
                      <a:ext cx="5542915" cy="3885565"/>
                    </a:xfrm>
                    <a:prstGeom prst="rect">
                      <a:avLst/>
                    </a:prstGeom>
                    <a:noFill/>
                    <a:ln>
                      <a:noFill/>
                    </a:ln>
                  </pic:spPr>
                </pic:pic>
              </a:graphicData>
            </a:graphic>
          </wp:inline>
        </w:drawing>
      </w:r>
    </w:p>
    <w:p>
      <w:pPr>
        <w:spacing w:line="240" w:lineRule="auto"/>
        <w:ind w:firstLine="0" w:firstLineChars="0"/>
        <w:jc w:val="center"/>
      </w:pPr>
    </w:p>
    <w:p>
      <w:pPr>
        <w:spacing w:line="240" w:lineRule="auto"/>
        <w:ind w:firstLine="0" w:firstLineChars="0"/>
        <w:jc w:val="center"/>
      </w:pPr>
    </w:p>
    <w:p>
      <w:pPr>
        <w:spacing w:line="240" w:lineRule="auto"/>
        <w:ind w:firstLine="0" w:firstLineChars="0"/>
        <w:jc w:val="center"/>
        <w:rPr>
          <w:rFonts w:hint="eastAsia" w:ascii="黑体" w:hAnsi="黑体" w:eastAsia="黑体" w:cs="黑体"/>
          <w:b w:val="0"/>
          <w:bCs w:val="0"/>
          <w:sz w:val="32"/>
          <w:szCs w:val="32"/>
        </w:rPr>
      </w:pPr>
    </w:p>
    <w:p>
      <w:pPr>
        <w:spacing w:line="240" w:lineRule="auto"/>
        <w:ind w:firstLine="0" w:firstLineChars="0"/>
        <w:jc w:val="center"/>
        <w:rPr>
          <w:rFonts w:hint="eastAsia" w:ascii="黑体" w:hAnsi="黑体" w:eastAsia="黑体" w:cs="黑体"/>
          <w:b w:val="0"/>
          <w:bCs w:val="0"/>
          <w:sz w:val="32"/>
          <w:szCs w:val="32"/>
        </w:rPr>
      </w:pPr>
    </w:p>
    <w:p>
      <w:pPr>
        <w:spacing w:line="240" w:lineRule="auto"/>
        <w:ind w:firstLine="0" w:firstLineChars="0"/>
        <w:jc w:val="center"/>
        <w:rPr>
          <w:rFonts w:hint="eastAsia" w:ascii="黑体" w:hAnsi="黑体" w:eastAsia="黑体" w:cs="黑体"/>
          <w:b w:val="0"/>
          <w:bCs w:val="0"/>
          <w:sz w:val="32"/>
          <w:szCs w:val="32"/>
        </w:rPr>
      </w:pPr>
    </w:p>
    <w:p>
      <w:pPr>
        <w:spacing w:line="240" w:lineRule="auto"/>
        <w:ind w:firstLine="0" w:firstLineChars="0"/>
        <w:jc w:val="center"/>
        <w:rPr>
          <w:rFonts w:hint="eastAsia" w:ascii="黑体" w:hAnsi="黑体" w:eastAsia="黑体" w:cs="黑体"/>
          <w:b w:val="0"/>
          <w:bCs w:val="0"/>
          <w:sz w:val="32"/>
          <w:szCs w:val="32"/>
        </w:rPr>
      </w:pPr>
    </w:p>
    <w:p>
      <w:pPr>
        <w:spacing w:line="240" w:lineRule="auto"/>
        <w:ind w:firstLine="0" w:firstLineChars="0"/>
        <w:jc w:val="center"/>
        <w:rPr>
          <w:rFonts w:hint="eastAsia" w:ascii="黑体" w:hAnsi="黑体" w:eastAsia="黑体" w:cs="黑体"/>
          <w:b w:val="0"/>
          <w:bCs w:val="0"/>
          <w:sz w:val="32"/>
          <w:szCs w:val="32"/>
        </w:rPr>
      </w:pPr>
    </w:p>
    <w:p>
      <w:pPr>
        <w:spacing w:line="240" w:lineRule="auto"/>
        <w:ind w:firstLine="0" w:firstLineChars="0"/>
        <w:jc w:val="center"/>
        <w:rPr>
          <w:rFonts w:hint="eastAsia" w:ascii="黑体" w:hAnsi="黑体" w:eastAsia="黑体" w:cs="黑体"/>
          <w:b w:val="0"/>
          <w:bCs w:val="0"/>
          <w:sz w:val="32"/>
          <w:szCs w:val="32"/>
        </w:rPr>
      </w:pPr>
    </w:p>
    <w:p>
      <w:pPr>
        <w:spacing w:line="240" w:lineRule="auto"/>
        <w:ind w:firstLine="0" w:firstLineChars="0"/>
        <w:jc w:val="center"/>
        <w:rPr>
          <w:rFonts w:hint="eastAsia" w:ascii="黑体" w:hAnsi="黑体" w:eastAsia="黑体" w:cs="黑体"/>
          <w:b w:val="0"/>
          <w:bCs w:val="0"/>
          <w:sz w:val="32"/>
          <w:szCs w:val="32"/>
        </w:rPr>
      </w:pPr>
    </w:p>
    <w:p>
      <w:pPr>
        <w:spacing w:line="240" w:lineRule="auto"/>
        <w:ind w:firstLine="0" w:firstLineChars="0"/>
        <w:jc w:val="center"/>
        <w:rPr>
          <w:rFonts w:hint="eastAsia" w:ascii="黑体" w:hAnsi="黑体" w:eastAsia="黑体" w:cs="黑体"/>
          <w:b w:val="0"/>
          <w:bCs w:val="0"/>
          <w:sz w:val="32"/>
          <w:szCs w:val="32"/>
        </w:rPr>
      </w:pPr>
    </w:p>
    <w:p>
      <w:pPr>
        <w:spacing w:line="240" w:lineRule="auto"/>
        <w:ind w:firstLine="0" w:firstLineChars="0"/>
        <w:jc w:val="center"/>
        <w:rPr>
          <w:rFonts w:hint="eastAsia" w:ascii="黑体" w:hAnsi="黑体" w:eastAsia="黑体" w:cs="黑体"/>
          <w:b w:val="0"/>
          <w:bCs w:val="0"/>
          <w:sz w:val="32"/>
          <w:szCs w:val="32"/>
        </w:rPr>
      </w:pPr>
    </w:p>
    <w:p>
      <w:pPr>
        <w:spacing w:line="240" w:lineRule="auto"/>
        <w:ind w:firstLine="0" w:firstLineChars="0"/>
        <w:jc w:val="both"/>
        <w:rPr>
          <w:rFonts w:hint="eastAsia" w:ascii="黑体" w:hAnsi="黑体" w:eastAsia="黑体" w:cs="黑体"/>
          <w:b w:val="0"/>
          <w:bCs w:val="0"/>
          <w:sz w:val="32"/>
          <w:szCs w:val="32"/>
        </w:rPr>
      </w:pPr>
    </w:p>
    <w:p>
      <w:pPr>
        <w:pStyle w:val="2"/>
        <w:rPr>
          <w:rFonts w:hint="eastAsia"/>
        </w:rPr>
      </w:pPr>
      <w:r>
        <w:drawing>
          <wp:inline distT="0" distB="0" distL="114300" distR="114300">
            <wp:extent cx="5542915" cy="4409440"/>
            <wp:effectExtent l="0" t="0" r="635" b="10160"/>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pic:cNvPicPr>
                  </pic:nvPicPr>
                  <pic:blipFill>
                    <a:blip r:embed="rId14"/>
                    <a:stretch>
                      <a:fillRect/>
                    </a:stretch>
                  </pic:blipFill>
                  <pic:spPr>
                    <a:xfrm>
                      <a:off x="0" y="0"/>
                      <a:ext cx="5542915" cy="4409440"/>
                    </a:xfrm>
                    <a:prstGeom prst="rect">
                      <a:avLst/>
                    </a:prstGeom>
                    <a:noFill/>
                    <a:ln>
                      <a:noFill/>
                    </a:ln>
                  </pic:spPr>
                </pic:pic>
              </a:graphicData>
            </a:graphic>
          </wp:inline>
        </w:drawing>
      </w:r>
    </w:p>
    <w:p>
      <w:pPr>
        <w:spacing w:line="240" w:lineRule="auto"/>
        <w:ind w:firstLine="0" w:firstLineChars="0"/>
        <w:jc w:val="center"/>
        <w:rPr>
          <w:rFonts w:hint="eastAsia" w:ascii="黑体" w:hAnsi="黑体" w:eastAsia="黑体" w:cs="黑体"/>
          <w:b w:val="0"/>
          <w:bCs w:val="0"/>
          <w:sz w:val="32"/>
          <w:szCs w:val="32"/>
        </w:rPr>
      </w:pPr>
    </w:p>
    <w:p>
      <w:pPr>
        <w:spacing w:line="240" w:lineRule="auto"/>
        <w:ind w:firstLine="0" w:firstLineChars="0"/>
        <w:jc w:val="center"/>
        <w:rPr>
          <w:rFonts w:hint="eastAsia" w:ascii="黑体" w:hAnsi="黑体" w:eastAsia="黑体" w:cs="黑体"/>
          <w:b w:val="0"/>
          <w:bCs w:val="0"/>
          <w:sz w:val="32"/>
          <w:szCs w:val="32"/>
        </w:rPr>
      </w:pPr>
    </w:p>
    <w:p>
      <w:pPr>
        <w:spacing w:line="240" w:lineRule="auto"/>
        <w:ind w:firstLine="0" w:firstLineChars="0"/>
        <w:jc w:val="center"/>
        <w:rPr>
          <w:rFonts w:hint="eastAsia" w:ascii="黑体" w:hAnsi="黑体" w:eastAsia="黑体" w:cs="黑体"/>
          <w:b w:val="0"/>
          <w:bCs w:val="0"/>
          <w:sz w:val="32"/>
          <w:szCs w:val="32"/>
        </w:rPr>
      </w:pPr>
    </w:p>
    <w:p>
      <w:pPr>
        <w:spacing w:line="240" w:lineRule="auto"/>
        <w:ind w:firstLine="0" w:firstLineChars="0"/>
        <w:jc w:val="center"/>
        <w:rPr>
          <w:rFonts w:hint="eastAsia" w:ascii="黑体" w:hAnsi="黑体" w:eastAsia="黑体" w:cs="黑体"/>
          <w:b w:val="0"/>
          <w:bCs w:val="0"/>
          <w:sz w:val="32"/>
          <w:szCs w:val="32"/>
        </w:rPr>
      </w:pPr>
    </w:p>
    <w:p>
      <w:pPr>
        <w:spacing w:line="240" w:lineRule="auto"/>
        <w:ind w:firstLine="0" w:firstLineChars="0"/>
        <w:jc w:val="center"/>
        <w:rPr>
          <w:rFonts w:hint="eastAsia" w:ascii="黑体" w:hAnsi="黑体" w:eastAsia="黑体" w:cs="黑体"/>
          <w:b w:val="0"/>
          <w:bCs w:val="0"/>
          <w:sz w:val="32"/>
          <w:szCs w:val="32"/>
        </w:rPr>
      </w:pPr>
    </w:p>
    <w:p>
      <w:pPr>
        <w:spacing w:line="240" w:lineRule="auto"/>
        <w:ind w:firstLine="0" w:firstLineChars="0"/>
        <w:jc w:val="center"/>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rPr>
      </w:pPr>
    </w:p>
    <w:p>
      <w:pPr>
        <w:pStyle w:val="2"/>
        <w:rPr>
          <w:rFonts w:hint="eastAsia" w:ascii="黑体" w:hAnsi="黑体" w:eastAsia="黑体" w:cs="黑体"/>
          <w:b w:val="0"/>
          <w:bCs w:val="0"/>
          <w:sz w:val="32"/>
          <w:szCs w:val="32"/>
        </w:rPr>
      </w:pPr>
    </w:p>
    <w:p>
      <w:pPr>
        <w:spacing w:line="240" w:lineRule="auto"/>
        <w:ind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一、收入科目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各部门结合实际进行解释。</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w:t>
      </w:r>
      <w:r>
        <w:rPr>
          <w:rFonts w:hint="eastAsia" w:ascii="仿宋" w:hAnsi="仿宋" w:eastAsia="仿宋" w:cs="仿宋"/>
          <w:sz w:val="32"/>
          <w:szCs w:val="32"/>
          <w:lang w:val="en-US" w:eastAsia="zh-CN"/>
        </w:rPr>
        <w:t>2022</w:t>
      </w:r>
      <w:r>
        <w:rPr>
          <w:rFonts w:hint="eastAsia" w:ascii="仿宋" w:hAnsi="仿宋" w:eastAsia="仿宋" w:cs="仿宋"/>
          <w:sz w:val="32"/>
          <w:szCs w:val="32"/>
        </w:rPr>
        <w:t>年收支差额的数额。</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w:t>
      </w:r>
      <w:r>
        <w:rPr>
          <w:rFonts w:hint="eastAsia" w:ascii="仿宋" w:hAnsi="仿宋" w:eastAsia="仿宋" w:cs="仿宋"/>
          <w:sz w:val="32"/>
          <w:szCs w:val="32"/>
          <w:lang w:val="en-US" w:eastAsia="zh-CN"/>
        </w:rPr>
        <w:t>2022</w:t>
      </w:r>
      <w:r>
        <w:rPr>
          <w:rFonts w:hint="eastAsia" w:ascii="仿宋" w:hAnsi="仿宋" w:eastAsia="仿宋" w:cs="仿宋"/>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sz w:val="32"/>
          <w:szCs w:val="32"/>
        </w:rPr>
      </w:pPr>
      <w:r>
        <w:rPr>
          <w:rFonts w:hint="eastAsia" w:ascii="楷体" w:hAnsi="楷体" w:eastAsia="楷体" w:cs="楷体"/>
          <w:b/>
          <w:bCs/>
          <w:sz w:val="32"/>
          <w:szCs w:val="32"/>
        </w:rPr>
        <w:t>二、支出科目</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对部门或单位预算中涉及的支出功能分类科目（明细到项级），结合部门实际，参照《</w:t>
      </w:r>
      <w:r>
        <w:rPr>
          <w:rFonts w:hint="eastAsia" w:ascii="仿宋" w:hAnsi="仿宋" w:eastAsia="仿宋" w:cs="仿宋"/>
          <w:sz w:val="32"/>
          <w:szCs w:val="32"/>
          <w:lang w:val="en-US" w:eastAsia="zh-CN"/>
        </w:rPr>
        <w:t>2022</w:t>
      </w:r>
      <w:r>
        <w:rPr>
          <w:rFonts w:hint="eastAsia" w:ascii="仿宋" w:hAnsi="仿宋" w:eastAsia="仿宋" w:cs="仿宋"/>
          <w:sz w:val="32"/>
          <w:szCs w:val="32"/>
        </w:rPr>
        <w:t>年政府收支分类科目》的规范说明行解释。</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spacing w:line="56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pPr>
        <w:spacing w:line="560" w:lineRule="exact"/>
        <w:ind w:firstLine="640" w:firstLineChars="200"/>
        <w:rPr>
          <w:rFonts w:hint="eastAsia" w:ascii="宋体" w:hAnsi="宋体" w:eastAsiaTheme="minorEastAsia" w:cstheme="minorEastAsia"/>
          <w:b/>
          <w:bCs/>
          <w:color w:val="000000" w:themeColor="text1"/>
          <w:sz w:val="32"/>
          <w:szCs w:val="32"/>
          <w14:textFill>
            <w14:solidFill>
              <w14:schemeClr w14:val="tx1"/>
            </w14:solidFill>
          </w14:textFill>
        </w:rPr>
      </w:pPr>
      <w:r>
        <w:rPr>
          <w:rFonts w:hint="eastAsia" w:ascii="仿宋" w:hAnsi="仿宋" w:eastAsia="仿宋" w:cs="仿宋"/>
          <w:sz w:val="32"/>
          <w:szCs w:val="32"/>
        </w:rPr>
        <w:t>（六）死亡抚恤：反映单位遗属人员生活补助。</w:t>
      </w:r>
    </w:p>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3"/>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zNDkyZWU3OGExNjRhNjBiMDM5ZTQ1YjAwYjEwOTgifQ=="/>
  </w:docVars>
  <w:rsids>
    <w:rsidRoot w:val="445E02C8"/>
    <w:rsid w:val="00DB7619"/>
    <w:rsid w:val="0D43658E"/>
    <w:rsid w:val="0EDE1ADA"/>
    <w:rsid w:val="15766A53"/>
    <w:rsid w:val="182C7C77"/>
    <w:rsid w:val="22D53839"/>
    <w:rsid w:val="2B1A2B1C"/>
    <w:rsid w:val="2BE315B0"/>
    <w:rsid w:val="34E169FC"/>
    <w:rsid w:val="36B03571"/>
    <w:rsid w:val="39D320DB"/>
    <w:rsid w:val="3D74650C"/>
    <w:rsid w:val="3F243CD4"/>
    <w:rsid w:val="43A11130"/>
    <w:rsid w:val="445E02C8"/>
    <w:rsid w:val="4A2201CD"/>
    <w:rsid w:val="4F9A4FF9"/>
    <w:rsid w:val="4FC43323"/>
    <w:rsid w:val="62AE58FC"/>
    <w:rsid w:val="728F61AF"/>
    <w:rsid w:val="7513642F"/>
    <w:rsid w:val="7A072E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 w:type="character" w:customStyle="1" w:styleId="6">
    <w:name w:val="row_tree_level_4"/>
    <w:basedOn w:val="5"/>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3602</Words>
  <Characters>4119</Characters>
  <Lines>0</Lines>
  <Paragraphs>0</Paragraphs>
  <TotalTime>2</TotalTime>
  <ScaleCrop>false</ScaleCrop>
  <LinksUpToDate>false</LinksUpToDate>
  <CharactersWithSpaces>4159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ymxhj</cp:lastModifiedBy>
  <dcterms:modified xsi:type="dcterms:W3CDTF">2023-06-20T03:35:35Z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03571A5C5CF0419587BAD594A36485D9_13</vt:lpwstr>
  </property>
</Properties>
</file>