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A4A2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lang w:eastAsia="zh-CN"/>
        </w:rPr>
      </w:pPr>
      <w:r>
        <w:rPr>
          <w:rFonts w:hint="eastAsia" w:ascii="方正小标宋简体" w:hAnsi="方正小标宋简体" w:eastAsia="方正小标宋简体" w:cs="方正小标宋简体"/>
          <w:b/>
          <w:bCs w:val="0"/>
          <w:color w:val="auto"/>
          <w:sz w:val="44"/>
          <w:szCs w:val="44"/>
          <w:u w:val="none"/>
          <w:lang w:eastAsia="zh-CN"/>
        </w:rPr>
        <w:t>兴国县城市管理</w:t>
      </w:r>
      <w:r>
        <w:rPr>
          <w:rFonts w:hint="eastAsia" w:ascii="方正小标宋简体" w:hAnsi="方正小标宋简体" w:eastAsia="方正小标宋简体" w:cs="方正小标宋简体"/>
          <w:b w:val="0"/>
          <w:bCs/>
          <w:color w:val="auto"/>
          <w:sz w:val="44"/>
          <w:szCs w:val="44"/>
          <w:u w:val="none"/>
          <w:lang w:eastAsia="zh-CN"/>
        </w:rPr>
        <w:t>局</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lang w:val="en-US" w:eastAsia="zh-CN"/>
        </w:rPr>
        <w:t>2025年</w:t>
      </w:r>
      <w:r>
        <w:rPr>
          <w:rFonts w:hint="eastAsia" w:ascii="方正小标宋简体" w:hAnsi="方正小标宋简体" w:eastAsia="方正小标宋简体" w:cs="方正小标宋简体"/>
          <w:b w:val="0"/>
          <w:bCs/>
          <w:color w:val="auto"/>
          <w:sz w:val="44"/>
          <w:szCs w:val="44"/>
          <w:u w:val="none"/>
          <w:lang w:eastAsia="zh-CN"/>
        </w:rPr>
        <w:t>部门</w:t>
      </w:r>
      <w:r>
        <w:rPr>
          <w:rFonts w:hint="eastAsia" w:ascii="方正小标宋简体" w:hAnsi="方正小标宋简体" w:eastAsia="方正小标宋简体" w:cs="方正小标宋简体"/>
          <w:b w:val="0"/>
          <w:bCs/>
          <w:color w:val="auto"/>
          <w:sz w:val="44"/>
          <w:szCs w:val="44"/>
          <w:u w:val="none"/>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6"/>
          <w:szCs w:val="36"/>
          <w:u w:val="none"/>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rPr>
        <w:t>目  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u w:val="none"/>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 xml:space="preserve">第一部分 </w:t>
      </w:r>
      <w:r>
        <w:rPr>
          <w:rFonts w:hint="eastAsia" w:ascii="仿宋" w:hAnsi="仿宋" w:eastAsia="仿宋" w:cs="仿宋"/>
          <w:b/>
          <w:bCs/>
          <w:color w:val="auto"/>
          <w:sz w:val="32"/>
          <w:szCs w:val="32"/>
          <w:u w:val="none"/>
          <w:lang w:eastAsia="zh-CN"/>
        </w:rPr>
        <w:t>部门</w:t>
      </w:r>
      <w:r>
        <w:rPr>
          <w:rFonts w:hint="eastAsia" w:ascii="仿宋" w:hAnsi="仿宋" w:eastAsia="仿宋" w:cs="仿宋"/>
          <w:b/>
          <w:bCs/>
          <w:color w:val="auto"/>
          <w:sz w:val="32"/>
          <w:szCs w:val="32"/>
          <w:u w:val="none"/>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部门</w:t>
      </w:r>
      <w:r>
        <w:rPr>
          <w:rFonts w:hint="eastAsia" w:ascii="仿宋" w:hAnsi="仿宋" w:eastAsia="仿宋" w:cs="仿宋"/>
          <w:b w:val="0"/>
          <w:bCs w:val="0"/>
          <w:color w:val="auto"/>
          <w:sz w:val="32"/>
          <w:szCs w:val="32"/>
          <w:u w:val="none"/>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b w:val="0"/>
          <w:bCs w:val="0"/>
          <w:color w:val="auto"/>
          <w:sz w:val="32"/>
          <w:szCs w:val="32"/>
          <w:u w:val="none"/>
        </w:rPr>
        <w:t>二、</w:t>
      </w:r>
      <w:r>
        <w:rPr>
          <w:rFonts w:hint="eastAsia" w:ascii="仿宋" w:hAnsi="仿宋" w:eastAsia="仿宋" w:cs="仿宋"/>
          <w:b w:val="0"/>
          <w:bCs w:val="0"/>
          <w:color w:val="auto"/>
          <w:sz w:val="32"/>
          <w:szCs w:val="32"/>
          <w:u w:val="none"/>
          <w:lang w:eastAsia="zh-CN"/>
        </w:rPr>
        <w:t>部门</w:t>
      </w:r>
      <w:r>
        <w:rPr>
          <w:rFonts w:hint="eastAsia" w:ascii="仿宋" w:hAnsi="仿宋" w:eastAsia="仿宋" w:cs="仿宋"/>
          <w:b w:val="0"/>
          <w:bCs w:val="0"/>
          <w:color w:val="auto"/>
          <w:sz w:val="32"/>
          <w:szCs w:val="32"/>
          <w:u w:val="none"/>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二</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 xml:space="preserve"> 2025年</w:t>
      </w:r>
      <w:r>
        <w:rPr>
          <w:rFonts w:hint="eastAsia" w:ascii="仿宋" w:hAnsi="仿宋" w:eastAsia="仿宋" w:cs="仿宋"/>
          <w:b/>
          <w:bCs/>
          <w:color w:val="auto"/>
          <w:sz w:val="32"/>
          <w:szCs w:val="32"/>
          <w:u w:val="none"/>
          <w:lang w:eastAsia="zh-CN"/>
        </w:rPr>
        <w:t>部门</w:t>
      </w:r>
      <w:r>
        <w:rPr>
          <w:rFonts w:hint="eastAsia" w:ascii="仿宋" w:hAnsi="仿宋" w:eastAsia="仿宋" w:cs="仿宋"/>
          <w:b/>
          <w:bCs/>
          <w:color w:val="auto"/>
          <w:sz w:val="32"/>
          <w:szCs w:val="32"/>
          <w:u w:val="none"/>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部门</w:t>
      </w:r>
      <w:r>
        <w:rPr>
          <w:rFonts w:hint="eastAsia" w:ascii="仿宋" w:hAnsi="仿宋" w:eastAsia="仿宋" w:cs="仿宋"/>
          <w:b w:val="0"/>
          <w:bCs w:val="0"/>
          <w:color w:val="auto"/>
          <w:sz w:val="32"/>
          <w:szCs w:val="32"/>
          <w:u w:val="none"/>
        </w:rPr>
        <w:t>预算</w:t>
      </w:r>
      <w:r>
        <w:rPr>
          <w:rFonts w:hint="eastAsia" w:ascii="仿宋" w:hAnsi="仿宋" w:eastAsia="仿宋" w:cs="仿宋"/>
          <w:color w:val="auto"/>
          <w:sz w:val="32"/>
          <w:szCs w:val="32"/>
          <w:u w:val="none"/>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auto"/>
          <w:sz w:val="32"/>
          <w:szCs w:val="32"/>
          <w:u w:val="none"/>
        </w:rPr>
      </w:pPr>
      <w:r>
        <w:rPr>
          <w:rFonts w:hint="eastAsia" w:ascii="仿宋" w:hAnsi="仿宋" w:eastAsia="仿宋" w:cs="仿宋"/>
          <w:color w:val="auto"/>
          <w:sz w:val="32"/>
          <w:szCs w:val="32"/>
          <w:u w:val="none"/>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三</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 xml:space="preserve"> 2025年</w:t>
      </w:r>
      <w:r>
        <w:rPr>
          <w:rFonts w:hint="eastAsia" w:ascii="仿宋" w:hAnsi="仿宋" w:eastAsia="仿宋" w:cs="仿宋"/>
          <w:b/>
          <w:bCs/>
          <w:color w:val="auto"/>
          <w:sz w:val="32"/>
          <w:szCs w:val="32"/>
          <w:u w:val="none"/>
          <w:lang w:eastAsia="zh-CN"/>
        </w:rPr>
        <w:t>部门</w:t>
      </w:r>
      <w:r>
        <w:rPr>
          <w:rFonts w:hint="eastAsia" w:ascii="仿宋" w:hAnsi="仿宋" w:eastAsia="仿宋" w:cs="仿宋"/>
          <w:b/>
          <w:bCs/>
          <w:color w:val="auto"/>
          <w:sz w:val="32"/>
          <w:szCs w:val="32"/>
          <w:u w:val="none"/>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二、《部门收入总表》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三、《部门支出总表》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九、《国有资本经营预算支出表》</w:t>
      </w:r>
    </w:p>
    <w:p w14:paraId="40B0EE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十、《部门整体支出绩效目标表》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十一、</w:t>
      </w:r>
      <w:r>
        <w:rPr>
          <w:rFonts w:hint="eastAsia" w:ascii="仿宋" w:hAnsi="仿宋" w:eastAsia="仿宋" w:cs="仿宋"/>
          <w:color w:val="auto"/>
          <w:sz w:val="32"/>
          <w:szCs w:val="32"/>
          <w:u w:val="none"/>
        </w:rPr>
        <w:t>《项目支出绩效目标表》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第四部分 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32"/>
          <w:szCs w:val="32"/>
          <w:u w:val="none"/>
        </w:rPr>
      </w:pPr>
    </w:p>
    <w:p w14:paraId="631D3B44">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u w:val="none"/>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第一部分</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lang w:eastAsia="zh-CN"/>
        </w:rPr>
        <w:t>部门</w:t>
      </w:r>
      <w:r>
        <w:rPr>
          <w:rFonts w:hint="eastAsia" w:ascii="黑体" w:hAnsi="黑体" w:eastAsia="黑体" w:cs="黑体"/>
          <w:b w:val="0"/>
          <w:bCs w:val="0"/>
          <w:color w:val="auto"/>
          <w:sz w:val="32"/>
          <w:szCs w:val="32"/>
          <w:u w:val="none"/>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u w:val="none"/>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部门</w:t>
      </w:r>
      <w:r>
        <w:rPr>
          <w:rFonts w:hint="eastAsia" w:ascii="楷体" w:hAnsi="楷体" w:eastAsia="楷体" w:cs="楷体"/>
          <w:b/>
          <w:bCs/>
          <w:color w:val="auto"/>
          <w:sz w:val="32"/>
          <w:szCs w:val="32"/>
          <w:u w:val="none"/>
        </w:rPr>
        <w:t>主要职责</w:t>
      </w:r>
    </w:p>
    <w:p w14:paraId="7FAAA0AC">
      <w:pPr>
        <w:pStyle w:val="2"/>
        <w:spacing w:before="98" w:line="361" w:lineRule="auto"/>
        <w:ind w:firstLine="629"/>
        <w:rPr>
          <w:rFonts w:hint="eastAsia" w:ascii="楷体" w:hAnsi="楷体" w:eastAsia="楷体" w:cs="楷体"/>
          <w:color w:val="auto"/>
          <w:sz w:val="24"/>
          <w:szCs w:val="24"/>
          <w:u w:val="none"/>
        </w:rPr>
      </w:pPr>
      <w:r>
        <w:rPr>
          <w:color w:val="auto"/>
          <w:spacing w:val="8"/>
          <w:u w:val="none"/>
        </w:rPr>
        <w:t>主管全县城市市容市貌、环境卫生、</w:t>
      </w:r>
      <w:r>
        <w:rPr>
          <w:color w:val="auto"/>
          <w:spacing w:val="-87"/>
          <w:u w:val="none"/>
        </w:rPr>
        <w:t xml:space="preserve"> </w:t>
      </w:r>
      <w:r>
        <w:rPr>
          <w:color w:val="auto"/>
          <w:spacing w:val="8"/>
          <w:u w:val="none"/>
        </w:rPr>
        <w:t>园林绿化</w:t>
      </w:r>
      <w:r>
        <w:rPr>
          <w:color w:val="auto"/>
          <w:spacing w:val="7"/>
          <w:u w:val="none"/>
        </w:rPr>
        <w:t>、城市道路、</w:t>
      </w:r>
      <w:r>
        <w:rPr>
          <w:color w:val="auto"/>
          <w:spacing w:val="10"/>
          <w:u w:val="none"/>
        </w:rPr>
        <w:t>桥梁、路灯、市场服务管理及经开区城管等公共事务管理职能，</w:t>
      </w:r>
      <w:r>
        <w:rPr>
          <w:color w:val="auto"/>
          <w:spacing w:val="9"/>
          <w:u w:val="none"/>
        </w:rPr>
        <w:t>并履行着全县创建文明城市</w:t>
      </w:r>
      <w:r>
        <w:rPr>
          <w:color w:val="auto"/>
          <w:spacing w:val="-85"/>
          <w:u w:val="none"/>
        </w:rPr>
        <w:t xml:space="preserve"> </w:t>
      </w:r>
      <w:r>
        <w:rPr>
          <w:color w:val="auto"/>
          <w:spacing w:val="9"/>
          <w:u w:val="none"/>
        </w:rPr>
        <w:t>、卫生城市</w:t>
      </w:r>
      <w:r>
        <w:rPr>
          <w:color w:val="auto"/>
          <w:spacing w:val="-86"/>
          <w:u w:val="none"/>
        </w:rPr>
        <w:t xml:space="preserve"> </w:t>
      </w:r>
      <w:r>
        <w:rPr>
          <w:color w:val="auto"/>
          <w:spacing w:val="9"/>
          <w:u w:val="none"/>
        </w:rPr>
        <w:t>、园林城市及组织</w:t>
      </w:r>
      <w:r>
        <w:rPr>
          <w:color w:val="auto"/>
          <w:spacing w:val="-86"/>
          <w:u w:val="none"/>
        </w:rPr>
        <w:t xml:space="preserve"> </w:t>
      </w:r>
      <w:r>
        <w:rPr>
          <w:color w:val="auto"/>
          <w:spacing w:val="9"/>
          <w:u w:val="none"/>
        </w:rPr>
        <w:t>、协</w:t>
      </w:r>
      <w:r>
        <w:rPr>
          <w:color w:val="auto"/>
          <w:spacing w:val="4"/>
          <w:u w:val="none"/>
        </w:rPr>
        <w:t>调、监督、抽查工作职能。</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eastAsia="zh-CN"/>
        </w:rPr>
        <w:t>部门</w:t>
      </w:r>
      <w:r>
        <w:rPr>
          <w:rFonts w:hint="eastAsia" w:ascii="楷体" w:hAnsi="楷体" w:eastAsia="楷体" w:cs="楷体"/>
          <w:b/>
          <w:bCs/>
          <w:color w:val="auto"/>
          <w:sz w:val="32"/>
          <w:szCs w:val="32"/>
          <w:u w:val="none"/>
        </w:rPr>
        <w:t>基本情况</w:t>
      </w:r>
    </w:p>
    <w:p w14:paraId="236020F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仿宋" w:cs="楷体"/>
          <w:color w:val="auto"/>
          <w:sz w:val="28"/>
          <w:szCs w:val="28"/>
          <w:u w:val="none"/>
          <w:lang w:eastAsia="zh-CN"/>
        </w:rPr>
      </w:pPr>
      <w:r>
        <w:rPr>
          <w:rFonts w:hint="eastAsia" w:ascii="仿宋" w:hAnsi="仿宋" w:eastAsia="仿宋" w:cs="仿宋"/>
          <w:color w:val="auto"/>
          <w:sz w:val="32"/>
          <w:szCs w:val="32"/>
          <w:u w:val="none"/>
          <w:lang w:val="en-US" w:eastAsia="zh-CN"/>
        </w:rPr>
        <w:t>2025</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w:t>
      </w:r>
      <w:r>
        <w:rPr>
          <w:rFonts w:hint="eastAsia" w:ascii="仿宋" w:hAnsi="仿宋" w:eastAsia="仿宋"/>
          <w:color w:val="auto"/>
          <w:sz w:val="32"/>
          <w:szCs w:val="32"/>
          <w:u w:val="none"/>
        </w:rPr>
        <w:t>部门共有预算单位</w:t>
      </w:r>
      <w:r>
        <w:rPr>
          <w:rFonts w:hint="eastAsia" w:ascii="仿宋" w:hAnsi="仿宋" w:eastAsia="仿宋" w:cs="Times New Roman"/>
          <w:color w:val="auto"/>
          <w:kern w:val="0"/>
          <w:sz w:val="32"/>
          <w:szCs w:val="32"/>
          <w:u w:val="none"/>
          <w:lang w:val="en-US" w:eastAsia="zh-CN"/>
        </w:rPr>
        <w:t>3</w:t>
      </w:r>
      <w:r>
        <w:rPr>
          <w:rFonts w:ascii="仿宋" w:hAnsi="仿宋" w:eastAsia="仿宋"/>
          <w:color w:val="auto"/>
          <w:sz w:val="32"/>
          <w:szCs w:val="32"/>
          <w:u w:val="none"/>
        </w:rPr>
        <w:t>个，包括</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本级</w:t>
      </w:r>
      <w:r>
        <w:rPr>
          <w:rFonts w:hint="eastAsia" w:ascii="仿宋" w:hAnsi="仿宋" w:eastAsia="仿宋"/>
          <w:color w:val="auto"/>
          <w:sz w:val="32"/>
          <w:szCs w:val="32"/>
          <w:u w:val="none"/>
        </w:rPr>
        <w:t>机关</w:t>
      </w:r>
      <w:r>
        <w:rPr>
          <w:rFonts w:hint="eastAsia" w:ascii="仿宋" w:hAnsi="仿宋" w:eastAsia="仿宋"/>
          <w:color w:val="auto"/>
          <w:sz w:val="32"/>
          <w:szCs w:val="32"/>
          <w:u w:val="none"/>
          <w:lang w:eastAsia="zh-CN"/>
        </w:rPr>
        <w:t>单位</w:t>
      </w:r>
      <w:r>
        <w:rPr>
          <w:rFonts w:hint="eastAsia" w:ascii="仿宋" w:hAnsi="仿宋" w:eastAsia="仿宋"/>
          <w:color w:val="auto"/>
          <w:sz w:val="32"/>
          <w:szCs w:val="32"/>
          <w:u w:val="none"/>
        </w:rPr>
        <w:t>(独立核算)、兴国县市政公用事业服务中心(独立核算)、兴国县城市管理综合行政执法大队(独立核算)</w:t>
      </w:r>
      <w:r>
        <w:rPr>
          <w:rFonts w:hint="eastAsia" w:ascii="仿宋" w:hAnsi="仿宋" w:eastAsia="仿宋"/>
          <w:color w:val="auto"/>
          <w:sz w:val="32"/>
          <w:szCs w:val="32"/>
          <w:u w:val="none"/>
          <w:lang w:eastAsia="zh-CN"/>
        </w:rPr>
        <w:t>。</w:t>
      </w:r>
    </w:p>
    <w:p w14:paraId="1B0CE9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rPr>
      </w:pPr>
      <w:r>
        <w:rPr>
          <w:rFonts w:hint="eastAsia" w:ascii="仿宋" w:hAnsi="仿宋" w:eastAsia="仿宋"/>
          <w:color w:val="auto"/>
          <w:sz w:val="32"/>
          <w:szCs w:val="32"/>
          <w:u w:val="none"/>
          <w:lang w:val="en-US" w:eastAsia="zh-CN"/>
        </w:rPr>
        <w:t>2025年</w:t>
      </w:r>
      <w:r>
        <w:rPr>
          <w:rFonts w:hint="eastAsia" w:ascii="仿宋" w:hAnsi="仿宋" w:eastAsia="仿宋"/>
          <w:color w:val="auto"/>
          <w:sz w:val="32"/>
          <w:szCs w:val="32"/>
          <w:u w:val="none"/>
          <w:lang w:eastAsia="zh-CN"/>
        </w:rPr>
        <w:t>本部门</w:t>
      </w:r>
      <w:r>
        <w:rPr>
          <w:rFonts w:hint="eastAsia"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123</w:t>
      </w:r>
      <w:r>
        <w:rPr>
          <w:rFonts w:hint="eastAsia" w:ascii="仿宋" w:hAnsi="仿宋" w:eastAsia="仿宋"/>
          <w:color w:val="auto"/>
          <w:sz w:val="32"/>
          <w:szCs w:val="32"/>
          <w:u w:val="none"/>
        </w:rPr>
        <w:t>人,其中：行政编制人数</w:t>
      </w:r>
      <w:r>
        <w:rPr>
          <w:rFonts w:hint="eastAsia" w:ascii="仿宋" w:hAnsi="仿宋" w:eastAsia="仿宋"/>
          <w:color w:val="auto"/>
          <w:sz w:val="32"/>
          <w:szCs w:val="32"/>
          <w:u w:val="none"/>
          <w:lang w:val="en-US" w:eastAsia="zh-CN"/>
        </w:rPr>
        <w:t>10</w:t>
      </w:r>
      <w:r>
        <w:rPr>
          <w:rFonts w:hint="eastAsia" w:ascii="仿宋" w:hAnsi="仿宋" w:eastAsia="仿宋"/>
          <w:color w:val="auto"/>
          <w:sz w:val="32"/>
          <w:szCs w:val="32"/>
          <w:u w:val="none"/>
        </w:rPr>
        <w:t>人,参照公务员管理的事业编制人数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人,全部补助事业编制人数</w:t>
      </w:r>
      <w:r>
        <w:rPr>
          <w:rFonts w:hint="eastAsia" w:ascii="仿宋" w:hAnsi="仿宋" w:eastAsia="仿宋"/>
          <w:color w:val="auto"/>
          <w:sz w:val="32"/>
          <w:szCs w:val="32"/>
          <w:u w:val="none"/>
          <w:lang w:val="en-US" w:eastAsia="zh-CN"/>
        </w:rPr>
        <w:t>104</w:t>
      </w:r>
      <w:r>
        <w:rPr>
          <w:rFonts w:hint="eastAsia" w:ascii="仿宋" w:hAnsi="仿宋" w:eastAsia="仿宋"/>
          <w:color w:val="auto"/>
          <w:sz w:val="32"/>
          <w:szCs w:val="32"/>
          <w:u w:val="none"/>
        </w:rPr>
        <w:t>人,自收自支编制人数</w:t>
      </w:r>
      <w:r>
        <w:rPr>
          <w:rFonts w:hint="eastAsia" w:ascii="仿宋" w:hAnsi="仿宋" w:eastAsia="仿宋"/>
          <w:color w:val="auto"/>
          <w:sz w:val="32"/>
          <w:szCs w:val="32"/>
          <w:u w:val="none"/>
          <w:lang w:val="en-US" w:eastAsia="zh-CN"/>
        </w:rPr>
        <w:t>9</w:t>
      </w:r>
      <w:r>
        <w:rPr>
          <w:rFonts w:hint="eastAsia" w:ascii="仿宋" w:hAnsi="仿宋" w:eastAsia="仿宋"/>
          <w:color w:val="auto"/>
          <w:sz w:val="32"/>
          <w:szCs w:val="32"/>
          <w:u w:val="none"/>
        </w:rPr>
        <w:t>人。实有人数小计</w:t>
      </w:r>
      <w:r>
        <w:rPr>
          <w:rFonts w:hint="eastAsia" w:ascii="仿宋" w:hAnsi="仿宋" w:eastAsia="仿宋"/>
          <w:color w:val="auto"/>
          <w:sz w:val="32"/>
          <w:szCs w:val="32"/>
          <w:u w:val="none"/>
          <w:lang w:val="en-US" w:eastAsia="zh-CN"/>
        </w:rPr>
        <w:t>194</w:t>
      </w:r>
      <w:r>
        <w:rPr>
          <w:rFonts w:hint="eastAsia" w:ascii="仿宋" w:hAnsi="仿宋" w:eastAsia="仿宋"/>
          <w:color w:val="auto"/>
          <w:sz w:val="32"/>
          <w:szCs w:val="32"/>
          <w:u w:val="none"/>
        </w:rPr>
        <w:t>人,其中：在职人数小计</w:t>
      </w:r>
      <w:r>
        <w:rPr>
          <w:rFonts w:hint="eastAsia" w:ascii="仿宋" w:hAnsi="仿宋" w:eastAsia="仿宋"/>
          <w:color w:val="auto"/>
          <w:sz w:val="32"/>
          <w:szCs w:val="32"/>
          <w:u w:val="none"/>
          <w:lang w:val="en-US" w:eastAsia="zh-CN"/>
        </w:rPr>
        <w:t>110</w:t>
      </w:r>
      <w:r>
        <w:rPr>
          <w:rFonts w:hint="eastAsia" w:ascii="仿宋" w:hAnsi="仿宋" w:eastAsia="仿宋"/>
          <w:color w:val="auto"/>
          <w:sz w:val="32"/>
          <w:szCs w:val="32"/>
          <w:u w:val="none"/>
        </w:rPr>
        <w:t>人</w:t>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10</w:t>
      </w:r>
      <w:r>
        <w:rPr>
          <w:rFonts w:hint="eastAsia" w:ascii="楷体" w:hAnsi="楷体" w:eastAsia="楷体" w:cs="楷体"/>
          <w:color w:val="auto"/>
          <w:sz w:val="30"/>
          <w:szCs w:val="30"/>
          <w:u w:val="none"/>
        </w:rPr>
        <w:t>人,参照公务员管理的事业单位在职人数</w:t>
      </w:r>
      <w:r>
        <w:rPr>
          <w:rFonts w:hint="eastAsia" w:ascii="楷体" w:hAnsi="楷体" w:eastAsia="楷体" w:cs="楷体"/>
          <w:color w:val="auto"/>
          <w:sz w:val="30"/>
          <w:szCs w:val="30"/>
          <w:u w:val="none"/>
          <w:lang w:val="en-US" w:eastAsia="zh-CN"/>
        </w:rPr>
        <w:t>1</w:t>
      </w:r>
      <w:r>
        <w:rPr>
          <w:rFonts w:hint="eastAsia" w:ascii="楷体" w:hAnsi="楷体" w:eastAsia="楷体" w:cs="楷体"/>
          <w:color w:val="auto"/>
          <w:sz w:val="30"/>
          <w:szCs w:val="30"/>
          <w:u w:val="none"/>
        </w:rPr>
        <w:t>人,全部补助事业在职人数</w:t>
      </w:r>
      <w:r>
        <w:rPr>
          <w:rFonts w:hint="eastAsia" w:ascii="楷体" w:hAnsi="楷体" w:eastAsia="楷体" w:cs="楷体"/>
          <w:color w:val="auto"/>
          <w:sz w:val="30"/>
          <w:szCs w:val="30"/>
          <w:u w:val="none"/>
          <w:lang w:val="en-US" w:eastAsia="zh-CN"/>
        </w:rPr>
        <w:t>90</w:t>
      </w:r>
      <w:r>
        <w:rPr>
          <w:rFonts w:hint="eastAsia" w:ascii="楷体" w:hAnsi="楷体" w:eastAsia="楷体" w:cs="楷体"/>
          <w:color w:val="auto"/>
          <w:sz w:val="30"/>
          <w:szCs w:val="30"/>
          <w:u w:val="none"/>
        </w:rPr>
        <w:t>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84</w:t>
      </w:r>
      <w:r>
        <w:rPr>
          <w:rFonts w:hint="eastAsia" w:ascii="仿宋" w:hAnsi="仿宋" w:eastAsia="仿宋"/>
          <w:color w:val="auto"/>
          <w:sz w:val="32"/>
          <w:szCs w:val="32"/>
          <w:u w:val="none"/>
        </w:rPr>
        <w:t>人。</w:t>
      </w:r>
    </w:p>
    <w:p w14:paraId="43E25D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p>
    <w:p w14:paraId="5C0A19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二</w:t>
      </w:r>
      <w:r>
        <w:rPr>
          <w:rFonts w:hint="eastAsia" w:ascii="黑体" w:hAnsi="黑体" w:eastAsia="黑体" w:cs="黑体"/>
          <w:b w:val="0"/>
          <w:bCs w:val="0"/>
          <w:color w:val="auto"/>
          <w:sz w:val="32"/>
          <w:szCs w:val="32"/>
          <w:u w:val="none"/>
        </w:rPr>
        <w:t xml:space="preserve">部分 </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rPr>
        <w:t>部门预算情况说明</w:t>
      </w: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部门</w:t>
      </w:r>
      <w:r>
        <w:rPr>
          <w:rFonts w:hint="eastAsia" w:ascii="楷体" w:hAnsi="楷体" w:eastAsia="楷体" w:cs="楷体"/>
          <w:b/>
          <w:bCs/>
          <w:color w:val="auto"/>
          <w:sz w:val="32"/>
          <w:szCs w:val="32"/>
          <w:u w:val="none"/>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14:paraId="69566D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38736.08</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9962.26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34.62%</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增减变化主要原因是：增加了其他城乡社区公共设施支出。</w:t>
      </w:r>
    </w:p>
    <w:p w14:paraId="586FB0AE">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pacing w:val="11"/>
          <w:sz w:val="30"/>
          <w:szCs w:val="30"/>
          <w:u w:val="none"/>
        </w:rPr>
        <w:t>其中：</w:t>
      </w:r>
      <w:r>
        <w:rPr>
          <w:rFonts w:hint="eastAsia" w:ascii="仿宋" w:hAnsi="仿宋" w:eastAsia="仿宋" w:cs="仿宋"/>
          <w:color w:val="auto"/>
          <w:spacing w:val="11"/>
          <w:sz w:val="30"/>
          <w:szCs w:val="30"/>
          <w:u w:val="none"/>
          <w:lang w:eastAsia="zh-CN"/>
        </w:rPr>
        <w:t>一般公共预算</w:t>
      </w:r>
      <w:r>
        <w:rPr>
          <w:rFonts w:hint="eastAsia" w:ascii="仿宋" w:hAnsi="仿宋" w:eastAsia="仿宋" w:cs="仿宋"/>
          <w:color w:val="auto"/>
          <w:spacing w:val="11"/>
          <w:sz w:val="30"/>
          <w:szCs w:val="30"/>
          <w:u w:val="none"/>
        </w:rPr>
        <w:t>收入</w:t>
      </w:r>
      <w:r>
        <w:rPr>
          <w:rFonts w:hint="eastAsia" w:ascii="仿宋" w:hAnsi="仿宋" w:eastAsia="仿宋" w:cs="仿宋"/>
          <w:color w:val="auto"/>
          <w:sz w:val="32"/>
          <w:szCs w:val="32"/>
          <w:u w:val="none"/>
          <w:lang w:val="en-US" w:eastAsia="zh-CN"/>
        </w:rPr>
        <w:t>14831.81</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上年预算安排增加</w:t>
      </w:r>
      <w:r>
        <w:rPr>
          <w:rFonts w:hint="eastAsia" w:ascii="仿宋" w:hAnsi="仿宋" w:eastAsia="仿宋" w:cs="仿宋"/>
          <w:color w:val="auto"/>
          <w:spacing w:val="23"/>
          <w:sz w:val="30"/>
          <w:szCs w:val="30"/>
          <w:u w:val="none"/>
          <w:lang w:val="en-US" w:eastAsia="zh-CN"/>
        </w:rPr>
        <w:t>881.14</w:t>
      </w:r>
      <w:r>
        <w:rPr>
          <w:rFonts w:hint="eastAsia" w:ascii="仿宋" w:hAnsi="仿宋" w:eastAsia="仿宋" w:cs="仿宋"/>
          <w:color w:val="auto"/>
          <w:spacing w:val="23"/>
          <w:sz w:val="30"/>
          <w:szCs w:val="30"/>
          <w:u w:val="none"/>
        </w:rPr>
        <w:t>万元;教育收费资金收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增加（减少）</w:t>
      </w:r>
      <w:r>
        <w:rPr>
          <w:rFonts w:hint="eastAsia" w:ascii="仿宋" w:hAnsi="仿宋" w:eastAsia="仿宋" w:cs="仿宋"/>
          <w:color w:val="auto"/>
          <w:spacing w:val="-89"/>
          <w:sz w:val="30"/>
          <w:szCs w:val="30"/>
          <w:u w:val="none"/>
          <w:lang w:val="en-US" w:eastAsia="zh-CN"/>
        </w:rPr>
        <w:t>0</w:t>
      </w:r>
      <w:r>
        <w:rPr>
          <w:rFonts w:hint="eastAsia" w:ascii="仿宋" w:hAnsi="仿宋" w:eastAsia="仿宋" w:cs="仿宋"/>
          <w:color w:val="auto"/>
          <w:spacing w:val="28"/>
          <w:sz w:val="30"/>
          <w:szCs w:val="30"/>
          <w:u w:val="none"/>
        </w:rPr>
        <w:t>万元;事业收入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7"/>
          <w:sz w:val="30"/>
          <w:szCs w:val="30"/>
          <w:u w:val="none"/>
        </w:rPr>
        <w:t>万元,较上年预算安排增加（减少）</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8"/>
          <w:sz w:val="30"/>
          <w:szCs w:val="30"/>
          <w:u w:val="none"/>
        </w:rPr>
        <w:t>；</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14590</w:t>
      </w:r>
      <w:r>
        <w:rPr>
          <w:rFonts w:hint="eastAsia" w:ascii="仿宋" w:hAnsi="仿宋" w:eastAsia="仿宋" w:cs="仿宋"/>
          <w:color w:val="auto"/>
          <w:spacing w:val="18"/>
          <w:sz w:val="30"/>
          <w:szCs w:val="30"/>
          <w:u w:val="none"/>
        </w:rPr>
        <w:t>万元，较上年预算安排减少</w:t>
      </w:r>
      <w:r>
        <w:rPr>
          <w:rFonts w:hint="eastAsia" w:ascii="仿宋" w:hAnsi="仿宋" w:eastAsia="仿宋" w:cs="仿宋"/>
          <w:color w:val="auto"/>
          <w:sz w:val="32"/>
          <w:szCs w:val="32"/>
          <w:u w:val="none"/>
          <w:lang w:val="en-US" w:eastAsia="zh-CN"/>
        </w:rPr>
        <w:t>233.15</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财政拨款结转（结余）</w:t>
      </w:r>
      <w:r>
        <w:rPr>
          <w:rFonts w:hint="eastAsia" w:ascii="仿宋" w:hAnsi="仿宋" w:eastAsia="仿宋" w:cs="仿宋"/>
          <w:color w:val="auto"/>
          <w:sz w:val="32"/>
          <w:szCs w:val="32"/>
          <w:u w:val="none"/>
          <w:lang w:val="en-US" w:eastAsia="zh-CN"/>
        </w:rPr>
        <w:t>9314.27</w:t>
      </w:r>
      <w:r>
        <w:rPr>
          <w:rFonts w:hint="eastAsia" w:ascii="仿宋" w:hAnsi="仿宋" w:eastAsia="仿宋" w:cs="仿宋"/>
          <w:color w:val="auto"/>
          <w:spacing w:val="8"/>
          <w:sz w:val="30"/>
          <w:szCs w:val="30"/>
          <w:u w:val="none"/>
        </w:rPr>
        <w:t>万元,较上年预算安排增加</w:t>
      </w:r>
      <w:r>
        <w:rPr>
          <w:rFonts w:hint="eastAsia" w:ascii="仿宋" w:hAnsi="仿宋" w:eastAsia="仿宋" w:cs="仿宋"/>
          <w:color w:val="auto"/>
          <w:sz w:val="32"/>
          <w:szCs w:val="32"/>
          <w:u w:val="none"/>
          <w:lang w:val="en-US" w:eastAsia="zh-CN"/>
        </w:rPr>
        <w:t>9314.27</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38736.08</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9962.26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34.62%</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增减变化主要原因是：增加了其他城乡社区公共设施支出。</w:t>
      </w:r>
      <w:r>
        <w:rPr>
          <w:rFonts w:hint="eastAsia" w:ascii="仿宋" w:hAnsi="仿宋" w:eastAsia="仿宋" w:cs="仿宋"/>
          <w:color w:val="auto"/>
          <w:sz w:val="30"/>
          <w:szCs w:val="30"/>
          <w:u w:val="none"/>
        </w:rPr>
        <w:t>具体为：</w:t>
      </w:r>
    </w:p>
    <w:p w14:paraId="2889F5E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val="en-US" w:eastAsia="zh-CN"/>
        </w:rPr>
        <w:t>城乡社区</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24444.93</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上年预算安排减少</w:t>
      </w:r>
      <w:r>
        <w:rPr>
          <w:rFonts w:hint="eastAsia" w:ascii="仿宋" w:hAnsi="仿宋" w:eastAsia="仿宋" w:cs="仿宋"/>
          <w:color w:val="auto"/>
          <w:spacing w:val="5"/>
          <w:sz w:val="30"/>
          <w:szCs w:val="30"/>
          <w:u w:val="none"/>
          <w:lang w:val="en-US" w:eastAsia="zh-CN"/>
        </w:rPr>
        <w:t>3737.21</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val="en-US" w:eastAsia="zh-CN"/>
        </w:rPr>
        <w:t>节能环保支出3748万元，</w:t>
      </w:r>
      <w:r>
        <w:rPr>
          <w:rFonts w:hint="eastAsia" w:ascii="仿宋" w:hAnsi="仿宋" w:eastAsia="仿宋" w:cs="仿宋"/>
          <w:color w:val="auto"/>
          <w:spacing w:val="12"/>
          <w:sz w:val="30"/>
          <w:szCs w:val="30"/>
          <w:u w:val="none"/>
        </w:rPr>
        <w:t>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pacing w:val="5"/>
          <w:sz w:val="30"/>
          <w:szCs w:val="30"/>
          <w:u w:val="none"/>
          <w:lang w:val="en-US" w:eastAsia="zh-CN"/>
        </w:rPr>
        <w:t>增加3748</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val="en-US" w:eastAsia="zh-CN"/>
        </w:rPr>
        <w:t>248.28</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上年预算安排减少</w:t>
      </w:r>
      <w:r>
        <w:rPr>
          <w:rFonts w:hint="eastAsia" w:ascii="仿宋" w:hAnsi="仿宋" w:eastAsia="仿宋" w:cs="仿宋"/>
          <w:color w:val="auto"/>
          <w:spacing w:val="10"/>
          <w:sz w:val="30"/>
          <w:szCs w:val="30"/>
          <w:u w:val="none"/>
          <w:lang w:val="en-US" w:eastAsia="zh-CN"/>
        </w:rPr>
        <w:t>61.34</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63.31</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元,较上年预算安排减少</w:t>
      </w:r>
      <w:r>
        <w:rPr>
          <w:rFonts w:hint="eastAsia" w:ascii="仿宋" w:hAnsi="仿宋" w:eastAsia="仿宋" w:cs="仿宋"/>
          <w:color w:val="auto"/>
          <w:spacing w:val="5"/>
          <w:sz w:val="30"/>
          <w:szCs w:val="30"/>
          <w:u w:val="none"/>
          <w:lang w:val="en-US" w:eastAsia="zh-CN"/>
        </w:rPr>
        <w:t>92.21</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125.29</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元,较上年预算安排减少</w:t>
      </w:r>
      <w:r>
        <w:rPr>
          <w:rFonts w:hint="eastAsia" w:ascii="仿宋" w:hAnsi="仿宋" w:eastAsia="仿宋" w:cs="仿宋"/>
          <w:color w:val="auto"/>
          <w:sz w:val="32"/>
          <w:szCs w:val="32"/>
          <w:u w:val="none"/>
          <w:lang w:val="en-US" w:eastAsia="zh-CN"/>
        </w:rPr>
        <w:t>1.25</w:t>
      </w:r>
      <w:r>
        <w:rPr>
          <w:rFonts w:hint="eastAsia" w:ascii="仿宋" w:hAnsi="仿宋" w:eastAsia="仿宋" w:cs="仿宋"/>
          <w:color w:val="auto"/>
          <w:spacing w:val="17"/>
          <w:sz w:val="30"/>
          <w:szCs w:val="30"/>
          <w:u w:val="none"/>
        </w:rPr>
        <w:t>万元;其他支出</w:t>
      </w:r>
      <w:r>
        <w:rPr>
          <w:rFonts w:hint="eastAsia" w:ascii="仿宋" w:hAnsi="仿宋" w:eastAsia="仿宋" w:cs="仿宋"/>
          <w:color w:val="auto"/>
          <w:sz w:val="32"/>
          <w:szCs w:val="32"/>
          <w:u w:val="none"/>
          <w:lang w:val="en-US" w:eastAsia="zh-CN"/>
        </w:rPr>
        <w:t>10106.27</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z w:val="32"/>
          <w:szCs w:val="32"/>
          <w:u w:val="none"/>
          <w:lang w:val="en-US" w:eastAsia="zh-CN"/>
        </w:rPr>
        <w:t>10106.27</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029832C8">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0"/>
          <w:szCs w:val="30"/>
          <w:u w:val="none"/>
          <w:lang w:val="en-US" w:eastAsia="zh-CN"/>
        </w:rPr>
        <w:t>1931.17</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903.27</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1779.70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85.15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58.38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7.94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36804.91</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10865.53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257.55</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16714.60</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万元，资本性支出（基本建设支出）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30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19802.76</w:t>
      </w:r>
      <w:r>
        <w:rPr>
          <w:rFonts w:hint="eastAsia" w:ascii="仿宋" w:hAnsi="仿宋" w:eastAsia="仿宋" w:cs="仿宋"/>
          <w:color w:val="auto"/>
          <w:sz w:val="30"/>
          <w:szCs w:val="30"/>
          <w:u w:val="none"/>
          <w:lang w:eastAsia="zh-CN"/>
        </w:rPr>
        <w:t>万元。</w:t>
      </w:r>
    </w:p>
    <w:p w14:paraId="1D84EF28">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2"/>
          <w:szCs w:val="32"/>
          <w:u w:val="none"/>
          <w:lang w:val="en-US" w:eastAsia="zh-CN"/>
        </w:rPr>
        <w:t>2037.25</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515.01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16799.75</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13652.57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eastAsia" w:ascii="仿宋" w:hAnsi="仿宋" w:eastAsia="仿宋" w:cs="仿宋"/>
          <w:color w:val="auto"/>
          <w:sz w:val="32"/>
          <w:szCs w:val="32"/>
          <w:u w:val="none"/>
          <w:lang w:val="en-US" w:eastAsia="zh-CN"/>
        </w:rPr>
        <w:t>58.38</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42.07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资本性支出（基本建设支出）</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2"/>
          <w:szCs w:val="32"/>
          <w:u w:val="none"/>
          <w:lang w:val="en-US" w:eastAsia="zh-CN"/>
        </w:rPr>
        <w:t>37.94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6.4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其他相关支出</w:t>
      </w:r>
      <w:r>
        <w:rPr>
          <w:rFonts w:hint="eastAsia" w:ascii="仿宋" w:hAnsi="仿宋" w:eastAsia="仿宋" w:cs="仿宋"/>
          <w:color w:val="auto"/>
          <w:sz w:val="32"/>
          <w:szCs w:val="32"/>
          <w:u w:val="none"/>
          <w:lang w:val="en-US" w:eastAsia="zh-CN"/>
        </w:rPr>
        <w:t>19802.76</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3223.77</w:t>
      </w:r>
      <w:r>
        <w:rPr>
          <w:rFonts w:hint="eastAsia" w:ascii="仿宋" w:hAnsi="仿宋" w:eastAsia="仿宋" w:cs="仿宋"/>
          <w:color w:val="auto"/>
          <w:sz w:val="32"/>
          <w:szCs w:val="32"/>
          <w:u w:val="none"/>
          <w:lang w:eastAsia="zh-CN"/>
        </w:rPr>
        <w:t>万元</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14:paraId="18B8E4AE">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14831.81</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2"/>
          <w:szCs w:val="32"/>
          <w:u w:val="none"/>
          <w:lang w:val="en-US" w:eastAsia="zh-CN"/>
        </w:rPr>
        <w:t>38.29</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881.14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6.32</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增加了城乡社区支出</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0"/>
          <w:szCs w:val="30"/>
          <w:u w:val="none"/>
        </w:rPr>
        <w:t>具体为：</w:t>
      </w:r>
    </w:p>
    <w:p w14:paraId="095DA40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val="en-US" w:eastAsia="zh-CN"/>
        </w:rPr>
        <w:t>城乡社区</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14394.93</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814.12</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248.28</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97.22</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pacing w:val="10"/>
          <w:sz w:val="30"/>
          <w:szCs w:val="30"/>
          <w:u w:val="none"/>
          <w:lang w:val="en-US" w:eastAsia="zh-CN"/>
        </w:rPr>
        <w:t>63.31</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28.95</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125.29</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1.25</w:t>
      </w:r>
      <w:r>
        <w:rPr>
          <w:rFonts w:hint="eastAsia" w:ascii="仿宋" w:hAnsi="仿宋" w:eastAsia="仿宋" w:cs="仿宋"/>
          <w:color w:val="auto"/>
          <w:spacing w:val="17"/>
          <w:sz w:val="30"/>
          <w:szCs w:val="30"/>
          <w:u w:val="none"/>
        </w:rPr>
        <w:t>万元;其他支出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增（减）</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5BD5487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0"/>
          <w:szCs w:val="30"/>
          <w:u w:val="none"/>
          <w:lang w:val="en-US" w:eastAsia="zh-CN"/>
        </w:rPr>
        <w:t>1931.17</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119.88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0"/>
          <w:szCs w:val="30"/>
          <w:u w:val="none"/>
          <w:lang w:val="en-US" w:eastAsia="zh-CN"/>
        </w:rPr>
        <w:t>1779.70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85.15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58.38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7.94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12900.64</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761.26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0"/>
          <w:szCs w:val="30"/>
          <w:u w:val="none"/>
          <w:lang w:val="en-US" w:eastAsia="zh-CN"/>
        </w:rPr>
        <w:t>107.31</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11274.84</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0"/>
          <w:szCs w:val="30"/>
          <w:u w:val="none"/>
          <w:lang w:val="en-US" w:eastAsia="zh-CN"/>
        </w:rPr>
        <w:t>30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0"/>
          <w:szCs w:val="30"/>
          <w:u w:val="none"/>
          <w:lang w:val="en-US" w:eastAsia="zh-CN"/>
        </w:rPr>
        <w:t>1488.49</w:t>
      </w:r>
      <w:r>
        <w:rPr>
          <w:rFonts w:hint="eastAsia" w:ascii="仿宋" w:hAnsi="仿宋" w:eastAsia="仿宋" w:cs="仿宋"/>
          <w:color w:val="auto"/>
          <w:sz w:val="30"/>
          <w:szCs w:val="30"/>
          <w:u w:val="none"/>
          <w:lang w:eastAsia="zh-CN"/>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政府性基金</w:t>
      </w:r>
      <w:r>
        <w:rPr>
          <w:rFonts w:hint="eastAsia" w:ascii="仿宋" w:hAnsi="仿宋" w:eastAsia="仿宋" w:cs="仿宋"/>
          <w:color w:val="auto"/>
          <w:sz w:val="30"/>
          <w:szCs w:val="30"/>
          <w:u w:val="none"/>
          <w:lang w:eastAsia="zh-CN"/>
        </w:rPr>
        <w:t>无使用政府性基金预算拨款安排的支出。</w:t>
      </w:r>
    </w:p>
    <w:p w14:paraId="3C8E255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仿宋" w:hAnsi="仿宋" w:eastAsia="仿宋" w:cs="仿宋"/>
          <w:color w:val="auto"/>
          <w:kern w:val="2"/>
          <w:sz w:val="28"/>
          <w:szCs w:val="28"/>
          <w:u w:val="none"/>
          <w:lang w:val="en-US" w:eastAsia="zh-CN" w:bidi="ar-SA"/>
        </w:rPr>
      </w:pPr>
      <w:r>
        <w:rPr>
          <w:rFonts w:hint="eastAsia"/>
          <w:color w:val="auto"/>
          <w:u w:val="none"/>
          <w:lang w:val="en-US" w:eastAsia="zh-CN"/>
        </w:rPr>
        <w:t xml:space="preserve"> </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机关运行经费等重要事项的说明</w:t>
      </w:r>
    </w:p>
    <w:p w14:paraId="51D5CF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16.17</w:t>
      </w:r>
      <w:r>
        <w:rPr>
          <w:rFonts w:hint="eastAsia" w:ascii="仿宋" w:hAnsi="仿宋" w:eastAsia="仿宋" w:cs="仿宋"/>
          <w:color w:val="auto"/>
          <w:sz w:val="32"/>
          <w:szCs w:val="32"/>
          <w:u w:val="none"/>
        </w:rPr>
        <w:t>万元较上年预算安排减</w:t>
      </w:r>
      <w:r>
        <w:rPr>
          <w:rFonts w:hint="eastAsia" w:ascii="仿宋" w:hAnsi="仿宋" w:eastAsia="仿宋" w:cs="仿宋"/>
          <w:color w:val="auto"/>
          <w:sz w:val="32"/>
          <w:szCs w:val="32"/>
          <w:u w:val="none"/>
          <w:lang w:val="en-US" w:eastAsia="zh-CN"/>
        </w:rPr>
        <w:t>57.06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下降</w:t>
      </w:r>
      <w:r>
        <w:rPr>
          <w:rFonts w:hint="eastAsia" w:ascii="仿宋" w:hAnsi="仿宋" w:eastAsia="仿宋" w:cs="仿宋"/>
          <w:color w:val="auto"/>
          <w:sz w:val="32"/>
          <w:szCs w:val="32"/>
          <w:u w:val="none"/>
          <w:lang w:val="en-US" w:eastAsia="zh-CN"/>
        </w:rPr>
        <w:t>77.92</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w:t>
      </w:r>
      <w:r>
        <w:rPr>
          <w:rFonts w:hint="eastAsia" w:ascii="仿宋" w:hAnsi="仿宋" w:eastAsia="仿宋" w:cs="仿宋"/>
          <w:color w:val="auto"/>
          <w:sz w:val="30"/>
          <w:szCs w:val="30"/>
          <w:u w:val="none"/>
          <w:lang w:eastAsia="zh-CN"/>
        </w:rPr>
        <w:t>城市管理工作量减少</w:t>
      </w:r>
      <w:r>
        <w:rPr>
          <w:rFonts w:hint="eastAsia" w:ascii="楷体" w:hAnsi="楷体" w:eastAsia="楷体" w:cs="楷体"/>
          <w:color w:val="auto"/>
          <w:sz w:val="24"/>
          <w:szCs w:val="24"/>
          <w:u w:val="none"/>
          <w:lang w:eastAsia="zh-CN"/>
        </w:rPr>
        <w:t>。</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175.02</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175.02</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52</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9</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其他用车43辆</w:t>
      </w:r>
      <w:r>
        <w:rPr>
          <w:rFonts w:hint="eastAsia" w:ascii="仿宋" w:hAnsi="仿宋" w:eastAsia="仿宋" w:cs="仿宋"/>
          <w:color w:val="auto"/>
          <w:sz w:val="32"/>
          <w:szCs w:val="32"/>
          <w:u w:val="none"/>
        </w:rPr>
        <w:t>。</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无</w:t>
      </w:r>
      <w:r>
        <w:rPr>
          <w:rFonts w:hint="eastAsia" w:ascii="仿宋" w:hAnsi="仿宋" w:eastAsia="仿宋" w:cs="仿宋"/>
          <w:color w:val="auto"/>
          <w:sz w:val="32"/>
          <w:szCs w:val="32"/>
          <w:u w:val="none"/>
        </w:rPr>
        <w:t>。</w:t>
      </w:r>
    </w:p>
    <w:p w14:paraId="7365948C">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整体</w:t>
      </w:r>
      <w:r>
        <w:rPr>
          <w:rFonts w:hint="eastAsia" w:ascii="仿宋" w:hAnsi="仿宋" w:eastAsia="仿宋" w:cs="仿宋"/>
          <w:b/>
          <w:bCs/>
          <w:color w:val="auto"/>
          <w:sz w:val="32"/>
          <w:szCs w:val="32"/>
          <w:u w:val="none"/>
        </w:rPr>
        <w:t>绩效目标设置情况</w:t>
      </w:r>
    </w:p>
    <w:p w14:paraId="2AE2C81D">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color w:val="auto"/>
          <w:u w:val="none"/>
          <w:lang w:val="en-US" w:eastAsia="zh-CN"/>
        </w:rPr>
      </w:pPr>
      <w:r>
        <w:rPr>
          <w:rFonts w:hint="eastAsia" w:ascii="仿宋" w:hAnsi="仿宋" w:eastAsia="仿宋" w:cs="仿宋"/>
          <w:color w:val="auto"/>
          <w:kern w:val="2"/>
          <w:sz w:val="32"/>
          <w:szCs w:val="32"/>
          <w:u w:val="none"/>
          <w:lang w:val="en-US" w:eastAsia="zh-CN" w:bidi="ar-SA"/>
        </w:rPr>
        <w:t>2025年本部门整体支出和项目支出全面实施绩效目标管理，部门整体支出预算金额</w:t>
      </w:r>
      <w:r>
        <w:rPr>
          <w:rFonts w:hint="eastAsia" w:ascii="仿宋" w:hAnsi="仿宋" w:eastAsia="仿宋" w:cs="仿宋"/>
          <w:color w:val="auto"/>
          <w:u w:val="none"/>
          <w:lang w:val="en-US" w:eastAsia="zh-CN"/>
        </w:rPr>
        <w:t>27490.64</w:t>
      </w:r>
      <w:r>
        <w:rPr>
          <w:rFonts w:hint="eastAsia" w:ascii="仿宋" w:hAnsi="仿宋" w:eastAsia="仿宋" w:cs="仿宋"/>
          <w:color w:val="auto"/>
          <w:kern w:val="2"/>
          <w:sz w:val="32"/>
          <w:szCs w:val="32"/>
          <w:u w:val="none"/>
          <w:lang w:val="en-US" w:eastAsia="zh-CN" w:bidi="ar-SA"/>
        </w:rPr>
        <w:t>万元。根据以前年度绩效评价结果，优化2025年预算安排或优化2025城区清扫保洁政府购买服务项目、2025兴国县污水处理项目等项目支出, 并进一步改进管理、完善政策。</w:t>
      </w:r>
    </w:p>
    <w:p w14:paraId="655F39D3">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color w:val="auto"/>
          <w:u w:val="none"/>
          <w:lang w:val="en-US" w:eastAsia="zh-CN"/>
        </w:rPr>
      </w:pPr>
      <w:r>
        <w:rPr>
          <w:rFonts w:hint="eastAsia" w:ascii="仿宋" w:hAnsi="仿宋" w:eastAsia="仿宋" w:cs="仿宋"/>
          <w:color w:val="auto"/>
          <w:kern w:val="2"/>
          <w:sz w:val="32"/>
          <w:szCs w:val="32"/>
          <w:u w:val="none"/>
          <w:lang w:val="en-US" w:eastAsia="zh-CN" w:bidi="ar-SA"/>
        </w:rPr>
        <w:t>2025年</w:t>
      </w:r>
      <w:r>
        <w:rPr>
          <w:rFonts w:hint="eastAsia" w:ascii="仿宋" w:hAnsi="仿宋" w:eastAsia="仿宋" w:cs="仿宋"/>
          <w:color w:val="auto"/>
          <w:u w:val="none"/>
          <w:lang w:val="en-US" w:eastAsia="zh-CN"/>
        </w:rPr>
        <w:t>部门预算安排项目</w:t>
      </w:r>
      <w:r>
        <w:rPr>
          <w:rFonts w:hint="eastAsia" w:ascii="仿宋" w:hAnsi="仿宋" w:eastAsia="仿宋" w:cs="仿宋"/>
          <w:color w:val="auto"/>
          <w:sz w:val="32"/>
          <w:szCs w:val="32"/>
          <w:u w:val="none"/>
          <w:lang w:val="en-US" w:eastAsia="zh-CN"/>
        </w:rPr>
        <w:t>33</w:t>
      </w:r>
      <w:r>
        <w:rPr>
          <w:rFonts w:hint="eastAsia" w:ascii="仿宋" w:hAnsi="仿宋" w:eastAsia="仿宋" w:cs="仿宋"/>
          <w:color w:val="auto"/>
          <w:u w:val="none"/>
          <w:lang w:val="en-US" w:eastAsia="zh-CN"/>
        </w:rPr>
        <w:t>个，项目预算金额合计     27490.64万元，其中：</w:t>
      </w:r>
      <w:r>
        <w:rPr>
          <w:rFonts w:hint="eastAsia"/>
          <w:color w:val="auto"/>
          <w:u w:val="none"/>
          <w:lang w:val="en-US" w:eastAsia="zh-CN"/>
        </w:rPr>
        <w:t>城管局本级项目6个，项目预算金额20038.04万元；下属单位兴国县城市管理综合行政执法大队项目</w:t>
      </w:r>
      <w:r>
        <w:rPr>
          <w:rFonts w:hint="eastAsia" w:ascii="仿宋" w:hAnsi="仿宋" w:eastAsia="仿宋" w:cs="仿宋"/>
          <w:color w:val="auto"/>
          <w:sz w:val="32"/>
          <w:szCs w:val="32"/>
          <w:u w:val="none"/>
          <w:lang w:val="en-US" w:eastAsia="zh-CN"/>
        </w:rPr>
        <w:t>6</w:t>
      </w:r>
      <w:r>
        <w:rPr>
          <w:rFonts w:hint="eastAsia"/>
          <w:color w:val="auto"/>
          <w:u w:val="none"/>
          <w:lang w:val="en-US" w:eastAsia="zh-CN"/>
        </w:rPr>
        <w:t>个，项目预算金额790万元；下属单位兴国县市政公用事业服务中心项目</w:t>
      </w:r>
      <w:r>
        <w:rPr>
          <w:rFonts w:hint="eastAsia" w:ascii="仿宋" w:hAnsi="仿宋" w:eastAsia="仿宋" w:cs="仿宋"/>
          <w:color w:val="auto"/>
          <w:sz w:val="32"/>
          <w:szCs w:val="32"/>
          <w:u w:val="none"/>
          <w:lang w:val="en-US" w:eastAsia="zh-CN"/>
        </w:rPr>
        <w:t>19</w:t>
      </w:r>
      <w:r>
        <w:rPr>
          <w:rFonts w:hint="eastAsia"/>
          <w:color w:val="auto"/>
          <w:u w:val="none"/>
          <w:lang w:val="en-US" w:eastAsia="zh-CN"/>
        </w:rPr>
        <w:t>个，项目预算金额</w:t>
      </w:r>
      <w:r>
        <w:rPr>
          <w:rFonts w:hint="eastAsia" w:ascii="仿宋" w:hAnsi="仿宋" w:eastAsia="仿宋" w:cs="仿宋"/>
          <w:color w:val="auto"/>
          <w:sz w:val="32"/>
          <w:szCs w:val="32"/>
          <w:u w:val="none"/>
          <w:lang w:val="en-US" w:eastAsia="zh-CN"/>
        </w:rPr>
        <w:t>5519.86</w:t>
      </w:r>
      <w:r>
        <w:rPr>
          <w:rFonts w:hint="eastAsia"/>
          <w:color w:val="auto"/>
          <w:u w:val="none"/>
          <w:lang w:val="en-US" w:eastAsia="zh-CN"/>
        </w:rPr>
        <w:t>万元 。本部门所有项目支出绩效目标表，均由部门所属单位在各自单位预算中分别公开，本说明仅公开部门重点项目支出绩效目标表。</w:t>
      </w:r>
    </w:p>
    <w:p w14:paraId="53BE7EF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eastAsia="zh-CN"/>
        </w:rPr>
        <w:t>重点项目</w:t>
      </w:r>
      <w:r>
        <w:rPr>
          <w:rFonts w:hint="eastAsia" w:ascii="仿宋" w:hAnsi="仿宋" w:eastAsia="仿宋" w:cs="仿宋"/>
          <w:b/>
          <w:bCs/>
          <w:color w:val="auto"/>
          <w:sz w:val="32"/>
          <w:szCs w:val="32"/>
          <w:u w:val="none"/>
        </w:rPr>
        <w:t>绩效目标设置情况</w:t>
      </w:r>
    </w:p>
    <w:p w14:paraId="26D6AB67">
      <w:pPr>
        <w:spacing w:line="560" w:lineRule="exact"/>
        <w:ind w:left="640" w:leftChars="305" w:firstLine="3" w:firstLineChars="1"/>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重点项目：</w:t>
      </w:r>
      <w:r>
        <w:rPr>
          <w:rFonts w:hint="eastAsia" w:ascii="仿宋" w:hAnsi="仿宋" w:eastAsia="仿宋" w:cs="仿宋"/>
          <w:color w:val="auto"/>
          <w:sz w:val="32"/>
          <w:szCs w:val="32"/>
          <w:u w:val="none"/>
          <w:lang w:eastAsia="zh-CN"/>
        </w:rPr>
        <w:t>兴国县城区环卫清扫保洁政府购买服务</w:t>
      </w:r>
      <w:r>
        <w:rPr>
          <w:rFonts w:hint="eastAsia" w:ascii="仿宋" w:hAnsi="仿宋" w:eastAsia="仿宋" w:cs="仿宋"/>
          <w:b w:val="0"/>
          <w:bCs w:val="0"/>
          <w:color w:val="auto"/>
          <w:sz w:val="32"/>
          <w:szCs w:val="32"/>
          <w:u w:val="none"/>
          <w:lang w:val="en-US" w:eastAsia="zh-CN"/>
        </w:rPr>
        <w:t>项目</w:t>
      </w:r>
    </w:p>
    <w:p w14:paraId="6B4F3443">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：对兴国县城区（含经开区）范围内道路、公厕、公园、绿地、河道等进行清扫保洁 、垃圾收集清运等服务。</w:t>
      </w:r>
    </w:p>
    <w:p w14:paraId="2ED8D4A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：核拨。《兴国县城乡环卫市场化政府购买服务项目城区部分运营协议》。</w:t>
      </w:r>
    </w:p>
    <w:p w14:paraId="51016D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实施主体</w:t>
      </w:r>
      <w:r>
        <w:rPr>
          <w:rFonts w:hint="eastAsia" w:ascii="仿宋" w:hAnsi="仿宋" w:eastAsia="仿宋" w:cs="仿宋"/>
          <w:color w:val="auto"/>
          <w:sz w:val="32"/>
          <w:szCs w:val="32"/>
          <w:u w:val="none"/>
          <w:lang w:eastAsia="zh-CN"/>
        </w:rPr>
        <w:t>：兴国县城市管理局</w:t>
      </w:r>
    </w:p>
    <w:p w14:paraId="41BF2A30">
      <w:pPr>
        <w:spacing w:line="560" w:lineRule="exact"/>
        <w:ind w:firstLine="640" w:firstLineChars="200"/>
        <w:rPr>
          <w:rFonts w:hint="eastAsia" w:ascii="仿宋_GB2312" w:hAnsi="仿宋_GB2312" w:eastAsia="仿宋_GB2312" w:cs="仿宋_GB2312"/>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w:t>
      </w:r>
      <w:r>
        <w:rPr>
          <w:rFonts w:hint="eastAsia" w:ascii="仿宋_GB2312" w:hAnsi="仿宋_GB2312" w:eastAsia="仿宋_GB2312" w:cs="仿宋_GB2312"/>
          <w:color w:val="auto"/>
          <w:sz w:val="32"/>
          <w:szCs w:val="32"/>
          <w:u w:val="none"/>
        </w:rPr>
        <w:t>所谓“环卫外包”模式，就是政府采用购买服务的方式，将环卫作业“外包”给专业的保洁公司，形成“政府监督管理、企业运营作业”的环卫保洁模式。不仅打破了传统“政企不分、管干不离”的工作模式，而且大大提升了道路保洁效率和精细化管理水平，为群众营造了一个更加干净、整洁的工作生活环境。</w:t>
      </w:r>
    </w:p>
    <w:p w14:paraId="6890143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1年</w:t>
      </w:r>
    </w:p>
    <w:p w14:paraId="282E01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4885.95</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4885.95</w:t>
      </w:r>
      <w:r>
        <w:rPr>
          <w:rFonts w:hint="eastAsia" w:ascii="仿宋" w:hAnsi="仿宋" w:eastAsia="仿宋" w:cs="仿宋"/>
          <w:color w:val="auto"/>
          <w:sz w:val="32"/>
          <w:szCs w:val="32"/>
          <w:u w:val="none"/>
          <w:lang w:eastAsia="zh-CN"/>
        </w:rPr>
        <w:t>万元。</w:t>
      </w:r>
    </w:p>
    <w:p w14:paraId="2B34B3D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color w:val="auto"/>
          <w:u w:val="none"/>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：对兴国县城区（含经开区）范围内道路面积566万平方米、公厕57座、公园、绿地、河道等进行清扫保洁 、垃圾收集清运等服务。</w:t>
      </w:r>
    </w:p>
    <w:p w14:paraId="748672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2025年</w:t>
      </w:r>
      <w:r>
        <w:rPr>
          <w:rFonts w:hint="eastAsia" w:ascii="楷体" w:hAnsi="楷体" w:eastAsia="楷体" w:cs="楷体"/>
          <w:b/>
          <w:bCs/>
          <w:color w:val="auto"/>
          <w:sz w:val="32"/>
          <w:szCs w:val="32"/>
          <w:u w:val="none"/>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s="仿宋"/>
          <w:color w:val="auto"/>
          <w:sz w:val="32"/>
          <w:szCs w:val="32"/>
          <w:u w:val="none"/>
        </w:rPr>
        <w:t>部门“三公”经费一般公共预算安排</w:t>
      </w:r>
      <w:r>
        <w:rPr>
          <w:rFonts w:hint="eastAsia" w:ascii="仿宋" w:hAnsi="仿宋" w:eastAsia="仿宋" w:cs="仿宋"/>
          <w:color w:val="auto"/>
          <w:sz w:val="32"/>
          <w:szCs w:val="32"/>
          <w:u w:val="none"/>
          <w:lang w:val="en-US" w:eastAsia="zh-CN"/>
        </w:rPr>
        <w:t>3.50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。其中：</w:t>
      </w:r>
    </w:p>
    <w:p w14:paraId="720B19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 无相关业务，不安排相关资金。</w:t>
      </w:r>
    </w:p>
    <w:p w14:paraId="5A9362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3.50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0"/>
          <w:szCs w:val="30"/>
          <w:u w:val="none"/>
          <w:lang w:val="en-US" w:eastAsia="zh-CN"/>
        </w:rPr>
        <w:t>城管公务接待</w:t>
      </w:r>
      <w:r>
        <w:rPr>
          <w:rFonts w:hint="eastAsia" w:ascii="仿宋" w:hAnsi="仿宋" w:eastAsia="仿宋" w:cs="仿宋"/>
          <w:color w:val="auto"/>
          <w:sz w:val="32"/>
          <w:szCs w:val="32"/>
          <w:u w:val="none"/>
        </w:rPr>
        <w:t>。</w:t>
      </w:r>
    </w:p>
    <w:p w14:paraId="6BDC56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主要原因是：无相关业务，不安排相关资金。</w:t>
      </w:r>
    </w:p>
    <w:p w14:paraId="386F3C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，主要原因是：无相关业务，不安排相关资金。</w:t>
      </w:r>
    </w:p>
    <w:p w14:paraId="35EC4D5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三</w:t>
      </w:r>
      <w:r>
        <w:rPr>
          <w:rFonts w:hint="eastAsia" w:ascii="黑体" w:hAnsi="黑体" w:eastAsia="黑体" w:cs="黑体"/>
          <w:b w:val="0"/>
          <w:bCs w:val="0"/>
          <w:color w:val="auto"/>
          <w:sz w:val="32"/>
          <w:szCs w:val="32"/>
          <w:u w:val="none"/>
        </w:rPr>
        <w:t xml:space="preserve">部分 </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lang w:eastAsia="zh-CN"/>
        </w:rPr>
        <w:t>部门</w:t>
      </w:r>
      <w:r>
        <w:rPr>
          <w:rFonts w:hint="eastAsia" w:ascii="黑体" w:hAnsi="黑体" w:eastAsia="黑体" w:cs="黑体"/>
          <w:b w:val="0"/>
          <w:bCs w:val="0"/>
          <w:color w:val="auto"/>
          <w:sz w:val="32"/>
          <w:szCs w:val="32"/>
          <w:u w:val="none"/>
        </w:rPr>
        <w:t>预算表</w:t>
      </w:r>
    </w:p>
    <w:p w14:paraId="0C6DDDE7">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r>
        <w:rPr>
          <w:rFonts w:hint="eastAsia" w:eastAsia="仿宋"/>
          <w:color w:val="auto"/>
          <w:u w:val="none"/>
          <w:lang w:eastAsia="zh-CN"/>
        </w:rPr>
        <w:t>（详见附表）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99"/>
        <w:gridCol w:w="1655"/>
        <w:gridCol w:w="2493"/>
        <w:gridCol w:w="1319"/>
        <w:gridCol w:w="2282"/>
      </w:tblGrid>
      <w:tr w14:paraId="69D32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5000" w:type="pct"/>
            <w:gridSpan w:val="5"/>
            <w:tcBorders>
              <w:top w:val="nil"/>
              <w:left w:val="nil"/>
              <w:bottom w:val="nil"/>
              <w:right w:val="nil"/>
            </w:tcBorders>
            <w:shd w:val="clear" w:color="auto" w:fill="auto"/>
            <w:vAlign w:val="center"/>
          </w:tcPr>
          <w:p w14:paraId="01513AD4">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14:paraId="177DC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000" w:type="pct"/>
            <w:gridSpan w:val="5"/>
            <w:tcBorders>
              <w:top w:val="nil"/>
              <w:left w:val="nil"/>
              <w:bottom w:val="nil"/>
              <w:right w:val="nil"/>
            </w:tcBorders>
            <w:shd w:val="clear" w:color="auto" w:fill="auto"/>
            <w:vAlign w:val="center"/>
          </w:tcPr>
          <w:p w14:paraId="738C7B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（2,025年度）</w:t>
            </w:r>
          </w:p>
        </w:tc>
      </w:tr>
      <w:tr w14:paraId="50E95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5739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4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6F39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2025城区清扫保洁政府购买服务</w:t>
            </w:r>
          </w:p>
        </w:tc>
      </w:tr>
      <w:tr w14:paraId="1E10A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F2D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BFC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395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E1C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兴国县城市管理局</w:t>
            </w:r>
          </w:p>
        </w:tc>
      </w:tr>
      <w:tr w14:paraId="3B15E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9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D59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C22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2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E83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4,885.95</w:t>
            </w:r>
          </w:p>
        </w:tc>
      </w:tr>
      <w:tr w14:paraId="00536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D2FC3">
            <w:pPr>
              <w:jc w:val="center"/>
              <w:rPr>
                <w:rFonts w:hint="eastAsia" w:ascii="宋体" w:hAnsi="宋体" w:eastAsia="宋体" w:cs="宋体"/>
                <w:i w:val="0"/>
                <w:iCs w:val="0"/>
                <w:color w:val="000000"/>
                <w:sz w:val="24"/>
                <w:szCs w:val="24"/>
                <w:u w:val="none"/>
              </w:rPr>
            </w:pP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F05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2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5C3C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1,885.95</w:t>
            </w:r>
          </w:p>
        </w:tc>
      </w:tr>
      <w:tr w14:paraId="1C6DC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33012">
            <w:pPr>
              <w:jc w:val="center"/>
              <w:rPr>
                <w:rFonts w:hint="eastAsia" w:ascii="宋体" w:hAnsi="宋体" w:eastAsia="宋体" w:cs="宋体"/>
                <w:i w:val="0"/>
                <w:iCs w:val="0"/>
                <w:color w:val="000000"/>
                <w:sz w:val="24"/>
                <w:szCs w:val="24"/>
                <w:u w:val="none"/>
              </w:rPr>
            </w:pP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F7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2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9A38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r>
      <w:tr w14:paraId="5FFF9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89D00">
            <w:pPr>
              <w:jc w:val="center"/>
              <w:rPr>
                <w:rFonts w:hint="eastAsia" w:ascii="宋体" w:hAnsi="宋体" w:eastAsia="宋体" w:cs="宋体"/>
                <w:i w:val="0"/>
                <w:iCs w:val="0"/>
                <w:color w:val="000000"/>
                <w:sz w:val="24"/>
                <w:szCs w:val="24"/>
                <w:u w:val="none"/>
              </w:rPr>
            </w:pP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093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2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1DB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3B9CE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0C3B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14:paraId="49CA4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4"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51F69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对兴国县城区（含经开区）范围内道路面积566万平方米、公厕57座、公园、绿地、河道等进行清扫保洁、垃圾收集清运等服务，改善市容市貌，提升城市品味和投资环境， 促进生态文明建设提供有力支撑。</w:t>
            </w:r>
          </w:p>
        </w:tc>
      </w:tr>
      <w:tr w14:paraId="75446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2038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9A89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E5EE0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FC9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14:paraId="22AD2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103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A6A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C4BE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2025年度服务费</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EC5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1B757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4987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589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030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清扫保洁面积</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AA1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≥566万平方米</w:t>
            </w:r>
          </w:p>
        </w:tc>
      </w:tr>
      <w:tr w14:paraId="4695A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5D2FF4">
            <w:pPr>
              <w:jc w:val="center"/>
              <w:rPr>
                <w:rFonts w:hint="eastAsia" w:ascii="宋体" w:hAnsi="宋体" w:eastAsia="宋体" w:cs="宋体"/>
                <w:i w:val="0"/>
                <w:iCs w:val="0"/>
                <w:color w:val="000000"/>
                <w:sz w:val="24"/>
                <w:szCs w:val="24"/>
                <w:u w:val="none"/>
              </w:rPr>
            </w:pP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A56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669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按合同要求</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FE2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达标</w:t>
            </w:r>
          </w:p>
        </w:tc>
      </w:tr>
      <w:tr w14:paraId="2A0DC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57831B">
            <w:pPr>
              <w:jc w:val="center"/>
              <w:rPr>
                <w:rFonts w:hint="eastAsia" w:ascii="宋体" w:hAnsi="宋体" w:eastAsia="宋体" w:cs="宋体"/>
                <w:i w:val="0"/>
                <w:iCs w:val="0"/>
                <w:color w:val="000000"/>
                <w:sz w:val="24"/>
                <w:szCs w:val="24"/>
                <w:u w:val="none"/>
              </w:rPr>
            </w:pP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D39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EBE2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2025年度</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BE2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14:paraId="6D77C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AEA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D63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D94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城区环境卫生市容市貌得到提升</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724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6CFBE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4BF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E12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CD24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EE6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r>
    </w:tbl>
    <w:p w14:paraId="002C3BF9">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bookmarkStart w:id="0" w:name="_GoBack"/>
      <w:bookmarkEnd w:id="0"/>
    </w:p>
    <w:p w14:paraId="55918C52">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auto"/>
          <w:sz w:val="32"/>
          <w:szCs w:val="32"/>
          <w:u w:val="none"/>
        </w:rPr>
      </w:pPr>
    </w:p>
    <w:p w14:paraId="27F27D2A">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auto"/>
          <w:u w:val="none"/>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第四部分</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rPr>
        <w:t>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auto"/>
          <w:sz w:val="32"/>
          <w:szCs w:val="32"/>
          <w:u w:val="none"/>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各部门结合实际进行解释。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（六）上级补助收入：反映事业单位从主管部门和上级单位取得的非财政补助收入。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（七）使用非财政拨款结余：填列历年滚存的非限定用途的非统计财政拨款结余弥补</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（八）上年结转和结余：填列</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对部门或单位预算中涉及的支出功能分类科目（明细到项级），结合部门实际，参照《</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（五）事业单位医疗：反映财政部门集中安排的事业单位基本医疗保险缴费经费。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lang w:eastAsia="zh-CN"/>
        </w:rPr>
      </w:pPr>
      <w:r>
        <w:rPr>
          <w:rFonts w:hint="eastAsia" w:ascii="楷体" w:hAnsi="楷体" w:eastAsia="楷体" w:cs="楷体"/>
          <w:b/>
          <w:bCs/>
          <w:color w:val="auto"/>
          <w:sz w:val="32"/>
          <w:szCs w:val="32"/>
          <w:u w:val="none"/>
          <w:lang w:eastAsia="zh-CN"/>
        </w:rPr>
        <w:t>三</w:t>
      </w:r>
      <w:r>
        <w:rPr>
          <w:rFonts w:hint="eastAsia" w:ascii="楷体" w:hAnsi="楷体" w:eastAsia="楷体" w:cs="楷体"/>
          <w:b/>
          <w:bCs/>
          <w:color w:val="auto"/>
          <w:sz w:val="32"/>
          <w:szCs w:val="32"/>
          <w:u w:val="none"/>
        </w:rPr>
        <w:t>、</w:t>
      </w:r>
      <w:r>
        <w:rPr>
          <w:rFonts w:hint="eastAsia" w:ascii="楷体" w:hAnsi="楷体" w:eastAsia="楷体" w:cs="楷体"/>
          <w:b/>
          <w:bCs/>
          <w:color w:val="auto"/>
          <w:sz w:val="32"/>
          <w:szCs w:val="32"/>
          <w:u w:val="none"/>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各部门结合实际进行解释。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58FD475-97F7-4AC4-997B-EED5DEE3884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47C89C0-5734-493B-8314-81249E0445B9}"/>
  </w:font>
  <w:font w:name="仿宋_GB2312">
    <w:altName w:val="仿宋"/>
    <w:panose1 w:val="02010609030101010101"/>
    <w:charset w:val="86"/>
    <w:family w:val="modern"/>
    <w:pitch w:val="default"/>
    <w:sig w:usb0="00000000" w:usb1="00000000" w:usb2="00000000" w:usb3="00000000" w:csb0="00040000" w:csb1="00000000"/>
    <w:embedRegular r:id="rId3" w:fontKey="{547319B2-1DD5-43BB-8956-A6F6F7DDA416}"/>
  </w:font>
  <w:font w:name="仿宋">
    <w:panose1 w:val="02010609060101010101"/>
    <w:charset w:val="86"/>
    <w:family w:val="auto"/>
    <w:pitch w:val="default"/>
    <w:sig w:usb0="800002BF" w:usb1="38CF7CFA" w:usb2="00000016" w:usb3="00000000" w:csb0="00040001" w:csb1="00000000"/>
    <w:embedRegular r:id="rId4" w:fontKey="{B732DC81-0B3D-430D-B919-27FE991BB35E}"/>
  </w:font>
  <w:font w:name="方正小标宋简体">
    <w:panose1 w:val="02000000000000000000"/>
    <w:charset w:val="86"/>
    <w:family w:val="auto"/>
    <w:pitch w:val="default"/>
    <w:sig w:usb0="00000001" w:usb1="08000000" w:usb2="00000000" w:usb3="00000000" w:csb0="00040000" w:csb1="00000000"/>
    <w:embedRegular r:id="rId5" w:fontKey="{03F796DB-7921-4B4A-8B31-DC06538316DC}"/>
  </w:font>
  <w:font w:name="楷体">
    <w:panose1 w:val="02010609060101010101"/>
    <w:charset w:val="86"/>
    <w:family w:val="auto"/>
    <w:pitch w:val="default"/>
    <w:sig w:usb0="800002BF" w:usb1="38CF7CFA" w:usb2="00000016" w:usb3="00000000" w:csb0="00040001" w:csb1="00000000"/>
    <w:embedRegular r:id="rId6" w:fontKey="{40B40073-5F81-4DA7-9AA4-74682DE375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mMTRjOTQ2OWM4MGJhNTdjZGMyNjg4Yjk5NGEyYjEifQ=="/>
  </w:docVars>
  <w:rsids>
    <w:rsidRoot w:val="445E02C8"/>
    <w:rsid w:val="00004917"/>
    <w:rsid w:val="029C1412"/>
    <w:rsid w:val="04EE7A30"/>
    <w:rsid w:val="05FD6618"/>
    <w:rsid w:val="06A76233"/>
    <w:rsid w:val="06F07F7E"/>
    <w:rsid w:val="08142F09"/>
    <w:rsid w:val="0E2A1FC8"/>
    <w:rsid w:val="0F2B00AD"/>
    <w:rsid w:val="133E2072"/>
    <w:rsid w:val="150775E9"/>
    <w:rsid w:val="19CF11C0"/>
    <w:rsid w:val="1AAB4D2F"/>
    <w:rsid w:val="1AE17EB2"/>
    <w:rsid w:val="1C215462"/>
    <w:rsid w:val="1C2E1720"/>
    <w:rsid w:val="1C33298F"/>
    <w:rsid w:val="1D457A2D"/>
    <w:rsid w:val="1DAC0485"/>
    <w:rsid w:val="1DE32862"/>
    <w:rsid w:val="1E7B061E"/>
    <w:rsid w:val="1EA8395A"/>
    <w:rsid w:val="1F226863"/>
    <w:rsid w:val="1F7074E6"/>
    <w:rsid w:val="208C1E7D"/>
    <w:rsid w:val="21E85FCA"/>
    <w:rsid w:val="22877591"/>
    <w:rsid w:val="22C335E1"/>
    <w:rsid w:val="23B157BC"/>
    <w:rsid w:val="249F7525"/>
    <w:rsid w:val="26AA48C2"/>
    <w:rsid w:val="2C8E5424"/>
    <w:rsid w:val="2C95120B"/>
    <w:rsid w:val="2ED33535"/>
    <w:rsid w:val="2F7C0FE2"/>
    <w:rsid w:val="30EF5591"/>
    <w:rsid w:val="31024210"/>
    <w:rsid w:val="32660E2E"/>
    <w:rsid w:val="326D79FF"/>
    <w:rsid w:val="326F585D"/>
    <w:rsid w:val="32990C1B"/>
    <w:rsid w:val="349D271D"/>
    <w:rsid w:val="352A6ADB"/>
    <w:rsid w:val="35501E8F"/>
    <w:rsid w:val="38AE3672"/>
    <w:rsid w:val="3A4013F4"/>
    <w:rsid w:val="3A992100"/>
    <w:rsid w:val="3B87704A"/>
    <w:rsid w:val="3C215F09"/>
    <w:rsid w:val="3C7324DC"/>
    <w:rsid w:val="3D2B59E9"/>
    <w:rsid w:val="3D9170BE"/>
    <w:rsid w:val="3EA42ED9"/>
    <w:rsid w:val="3F5F2902"/>
    <w:rsid w:val="3FFE2FA6"/>
    <w:rsid w:val="428930EF"/>
    <w:rsid w:val="445E02C8"/>
    <w:rsid w:val="457A48DC"/>
    <w:rsid w:val="46CA0433"/>
    <w:rsid w:val="477C7AE8"/>
    <w:rsid w:val="48476B6B"/>
    <w:rsid w:val="4A2B0FC9"/>
    <w:rsid w:val="4BB772C7"/>
    <w:rsid w:val="4D8B58D8"/>
    <w:rsid w:val="511E441C"/>
    <w:rsid w:val="53EA0E7E"/>
    <w:rsid w:val="54370568"/>
    <w:rsid w:val="56666849"/>
    <w:rsid w:val="571A6378"/>
    <w:rsid w:val="57947A7F"/>
    <w:rsid w:val="598633F7"/>
    <w:rsid w:val="5A296BA4"/>
    <w:rsid w:val="5BA905C4"/>
    <w:rsid w:val="5D476FE1"/>
    <w:rsid w:val="62740BD9"/>
    <w:rsid w:val="64C00BC8"/>
    <w:rsid w:val="65F67F65"/>
    <w:rsid w:val="6C97799E"/>
    <w:rsid w:val="6D017C87"/>
    <w:rsid w:val="6DD32C57"/>
    <w:rsid w:val="6DDD39F3"/>
    <w:rsid w:val="6DDF2DF4"/>
    <w:rsid w:val="6DF75CCF"/>
    <w:rsid w:val="6EB274F6"/>
    <w:rsid w:val="6ECD03A1"/>
    <w:rsid w:val="708A3989"/>
    <w:rsid w:val="71627840"/>
    <w:rsid w:val="71724DA6"/>
    <w:rsid w:val="72484543"/>
    <w:rsid w:val="73467A28"/>
    <w:rsid w:val="738F051A"/>
    <w:rsid w:val="76051E1C"/>
    <w:rsid w:val="761C7166"/>
    <w:rsid w:val="770B16B4"/>
    <w:rsid w:val="772705B7"/>
    <w:rsid w:val="79874FE5"/>
    <w:rsid w:val="7BA17B73"/>
    <w:rsid w:val="7C5E4034"/>
    <w:rsid w:val="7DA50C86"/>
    <w:rsid w:val="7E5F1447"/>
    <w:rsid w:val="7F8F09A8"/>
    <w:rsid w:val="7F907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3924</Words>
  <Characters>4461</Characters>
  <Lines>0</Lines>
  <Paragraphs>0</Paragraphs>
  <TotalTime>0</TotalTime>
  <ScaleCrop>false</ScaleCrop>
  <LinksUpToDate>false</LinksUpToDate>
  <CharactersWithSpaces>4491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红星286</cp:lastModifiedBy>
  <cp:lastPrinted>2025-01-20T02:23:00Z</cp:lastPrinted>
  <dcterms:modified xsi:type="dcterms:W3CDTF">2025-02-11T09:04:45Z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1D01192B0A334B12B4DD414CED77764E_13</vt:lpwstr>
  </property>
  <property fmtid="{D5CDD505-2E9C-101B-9397-08002B2CF9AE}" pid="4" name="KSOTemplateDocerSaveRecord">
    <vt:lpwstr>eyJoZGlkIjoiZmEwYmMyNWE3NzdlYTMzZDBmYzEyNTA3ZjE4OWU5ZjYiLCJ1c2VySWQiOiI5NjEzMjI4NzAifQ==</vt:lpwstr>
  </property>
</Properties>
</file>