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widowControl w:val="0"/>
        <w:wordWrap/>
        <w:adjustRightInd/>
        <w:snapToGrid/>
        <w:spacing w:before="0" w:after="0" w:line="560" w:lineRule="exact"/>
        <w:jc w:val="center"/>
        <w:textAlignment w:val="auto"/>
        <w:rPr>
          <w:rFonts w:hint="eastAsia" w:ascii="宋体" w:hAnsi="宋体" w:eastAsia="方正小标宋简体" w:cs="仿宋_GB2312"/>
          <w:b w:val="0"/>
          <w:bCs w:val="0"/>
          <w:spacing w:val="0"/>
          <w:kern w:val="21"/>
          <w:sz w:val="44"/>
          <w:szCs w:val="44"/>
          <w:lang w:eastAsia="zh-CN"/>
        </w:rPr>
      </w:pPr>
      <w:bookmarkStart w:id="0" w:name="_Toc7944"/>
      <w:bookmarkStart w:id="1" w:name="_Toc12772"/>
      <w:r>
        <w:rPr>
          <w:rFonts w:hint="eastAsia" w:ascii="宋体" w:hAnsi="宋体" w:eastAsia="方正小标宋简体" w:cs="仿宋_GB2312"/>
          <w:b w:val="0"/>
          <w:bCs w:val="0"/>
          <w:spacing w:val="0"/>
          <w:kern w:val="21"/>
          <w:sz w:val="44"/>
          <w:szCs w:val="44"/>
          <w:lang w:eastAsia="zh-CN"/>
        </w:rPr>
        <w:t>农村集体土地征收基层政务公开标准目录</w:t>
      </w:r>
      <w:bookmarkEnd w:id="0"/>
      <w:bookmarkEnd w:id="1"/>
    </w:p>
    <w:tbl>
      <w:tblPr>
        <w:tblStyle w:val="10"/>
        <w:tblW w:w="15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05"/>
        <w:gridCol w:w="420"/>
        <w:gridCol w:w="990"/>
        <w:gridCol w:w="3840"/>
        <w:gridCol w:w="1725"/>
        <w:gridCol w:w="2439"/>
        <w:gridCol w:w="960"/>
        <w:gridCol w:w="1381"/>
        <w:gridCol w:w="555"/>
        <w:gridCol w:w="1260"/>
        <w:gridCol w:w="375"/>
        <w:gridCol w:w="435"/>
        <w:gridCol w:w="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序号</w:t>
            </w:r>
          </w:p>
        </w:tc>
        <w:tc>
          <w:tcPr>
            <w:tcW w:w="14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公开事项</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公开内容</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公开依据</w:t>
            </w:r>
          </w:p>
        </w:tc>
        <w:tc>
          <w:tcPr>
            <w:tcW w:w="243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公开时限</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公开主体</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公开渠道</w:t>
            </w:r>
          </w:p>
        </w:tc>
        <w:tc>
          <w:tcPr>
            <w:tcW w:w="18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公开对象</w:t>
            </w:r>
          </w:p>
        </w:tc>
        <w:tc>
          <w:tcPr>
            <w:tcW w:w="81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公开方式</w:t>
            </w:r>
          </w:p>
        </w:tc>
        <w:tc>
          <w:tcPr>
            <w:tcW w:w="794"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lang w:val="en-US" w:eastAsia="zh-CN"/>
              </w:rPr>
            </w:pPr>
            <w:r>
              <w:rPr>
                <w:rFonts w:hint="eastAsia" w:ascii="宋体" w:hAnsi="宋体" w:eastAsia="黑体" w:cs="仿宋_GB2312"/>
                <w:i w:val="0"/>
                <w:color w:val="000000"/>
                <w:spacing w:val="0"/>
                <w:kern w:val="21"/>
                <w:sz w:val="18"/>
                <w:szCs w:val="18"/>
                <w:u w:val="none"/>
                <w:lang w:val="en-US" w:eastAsia="zh-CN"/>
              </w:rPr>
              <w:t>公开层级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tblHeader/>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4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一级事项</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二级事项</w:t>
            </w: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243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黑体" w:cs="仿宋_GB2312"/>
                <w:i w:val="0"/>
                <w:color w:val="000000"/>
                <w:spacing w:val="0"/>
                <w:kern w:val="21"/>
                <w:sz w:val="18"/>
                <w:szCs w:val="18"/>
                <w:u w:val="none"/>
              </w:rPr>
            </w:pPr>
          </w:p>
        </w:tc>
        <w:tc>
          <w:tcPr>
            <w:tcW w:w="55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全</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社会</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特定群众</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主动</w:t>
            </w:r>
          </w:p>
        </w:tc>
        <w:tc>
          <w:tcPr>
            <w:tcW w:w="4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依</w:t>
            </w:r>
            <w:r>
              <w:rPr>
                <w:rFonts w:hint="eastAsia" w:ascii="宋体" w:hAnsi="宋体" w:eastAsia="黑体" w:cs="仿宋_GB2312"/>
                <w:i w:val="0"/>
                <w:color w:val="000000"/>
                <w:spacing w:val="0"/>
                <w:kern w:val="21"/>
                <w:sz w:val="18"/>
                <w:szCs w:val="18"/>
                <w:u w:val="none"/>
                <w:lang w:val="en-US" w:eastAsia="zh-CN"/>
              </w:rPr>
              <w:br w:type="textWrapping"/>
            </w:r>
            <w:r>
              <w:rPr>
                <w:rFonts w:hint="eastAsia" w:ascii="宋体" w:hAnsi="宋体" w:eastAsia="黑体" w:cs="仿宋_GB2312"/>
                <w:i w:val="0"/>
                <w:color w:val="000000"/>
                <w:spacing w:val="0"/>
                <w:kern w:val="21"/>
                <w:sz w:val="18"/>
                <w:szCs w:val="18"/>
                <w:u w:val="none"/>
                <w:lang w:val="en-US" w:eastAsia="zh-CN"/>
              </w:rPr>
              <w:t>申请</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黑体" w:cs="仿宋_GB2312"/>
                <w:i w:val="0"/>
                <w:color w:val="000000"/>
                <w:spacing w:val="0"/>
                <w:kern w:val="21"/>
                <w:sz w:val="18"/>
                <w:szCs w:val="18"/>
                <w:u w:val="none"/>
              </w:rPr>
            </w:pPr>
            <w:r>
              <w:rPr>
                <w:rFonts w:hint="eastAsia" w:ascii="宋体" w:hAnsi="宋体" w:eastAsia="黑体" w:cs="仿宋_GB2312"/>
                <w:i w:val="0"/>
                <w:color w:val="000000"/>
                <w:spacing w:val="0"/>
                <w:kern w:val="21"/>
                <w:sz w:val="18"/>
                <w:szCs w:val="18"/>
                <w:u w:val="none"/>
                <w:lang w:val="en-US" w:eastAsia="zh-CN"/>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1</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征地前期准备</w:t>
            </w: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拟征收土地告知</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在拟征收土地前，应明确征收土地有关事项并予以公开。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1.拟征收土地用途；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2.拟征收土地的位置和范围（包括土地现状调查）；</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3.征地补偿标准及安置途径；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4.开展土地现状调查的安排；</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5.拟征收土地的原用途管控（包括不得抢栽、抢种、抢建等有关规定）</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6.听证权利；</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[✱对土地现状调查结果有异议的救济措施]</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《中华人民共和国土地管理法》《国务院关于深化改革严格土地管理的决定》（国发【2004】28号）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在实地启动拟征收土地工作时，在村公示栏公开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■社区/企事业单位/村公示栏</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lang w:val="en-US" w:eastAsia="zh-CN"/>
              </w:rPr>
            </w:pPr>
            <w:r>
              <w:rPr>
                <w:rFonts w:hint="eastAsia" w:ascii="宋体" w:hAnsi="宋体" w:eastAsia="仿宋_GB2312" w:cs="仿宋_GB2312"/>
                <w:i w:val="0"/>
                <w:color w:val="000000"/>
                <w:spacing w:val="0"/>
                <w:kern w:val="21"/>
                <w:sz w:val="18"/>
                <w:szCs w:val="18"/>
                <w:u w:val="none"/>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left"/>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收到征地批准文件之日起10个工作日，在政府网站、征地信息公开台平公开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5"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拟征地听证</w:t>
            </w:r>
          </w:p>
        </w:tc>
        <w:tc>
          <w:tcPr>
            <w:tcW w:w="38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征地前期工作中依申请开展听证工作的，听证结果予以公开，按拟征收土地告知确定的时间制作《听证通知书》，按《听证通知书》规定的时间组织听证；实施听证的，公开听证相关材料。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1.《听证确知书》；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[✱听证笔录有关资料]</w:t>
            </w:r>
          </w:p>
        </w:tc>
        <w:tc>
          <w:tcPr>
            <w:tcW w:w="17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7"/>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■社区/企事业单位/村公示栏</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38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7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收到征地批准文件之日起10个工作日内，在政府网站、征地信息公开平台公开</w:t>
            </w:r>
          </w:p>
        </w:tc>
        <w:tc>
          <w:tcPr>
            <w:tcW w:w="9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38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cs="仿宋_GB2312"/>
                <w:i w:val="0"/>
                <w:color w:val="000000"/>
                <w:spacing w:val="0"/>
                <w:kern w:val="21"/>
                <w:sz w:val="18"/>
                <w:szCs w:val="18"/>
                <w:u w:val="none"/>
                <w:lang w:val="en-US" w:eastAsia="zh-CN"/>
              </w:rPr>
              <w:t>2</w:t>
            </w:r>
          </w:p>
        </w:tc>
        <w:tc>
          <w:tcPr>
            <w:tcW w:w="4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征地组织实施</w:t>
            </w: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征收土地公告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县人民政府拟定征收土地公告并予以公开。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1.征地批准机关、批准文号、批准时间和批准用途；</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2.被征收土地的所有权人、位置、地类、面积；</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3.征地补偿标准、安置政策等；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4.办理征地补偿登记的期限、地点和要求；</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5.救济途径。</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收到征地批准文件之日起10个工作日内，政府网站、征地信息公开平台。村公示栏公开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政府网站</w:t>
            </w:r>
          </w:p>
          <w:p>
            <w:pPr>
              <w:widowControl w:val="0"/>
              <w:wordWrap/>
              <w:adjustRightInd/>
              <w:snapToGrid/>
              <w:spacing w:line="240" w:lineRule="exact"/>
              <w:jc w:val="both"/>
              <w:textAlignment w:val="center"/>
              <w:rPr>
                <w:rStyle w:val="28"/>
                <w:rFonts w:hint="eastAsia" w:ascii="宋体" w:hAnsi="宋体" w:eastAsia="仿宋_GB2312" w:cs="仿宋_GB2312"/>
                <w:spacing w:val="0"/>
                <w:kern w:val="21"/>
                <w:sz w:val="18"/>
                <w:szCs w:val="18"/>
                <w:lang w:val="en-US" w:eastAsia="zh-CN"/>
              </w:rPr>
            </w:pPr>
            <w:r>
              <w:rPr>
                <w:rStyle w:val="27"/>
                <w:rFonts w:hint="eastAsia" w:ascii="宋体" w:hAnsi="宋体" w:eastAsia="仿宋_GB2312" w:cs="仿宋_GB2312"/>
                <w:spacing w:val="0"/>
                <w:kern w:val="21"/>
                <w:sz w:val="18"/>
                <w:szCs w:val="18"/>
                <w:lang w:val="en-US" w:eastAsia="zh-CN"/>
              </w:rPr>
              <w:t>▲</w:t>
            </w:r>
            <w:r>
              <w:rPr>
                <w:rStyle w:val="28"/>
                <w:rFonts w:hint="eastAsia" w:ascii="宋体" w:hAnsi="宋体" w:eastAsia="仿宋_GB2312" w:cs="仿宋_GB2312"/>
                <w:spacing w:val="0"/>
                <w:kern w:val="21"/>
                <w:sz w:val="18"/>
                <w:szCs w:val="18"/>
                <w:lang w:val="en-US" w:eastAsia="zh-CN"/>
              </w:rPr>
              <w:t>征地信息公开平台</w:t>
            </w:r>
          </w:p>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征地补偿安置方案公告</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县自然资源局会同有关部门拟定《征地补偿安置方案》并予以公开。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1.被征收土地的位置、地类、面积、地上附着物和青苗的种类、数量，需要安置的农业人中和数量；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2.土地补偿费和安置补助费的标准、数额、支付对象和支付方式；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3.地上附着物和青苗的补偿标准与支付方式；</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4.征地安置政策</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5.工作职责、法律责任等</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6.听证等救济途径。</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[✱征地补偿安置方案前置的，在前置环节一并公开]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《中华人民共和国土地管理法》《国土资源部办公厅关于进一步做好市县征地信息公开工作有关问题的通知》（国土资厅发【2014】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拟定《征地补偿安置方案》后5个工作日内，在村公示栏内公开，</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公示结束后转为依申请公开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宋体"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征地补偿安置方案听证</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依申请开展听证工作的，听证结果公开。按征地补偿安置方案公告确定的时间制作《听证通知书》；按《听证通知书》规定的时间组织听证；实施听证的，公开听证相关材料。</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1.《听证通知书》；</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2.听证处理意见；</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《国土资源听证规定》《国土资源部办公厅关于进一步做好市县征地信息公开工作有关问题的通知》（国土资厅发【2014】</w:t>
            </w:r>
            <w:r>
              <w:rPr>
                <w:rStyle w:val="29"/>
                <w:rFonts w:hint="eastAsia" w:ascii="宋体" w:hAnsi="宋体" w:eastAsia="仿宋_GB2312" w:cs="仿宋_GB2312"/>
                <w:spacing w:val="0"/>
                <w:kern w:val="21"/>
                <w:sz w:val="18"/>
                <w:szCs w:val="18"/>
                <w:lang w:val="en-US" w:eastAsia="zh-CN"/>
              </w:rPr>
              <w:t>29</w:t>
            </w:r>
            <w:r>
              <w:rPr>
                <w:rStyle w:val="28"/>
                <w:rFonts w:hint="eastAsia" w:ascii="宋体" w:hAnsi="宋体" w:eastAsia="仿宋_GB2312" w:cs="仿宋_GB2312"/>
                <w:spacing w:val="0"/>
                <w:kern w:val="21"/>
                <w:sz w:val="18"/>
                <w:szCs w:val="18"/>
                <w:lang w:val="en-US" w:eastAsia="zh-CN"/>
              </w:rPr>
              <w:t>号）</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《听证通知书》应在组织听证7个工作日前予以公开；其他听证公开内容在拟征地听证工作结果后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征地补偿登记汇总表。</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[✱征地补偿登记前置与征收土地现状调查合并进行的，一并公开]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《中华人民共和国土地管理法》《中华人民共和国政府信息公开条例》</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征地补偿登记结结束后5个工作日内，在村公法栏予以公开。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7" w:hRule="atLeast"/>
          <w:jc w:val="center"/>
        </w:trPr>
        <w:tc>
          <w:tcPr>
            <w:tcW w:w="4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4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rPr>
                <w:rFonts w:hint="eastAsia" w:ascii="宋体" w:hAnsi="宋体" w:eastAsia="仿宋_GB2312" w:cs="仿宋_GB2312"/>
                <w:i w:val="0"/>
                <w:color w:val="000000"/>
                <w:spacing w:val="0"/>
                <w:kern w:val="21"/>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征地补偿费用支付</w:t>
            </w:r>
          </w:p>
        </w:tc>
        <w:tc>
          <w:tcPr>
            <w:tcW w:w="3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征地补偿费用收支情况。</w:t>
            </w:r>
            <w:r>
              <w:rPr>
                <w:rFonts w:hint="eastAsia" w:ascii="宋体" w:hAnsi="宋体" w:eastAsia="仿宋_GB2312" w:cs="仿宋_GB2312"/>
                <w:i w:val="0"/>
                <w:color w:val="000000"/>
                <w:spacing w:val="0"/>
                <w:kern w:val="21"/>
                <w:sz w:val="18"/>
                <w:szCs w:val="18"/>
                <w:u w:val="none"/>
                <w:lang w:val="en-US" w:eastAsia="zh-CN"/>
              </w:rPr>
              <w:br w:type="textWrapping"/>
            </w:r>
            <w:r>
              <w:rPr>
                <w:rFonts w:hint="eastAsia" w:ascii="宋体" w:hAnsi="宋体" w:eastAsia="仿宋_GB2312" w:cs="仿宋_GB2312"/>
                <w:i w:val="0"/>
                <w:color w:val="000000"/>
                <w:spacing w:val="0"/>
                <w:kern w:val="21"/>
                <w:sz w:val="18"/>
                <w:szCs w:val="18"/>
                <w:u w:val="none"/>
                <w:lang w:val="en-US" w:eastAsia="zh-CN"/>
              </w:rPr>
              <w:t>[✱在被征地村公告栏张贴、予以公开，张贴之日起20个工作日后可依申请公开]</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《中华人民共和国政府信息公开条例》《征收土地公告办法》</w:t>
            </w:r>
          </w:p>
        </w:tc>
        <w:tc>
          <w:tcPr>
            <w:tcW w:w="24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获得支付凭证后</w:t>
            </w:r>
            <w:r>
              <w:rPr>
                <w:rStyle w:val="29"/>
                <w:rFonts w:hint="eastAsia" w:ascii="宋体" w:hAnsi="宋体" w:eastAsia="仿宋_GB2312" w:cs="仿宋_GB2312"/>
                <w:spacing w:val="0"/>
                <w:kern w:val="21"/>
                <w:sz w:val="18"/>
                <w:szCs w:val="18"/>
                <w:lang w:val="en-US" w:eastAsia="zh-CN"/>
              </w:rPr>
              <w:t>5</w:t>
            </w:r>
            <w:r>
              <w:rPr>
                <w:rStyle w:val="28"/>
                <w:rFonts w:hint="eastAsia" w:ascii="宋体" w:hAnsi="宋体" w:eastAsia="仿宋_GB2312" w:cs="仿宋_GB2312"/>
                <w:spacing w:val="0"/>
                <w:kern w:val="21"/>
                <w:sz w:val="18"/>
                <w:szCs w:val="18"/>
                <w:lang w:val="en-US" w:eastAsia="zh-CN"/>
              </w:rPr>
              <w:t>个工作日内，在村公示栏予以公开。</w:t>
            </w:r>
          </w:p>
        </w:tc>
        <w:tc>
          <w:tcPr>
            <w:tcW w:w="9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Fonts w:hint="eastAsia" w:ascii="宋体" w:hAnsi="宋体" w:eastAsia="仿宋_GB2312" w:cs="仿宋_GB2312"/>
                <w:i w:val="0"/>
                <w:color w:val="000000"/>
                <w:spacing w:val="0"/>
                <w:kern w:val="21"/>
                <w:sz w:val="18"/>
                <w:szCs w:val="18"/>
                <w:u w:val="none"/>
                <w:lang w:val="en-US" w:eastAsia="zh-CN"/>
              </w:rPr>
              <w:t>县自然资源局、各乡镇人民政府</w:t>
            </w:r>
          </w:p>
        </w:tc>
        <w:tc>
          <w:tcPr>
            <w:tcW w:w="1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7"/>
                <w:rFonts w:hint="eastAsia" w:ascii="宋体" w:hAnsi="宋体" w:eastAsia="仿宋_GB2312" w:cs="仿宋_GB2312"/>
                <w:spacing w:val="0"/>
                <w:kern w:val="21"/>
                <w:sz w:val="18"/>
                <w:szCs w:val="18"/>
                <w:lang w:val="en-US" w:eastAsia="zh-CN"/>
              </w:rPr>
              <w:t>■社区/企事业单位/村公示栏</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rPr>
                <w:rFonts w:hint="eastAsia" w:ascii="宋体" w:hAnsi="宋体" w:eastAsia="仿宋_GB2312" w:cs="仿宋_GB2312"/>
                <w:i w:val="0"/>
                <w:color w:val="000000"/>
                <w:spacing w:val="0"/>
                <w:kern w:val="21"/>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both"/>
              <w:textAlignment w:val="center"/>
              <w:rPr>
                <w:rFonts w:hint="eastAsia" w:ascii="宋体" w:hAnsi="宋体" w:eastAsia="仿宋_GB2312" w:cs="仿宋_GB2312"/>
                <w:i w:val="0"/>
                <w:color w:val="000000"/>
                <w:spacing w:val="0"/>
                <w:kern w:val="21"/>
                <w:sz w:val="18"/>
                <w:szCs w:val="18"/>
                <w:u w:val="none"/>
              </w:rPr>
            </w:pPr>
            <w:r>
              <w:rPr>
                <w:rStyle w:val="28"/>
                <w:rFonts w:hint="eastAsia" w:ascii="宋体" w:hAnsi="宋体" w:eastAsia="仿宋_GB2312" w:cs="仿宋_GB2312"/>
                <w:spacing w:val="0"/>
                <w:kern w:val="21"/>
                <w:sz w:val="18"/>
                <w:szCs w:val="18"/>
                <w:lang w:val="en-US" w:eastAsia="zh-CN"/>
              </w:rPr>
              <w:t>面向拟征收土地所在的村集体成员</w:t>
            </w:r>
          </w:p>
        </w:tc>
        <w:tc>
          <w:tcPr>
            <w:tcW w:w="3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wordWrap/>
              <w:adjustRightInd/>
              <w:snapToGrid/>
              <w:spacing w:line="240" w:lineRule="exact"/>
              <w:jc w:val="center"/>
              <w:textAlignment w:val="center"/>
              <w:rPr>
                <w:rFonts w:hint="eastAsia" w:ascii="宋体" w:hAnsi="宋体" w:eastAsia="宋体" w:cs="仿宋_GB2312"/>
                <w:i w:val="0"/>
                <w:color w:val="000000"/>
                <w:spacing w:val="0"/>
                <w:kern w:val="21"/>
                <w:sz w:val="18"/>
                <w:szCs w:val="18"/>
                <w:u w:val="none"/>
              </w:rPr>
            </w:pPr>
            <w:r>
              <w:rPr>
                <w:rFonts w:hint="eastAsia" w:ascii="宋体" w:hAnsi="宋体" w:eastAsia="宋体" w:cs="仿宋_GB2312"/>
                <w:i w:val="0"/>
                <w:color w:val="000000"/>
                <w:spacing w:val="0"/>
                <w:kern w:val="21"/>
                <w:sz w:val="18"/>
                <w:szCs w:val="18"/>
                <w:u w:val="none"/>
                <w:lang w:val="en-US" w:eastAsia="zh-CN"/>
              </w:rPr>
              <w:t>√</w:t>
            </w:r>
          </w:p>
        </w:tc>
      </w:tr>
    </w:tbl>
    <w:p>
      <w:pPr>
        <w:widowControl w:val="0"/>
        <w:wordWrap/>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注：1.公开内容中标注为“✱”标记的，为可选项，可根据实际情况确定。</w:t>
      </w:r>
      <w:bookmarkStart w:id="2" w:name="_GoBack"/>
      <w:bookmarkEnd w:id="2"/>
    </w:p>
    <w:p>
      <w:pPr>
        <w:widowControl w:val="0"/>
        <w:wordWrap/>
        <w:adjustRightInd/>
        <w:snapToGrid/>
        <w:spacing w:line="240" w:lineRule="exact"/>
        <w:ind w:firstLine="420" w:firstLineChars="200"/>
        <w:jc w:val="both"/>
        <w:textAlignment w:val="auto"/>
        <w:rPr>
          <w:rFonts w:hint="eastAsia" w:ascii="宋体" w:hAnsi="宋体" w:cs="仿宋_GB2312"/>
          <w:spacing w:val="0"/>
          <w:kern w:val="21"/>
          <w:sz w:val="32"/>
          <w:szCs w:val="32"/>
        </w:rPr>
      </w:pPr>
      <w:r>
        <w:rPr>
          <w:rFonts w:hint="eastAsia" w:ascii="宋体" w:hAnsi="宋体" w:eastAsia="仿宋_GB2312" w:cs="仿宋_GB2312"/>
          <w:spacing w:val="0"/>
          <w:kern w:val="21"/>
          <w:sz w:val="21"/>
          <w:szCs w:val="21"/>
        </w:rPr>
        <w:t>2.公开渠道中标注为“■”标记的，为征地实施中的公开渠道；标注为“▲”标记的，为征地批准后的公开渠道。</w:t>
      </w:r>
    </w:p>
    <w:sectPr>
      <w:headerReference r:id="rId3" w:type="default"/>
      <w:footerReference r:id="rId4" w:type="default"/>
      <w:pgSz w:w="16838" w:h="11906" w:orient="landscape"/>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18"/>
        <w:lang w:val="en-US" w:eastAsia="zh-CN" w:bidi="ar-SA"/>
      </w:rPr>
      <w:pict>
        <v:shape id="_x0000_s2049" o:spid="_x0000_s2049"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mI5YTM1YmI5ZjA1ZTMwYmYwYjkzOGU4Njk5YTBjMmEifQ=="/>
  </w:docVars>
  <w:rsids>
    <w:rsidRoot w:val="00000000"/>
    <w:rsid w:val="025F12A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keepNext/>
      <w:keepLines/>
      <w:spacing w:before="340" w:after="330" w:line="576" w:lineRule="auto"/>
      <w:outlineLvl w:val="0"/>
    </w:pPr>
    <w:rPr>
      <w:rFonts w:cs="宋体"/>
      <w:b/>
      <w:bCs/>
      <w:kern w:val="44"/>
      <w:sz w:val="44"/>
      <w:szCs w:val="44"/>
    </w:rPr>
  </w:style>
  <w:style w:type="character" w:default="1" w:styleId="11">
    <w:name w:val="Default Paragraph Font"/>
    <w:semiHidden/>
    <w:unhideWhenUsed/>
    <w:qFormat/>
    <w:uiPriority w:val="1"/>
  </w:style>
  <w:style w:type="table" w:default="1" w:styleId="10">
    <w:name w:val="Normal Table"/>
    <w:autoRedefine/>
    <w:semiHidden/>
    <w:unhideWhenUsed/>
    <w:uiPriority w:val="99"/>
    <w:tblPr>
      <w:tblCellMar>
        <w:top w:w="0" w:type="dxa"/>
        <w:left w:w="108" w:type="dxa"/>
        <w:bottom w:w="0" w:type="dxa"/>
        <w:right w:w="108" w:type="dxa"/>
      </w:tblCellMar>
    </w:tblPr>
  </w:style>
  <w:style w:type="paragraph" w:customStyle="1" w:styleId="2">
    <w:name w:val="Body Text Indent1"/>
    <w:basedOn w:val="1"/>
    <w:autoRedefine/>
    <w:qFormat/>
    <w:uiPriority w:val="0"/>
    <w:pPr>
      <w:ind w:left="420" w:leftChars="200"/>
    </w:pPr>
  </w:style>
  <w:style w:type="paragraph" w:styleId="4">
    <w:name w:val="annotation text"/>
    <w:basedOn w:val="1"/>
    <w:link w:val="20"/>
    <w:semiHidden/>
    <w:unhideWhenUsed/>
    <w:qFormat/>
    <w:uiPriority w:val="0"/>
    <w:pPr>
      <w:jc w:val="left"/>
    </w:pPr>
  </w:style>
  <w:style w:type="paragraph" w:styleId="5">
    <w:name w:val="Balloon Text"/>
    <w:basedOn w:val="1"/>
    <w:link w:val="24"/>
    <w:semiHidden/>
    <w:unhideWhenUsed/>
    <w:qFormat/>
    <w:uiPriority w:val="0"/>
    <w:rPr>
      <w:sz w:val="18"/>
      <w:szCs w:val="18"/>
    </w:rPr>
  </w:style>
  <w:style w:type="paragraph" w:styleId="6">
    <w:name w:val="footer"/>
    <w:basedOn w:val="1"/>
    <w:link w:val="22"/>
    <w:autoRedefine/>
    <w:semiHidden/>
    <w:unhideWhenUsed/>
    <w:qFormat/>
    <w:uiPriority w:val="0"/>
    <w:pPr>
      <w:tabs>
        <w:tab w:val="center" w:pos="4153"/>
        <w:tab w:val="right" w:pos="8306"/>
      </w:tabs>
      <w:snapToGrid w:val="0"/>
      <w:jc w:val="left"/>
    </w:pPr>
    <w:rPr>
      <w:sz w:val="18"/>
      <w:szCs w:val="18"/>
    </w:rPr>
  </w:style>
  <w:style w:type="paragraph" w:styleId="7">
    <w:name w:val="header"/>
    <w:basedOn w:val="1"/>
    <w:link w:val="21"/>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3"/>
    <w:semiHidden/>
    <w:unhideWhenUsed/>
    <w:qFormat/>
    <w:uiPriority w:val="0"/>
    <w:rPr>
      <w:b/>
      <w:bCs/>
    </w:rPr>
  </w:style>
  <w:style w:type="character" w:styleId="12">
    <w:name w:val="page number"/>
    <w:basedOn w:val="11"/>
    <w:autoRedefine/>
    <w:qFormat/>
    <w:uiPriority w:val="0"/>
  </w:style>
  <w:style w:type="character" w:styleId="13">
    <w:name w:val="FollowedHyperlink"/>
    <w:basedOn w:val="11"/>
    <w:autoRedefine/>
    <w:semiHidden/>
    <w:unhideWhenUsed/>
    <w:qFormat/>
    <w:uiPriority w:val="99"/>
    <w:rPr>
      <w:color w:val="800080"/>
      <w:u w:val="single"/>
    </w:rPr>
  </w:style>
  <w:style w:type="character" w:styleId="14">
    <w:name w:val="Hyperlink"/>
    <w:basedOn w:val="11"/>
    <w:autoRedefine/>
    <w:semiHidden/>
    <w:unhideWhenUsed/>
    <w:qFormat/>
    <w:uiPriority w:val="0"/>
    <w:rPr>
      <w:color w:val="0000FF"/>
      <w:u w:val="single"/>
    </w:rPr>
  </w:style>
  <w:style w:type="character" w:styleId="15">
    <w:name w:val="annotation reference"/>
    <w:basedOn w:val="11"/>
    <w:autoRedefine/>
    <w:semiHidden/>
    <w:unhideWhenUsed/>
    <w:qFormat/>
    <w:uiPriority w:val="0"/>
    <w:rPr>
      <w:sz w:val="21"/>
      <w:szCs w:val="21"/>
    </w:rPr>
  </w:style>
  <w:style w:type="paragraph" w:customStyle="1" w:styleId="16">
    <w:name w:val="List Paragraph"/>
    <w:basedOn w:val="1"/>
    <w:autoRedefine/>
    <w:qFormat/>
    <w:uiPriority w:val="0"/>
    <w:pPr>
      <w:ind w:firstLine="420" w:firstLineChars="200"/>
    </w:pPr>
    <w:rPr>
      <w:rFonts w:ascii="等线" w:hAnsi="等线" w:eastAsia="等线"/>
    </w:rPr>
  </w:style>
  <w:style w:type="paragraph" w:customStyle="1" w:styleId="17">
    <w:name w:val="列出段落1"/>
    <w:basedOn w:val="1"/>
    <w:autoRedefine/>
    <w:qFormat/>
    <w:uiPriority w:val="0"/>
    <w:pPr>
      <w:ind w:firstLine="420" w:firstLineChars="200"/>
    </w:pPr>
  </w:style>
  <w:style w:type="paragraph" w:customStyle="1" w:styleId="18">
    <w:name w:val="WPSOffice手动目录 1"/>
    <w:autoRedefine/>
    <w:qFormat/>
    <w:uiPriority w:val="0"/>
    <w:pPr>
      <w:ind w:leftChars="0"/>
    </w:pPr>
    <w:rPr>
      <w:rFonts w:ascii="Times New Roman" w:hAnsi="Times New Roman" w:eastAsia="宋体" w:cs="Times New Roman"/>
      <w:sz w:val="20"/>
      <w:szCs w:val="20"/>
      <w:lang w:val="en-US" w:eastAsia="zh-CN" w:bidi="ar-SA"/>
    </w:rPr>
  </w:style>
  <w:style w:type="character" w:customStyle="1" w:styleId="19">
    <w:name w:val="标题 1 Char Char"/>
    <w:basedOn w:val="11"/>
    <w:link w:val="3"/>
    <w:autoRedefine/>
    <w:qFormat/>
    <w:uiPriority w:val="0"/>
    <w:rPr>
      <w:rFonts w:ascii="Calibri" w:hAnsi="Calibri" w:eastAsia="宋体" w:cs="宋体"/>
      <w:b/>
      <w:bCs/>
      <w:kern w:val="44"/>
      <w:sz w:val="44"/>
      <w:szCs w:val="44"/>
    </w:rPr>
  </w:style>
  <w:style w:type="character" w:customStyle="1" w:styleId="20">
    <w:name w:val="批注文字 Char Char"/>
    <w:basedOn w:val="11"/>
    <w:link w:val="4"/>
    <w:autoRedefine/>
    <w:qFormat/>
    <w:uiPriority w:val="0"/>
    <w:rPr>
      <w:rFonts w:ascii="Calibri" w:hAnsi="Calibri" w:eastAsia="宋体" w:cs="Times New Roman"/>
    </w:rPr>
  </w:style>
  <w:style w:type="character" w:customStyle="1" w:styleId="21">
    <w:name w:val="页眉 Char Char"/>
    <w:basedOn w:val="11"/>
    <w:link w:val="7"/>
    <w:autoRedefine/>
    <w:qFormat/>
    <w:uiPriority w:val="0"/>
    <w:rPr>
      <w:rFonts w:ascii="Calibri" w:hAnsi="Calibri" w:eastAsia="宋体" w:cs="Times New Roman"/>
      <w:sz w:val="18"/>
      <w:szCs w:val="18"/>
    </w:rPr>
  </w:style>
  <w:style w:type="character" w:customStyle="1" w:styleId="22">
    <w:name w:val="页脚 Char Char"/>
    <w:basedOn w:val="11"/>
    <w:link w:val="6"/>
    <w:autoRedefine/>
    <w:qFormat/>
    <w:uiPriority w:val="0"/>
    <w:rPr>
      <w:rFonts w:ascii="Calibri" w:hAnsi="Calibri" w:eastAsia="宋体" w:cs="Times New Roman"/>
      <w:sz w:val="18"/>
      <w:szCs w:val="18"/>
    </w:rPr>
  </w:style>
  <w:style w:type="character" w:customStyle="1" w:styleId="23">
    <w:name w:val="批注主题 Char Char"/>
    <w:basedOn w:val="20"/>
    <w:link w:val="9"/>
    <w:autoRedefine/>
    <w:qFormat/>
    <w:uiPriority w:val="0"/>
    <w:rPr>
      <w:b/>
      <w:bCs/>
    </w:rPr>
  </w:style>
  <w:style w:type="character" w:customStyle="1" w:styleId="24">
    <w:name w:val="批注框文本 Char Char"/>
    <w:basedOn w:val="11"/>
    <w:link w:val="5"/>
    <w:autoRedefine/>
    <w:qFormat/>
    <w:uiPriority w:val="0"/>
    <w:rPr>
      <w:rFonts w:ascii="Calibri" w:hAnsi="Calibri" w:eastAsia="宋体" w:cs="Times New Roman"/>
      <w:sz w:val="18"/>
      <w:szCs w:val="18"/>
    </w:rPr>
  </w:style>
  <w:style w:type="character" w:customStyle="1" w:styleId="25">
    <w:name w:val="font21"/>
    <w:basedOn w:val="11"/>
    <w:autoRedefine/>
    <w:qFormat/>
    <w:uiPriority w:val="0"/>
    <w:rPr>
      <w:rFonts w:hint="eastAsia" w:ascii="宋体" w:hAnsi="宋体" w:eastAsia="宋体" w:cs="宋体"/>
      <w:color w:val="000000"/>
      <w:sz w:val="18"/>
      <w:szCs w:val="18"/>
      <w:u w:val="none"/>
    </w:rPr>
  </w:style>
  <w:style w:type="character" w:customStyle="1" w:styleId="26">
    <w:name w:val="font71"/>
    <w:basedOn w:val="11"/>
    <w:autoRedefine/>
    <w:qFormat/>
    <w:uiPriority w:val="0"/>
    <w:rPr>
      <w:rFonts w:hint="eastAsia" w:ascii="仿宋_GB2312" w:eastAsia="仿宋_GB2312" w:cs="仿宋_GB2312"/>
      <w:color w:val="000000"/>
      <w:sz w:val="18"/>
      <w:szCs w:val="18"/>
      <w:u w:val="none"/>
    </w:rPr>
  </w:style>
  <w:style w:type="character" w:customStyle="1" w:styleId="27">
    <w:name w:val="font31"/>
    <w:basedOn w:val="11"/>
    <w:qFormat/>
    <w:uiPriority w:val="0"/>
    <w:rPr>
      <w:rFonts w:hint="eastAsia" w:ascii="微软雅黑" w:hAnsi="微软雅黑" w:eastAsia="微软雅黑" w:cs="微软雅黑"/>
      <w:color w:val="000000"/>
      <w:sz w:val="16"/>
      <w:szCs w:val="16"/>
      <w:u w:val="none"/>
    </w:rPr>
  </w:style>
  <w:style w:type="character" w:customStyle="1" w:styleId="28">
    <w:name w:val="font41"/>
    <w:basedOn w:val="11"/>
    <w:autoRedefine/>
    <w:qFormat/>
    <w:uiPriority w:val="0"/>
    <w:rPr>
      <w:rFonts w:hint="eastAsia" w:ascii="宋体" w:hAnsi="宋体" w:eastAsia="宋体" w:cs="宋体"/>
      <w:color w:val="000000"/>
      <w:sz w:val="16"/>
      <w:szCs w:val="16"/>
      <w:u w:val="none"/>
    </w:rPr>
  </w:style>
  <w:style w:type="character" w:customStyle="1" w:styleId="29">
    <w:name w:val="font11"/>
    <w:basedOn w:val="11"/>
    <w:autoRedefine/>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瑾</cp:lastModifiedBy>
  <dcterms:modified xsi:type="dcterms:W3CDTF">2024-01-11T01:57:12Z</dcterms:modified>
  <dc:title>农村集体土地征收基层政务公开标准目录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CDAD4BC5535C4539955E5D5D3E97E5C6_12</vt:lpwstr>
  </property>
</Properties>
</file>