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宋体" w:hAnsi="宋体" w:eastAsia="方正小标宋简体" w:cs="仿宋_GB2312"/>
          <w:b w:val="0"/>
          <w:bCs w:val="0"/>
          <w:spacing w:val="0"/>
          <w:kern w:val="21"/>
          <w:sz w:val="44"/>
          <w:szCs w:val="44"/>
          <w:lang w:eastAsia="zh-CN"/>
        </w:rPr>
      </w:pPr>
      <w:bookmarkStart w:id="0" w:name="_Toc12242"/>
      <w:bookmarkStart w:id="1" w:name="_Toc9212"/>
      <w:r>
        <w:rPr>
          <w:rFonts w:hint="eastAsia" w:ascii="宋体" w:hAnsi="宋体" w:eastAsia="方正小标宋简体" w:cs="仿宋_GB2312"/>
          <w:b w:val="0"/>
          <w:bCs w:val="0"/>
          <w:spacing w:val="0"/>
          <w:kern w:val="21"/>
          <w:sz w:val="44"/>
          <w:szCs w:val="44"/>
          <w:lang w:eastAsia="zh-CN"/>
        </w:rPr>
        <w:t>义务教育领域基层政务公开标准目录</w:t>
      </w:r>
      <w:bookmarkEnd w:id="0"/>
      <w:bookmarkEnd w:id="1"/>
    </w:p>
    <w:tbl>
      <w:tblPr>
        <w:tblStyle w:val="10"/>
        <w:tblW w:w="146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3"/>
        <w:gridCol w:w="655"/>
        <w:gridCol w:w="1295"/>
        <w:gridCol w:w="2849"/>
        <w:gridCol w:w="2217"/>
        <w:gridCol w:w="1417"/>
        <w:gridCol w:w="1134"/>
        <w:gridCol w:w="1418"/>
        <w:gridCol w:w="648"/>
        <w:gridCol w:w="630"/>
        <w:gridCol w:w="360"/>
        <w:gridCol w:w="930"/>
        <w:gridCol w:w="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83"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序号</w:t>
            </w:r>
          </w:p>
        </w:tc>
        <w:tc>
          <w:tcPr>
            <w:tcW w:w="19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公开事项</w:t>
            </w:r>
          </w:p>
        </w:tc>
        <w:tc>
          <w:tcPr>
            <w:tcW w:w="284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公开内容（要素）</w:t>
            </w:r>
          </w:p>
        </w:tc>
        <w:tc>
          <w:tcPr>
            <w:tcW w:w="221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公开依据</w:t>
            </w:r>
          </w:p>
        </w:tc>
        <w:tc>
          <w:tcPr>
            <w:tcW w:w="141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公开时限</w:t>
            </w:r>
          </w:p>
        </w:tc>
        <w:tc>
          <w:tcPr>
            <w:tcW w:w="113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公开主体</w:t>
            </w:r>
          </w:p>
        </w:tc>
        <w:tc>
          <w:tcPr>
            <w:tcW w:w="141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spacing w:val="0"/>
                <w:kern w:val="21"/>
                <w:sz w:val="18"/>
                <w:szCs w:val="18"/>
              </w:rPr>
            </w:pPr>
            <w:r>
              <w:rPr>
                <w:rFonts w:hint="eastAsia" w:ascii="宋体" w:hAnsi="宋体" w:eastAsia="黑体" w:cs="仿宋_GB2312"/>
                <w:spacing w:val="0"/>
                <w:kern w:val="21"/>
                <w:sz w:val="18"/>
                <w:szCs w:val="18"/>
              </w:rPr>
              <w:t>公开渠道</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spacing w:val="0"/>
                <w:kern w:val="21"/>
                <w:sz w:val="18"/>
                <w:szCs w:val="18"/>
              </w:rPr>
            </w:pPr>
            <w:r>
              <w:rPr>
                <w:rFonts w:hint="eastAsia" w:ascii="宋体" w:hAnsi="宋体" w:eastAsia="黑体" w:cs="仿宋_GB2312"/>
                <w:spacing w:val="0"/>
                <w:kern w:val="21"/>
                <w:sz w:val="18"/>
                <w:szCs w:val="18"/>
              </w:rPr>
              <w:t>和载体</w:t>
            </w:r>
          </w:p>
        </w:tc>
        <w:tc>
          <w:tcPr>
            <w:tcW w:w="127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spacing w:val="0"/>
                <w:kern w:val="21"/>
                <w:sz w:val="18"/>
                <w:szCs w:val="18"/>
              </w:rPr>
            </w:pPr>
            <w:r>
              <w:rPr>
                <w:rFonts w:hint="eastAsia" w:ascii="宋体" w:hAnsi="宋体" w:eastAsia="黑体" w:cs="仿宋_GB2312"/>
                <w:color w:val="000000"/>
                <w:spacing w:val="0"/>
                <w:kern w:val="21"/>
                <w:sz w:val="18"/>
                <w:szCs w:val="18"/>
              </w:rPr>
              <w:t>公开对象</w:t>
            </w:r>
          </w:p>
        </w:tc>
        <w:tc>
          <w:tcPr>
            <w:tcW w:w="129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公开方式</w:t>
            </w:r>
          </w:p>
        </w:tc>
        <w:tc>
          <w:tcPr>
            <w:tcW w:w="6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blHeader/>
          <w:jc w:val="center"/>
        </w:trPr>
        <w:tc>
          <w:tcPr>
            <w:tcW w:w="483"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color w:val="000000"/>
                <w:spacing w:val="0"/>
                <w:kern w:val="21"/>
                <w:sz w:val="18"/>
                <w:szCs w:val="18"/>
              </w:rPr>
            </w:pPr>
          </w:p>
        </w:tc>
        <w:tc>
          <w:tcPr>
            <w:tcW w:w="6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一级事项</w:t>
            </w: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二级事项</w:t>
            </w:r>
          </w:p>
        </w:tc>
        <w:tc>
          <w:tcPr>
            <w:tcW w:w="284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color w:val="000000"/>
                <w:spacing w:val="0"/>
                <w:kern w:val="21"/>
                <w:sz w:val="18"/>
                <w:szCs w:val="18"/>
              </w:rPr>
            </w:pPr>
          </w:p>
        </w:tc>
        <w:tc>
          <w:tcPr>
            <w:tcW w:w="22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color w:val="000000"/>
                <w:spacing w:val="0"/>
                <w:kern w:val="21"/>
                <w:sz w:val="18"/>
                <w:szCs w:val="18"/>
              </w:rPr>
            </w:pPr>
          </w:p>
        </w:tc>
        <w:tc>
          <w:tcPr>
            <w:tcW w:w="14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color w:val="000000"/>
                <w:spacing w:val="0"/>
                <w:kern w:val="21"/>
                <w:sz w:val="18"/>
                <w:szCs w:val="18"/>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color w:val="000000"/>
                <w:spacing w:val="0"/>
                <w:kern w:val="21"/>
                <w:sz w:val="18"/>
                <w:szCs w:val="18"/>
              </w:rPr>
            </w:pPr>
          </w:p>
        </w:tc>
        <w:tc>
          <w:tcPr>
            <w:tcW w:w="141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spacing w:val="0"/>
                <w:kern w:val="21"/>
                <w:sz w:val="18"/>
                <w:szCs w:val="18"/>
              </w:rPr>
            </w:pPr>
          </w:p>
        </w:tc>
        <w:tc>
          <w:tcPr>
            <w:tcW w:w="64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lang w:val="en-US" w:eastAsia="zh-CN" w:bidi="ar-SA"/>
              </w:rPr>
            </w:pPr>
            <w:r>
              <w:rPr>
                <w:rFonts w:hint="eastAsia" w:ascii="宋体" w:hAnsi="宋体" w:eastAsia="黑体" w:cs="仿宋_GB2312"/>
                <w:color w:val="000000"/>
                <w:spacing w:val="0"/>
                <w:kern w:val="21"/>
                <w:sz w:val="18"/>
                <w:szCs w:val="18"/>
              </w:rPr>
              <w:t>全社会</w:t>
            </w:r>
          </w:p>
        </w:tc>
        <w:tc>
          <w:tcPr>
            <w:tcW w:w="6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lang w:val="en-US" w:eastAsia="zh-CN" w:bidi="ar-SA"/>
              </w:rPr>
            </w:pPr>
            <w:r>
              <w:rPr>
                <w:rFonts w:hint="eastAsia" w:ascii="宋体" w:hAnsi="宋体" w:eastAsia="黑体" w:cs="仿宋_GB2312"/>
                <w:color w:val="000000"/>
                <w:spacing w:val="0"/>
                <w:kern w:val="21"/>
                <w:sz w:val="18"/>
                <w:szCs w:val="18"/>
              </w:rPr>
              <w:t>特定群众</w:t>
            </w:r>
          </w:p>
        </w:tc>
        <w:tc>
          <w:tcPr>
            <w:tcW w:w="3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主动</w:t>
            </w:r>
          </w:p>
        </w:tc>
        <w:tc>
          <w:tcPr>
            <w:tcW w:w="9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依申请公开</w:t>
            </w:r>
          </w:p>
        </w:tc>
        <w:tc>
          <w:tcPr>
            <w:tcW w:w="6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乡级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6" w:hRule="atLeast"/>
          <w:jc w:val="center"/>
        </w:trPr>
        <w:tc>
          <w:tcPr>
            <w:tcW w:w="483"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1</w:t>
            </w:r>
          </w:p>
        </w:tc>
        <w:tc>
          <w:tcPr>
            <w:tcW w:w="6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政策</w:t>
            </w:r>
            <w:r>
              <w:rPr>
                <w:rFonts w:hint="eastAsia" w:ascii="宋体" w:hAnsi="宋体" w:eastAsia="仿宋_GB2312" w:cs="仿宋_GB2312"/>
                <w:color w:val="000000"/>
                <w:spacing w:val="0"/>
                <w:kern w:val="21"/>
                <w:sz w:val="18"/>
                <w:szCs w:val="18"/>
              </w:rPr>
              <w:br w:type="textWrapping"/>
            </w:r>
            <w:r>
              <w:rPr>
                <w:rFonts w:hint="eastAsia" w:ascii="宋体" w:hAnsi="宋体" w:eastAsia="仿宋_GB2312" w:cs="仿宋_GB2312"/>
                <w:color w:val="000000"/>
                <w:spacing w:val="0"/>
                <w:kern w:val="21"/>
                <w:sz w:val="18"/>
                <w:szCs w:val="18"/>
              </w:rPr>
              <w:t>文件</w:t>
            </w: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教育法律</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《教育法》、《义务教育法》、《民办教育促进法》、《教师法》、《国家通用语言文字法》</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《政府信息公开条例》</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xml:space="preserve">■政府网站  </w:t>
            </w:r>
          </w:p>
        </w:tc>
        <w:tc>
          <w:tcPr>
            <w:tcW w:w="648"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36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bookmarkEnd w:id="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4" w:hRule="atLeast"/>
          <w:jc w:val="center"/>
        </w:trPr>
        <w:tc>
          <w:tcPr>
            <w:tcW w:w="483"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2</w:t>
            </w:r>
          </w:p>
        </w:tc>
        <w:tc>
          <w:tcPr>
            <w:tcW w:w="655"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招生管理</w:t>
            </w: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学校介绍</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办学性质、办学地点、办学规模、办学基本条件、联系方式等</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《政府信息公开条例》、《教育部关于进一步做好小学升入初中免试就近入学工作的实施意见》、《教育部关于推进中小学信息公开工作的意见》</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xml:space="preserve">■政府网站  </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■两微一端</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xml:space="preserve">■公开查阅点    </w:t>
            </w:r>
          </w:p>
        </w:tc>
        <w:tc>
          <w:tcPr>
            <w:tcW w:w="64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3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宋体" w:cs="仿宋_GB2312"/>
                <w:color w:val="000000"/>
                <w:spacing w:val="0"/>
                <w:kern w:val="21"/>
                <w:sz w:val="18"/>
                <w:szCs w:val="18"/>
              </w:rPr>
              <w:t>√</w:t>
            </w:r>
          </w:p>
        </w:tc>
        <w:tc>
          <w:tcPr>
            <w:tcW w:w="9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val="en-US" w:eastAsia="zh-CN"/>
              </w:rPr>
            </w:pPr>
            <w:r>
              <w:rPr>
                <w:rFonts w:hint="eastAsia" w:ascii="宋体" w:hAnsi="宋体" w:eastAsia="仿宋_GB2312" w:cs="仿宋_GB2312"/>
                <w:color w:val="000000"/>
                <w:spacing w:val="0"/>
                <w:kern w:val="21"/>
                <w:sz w:val="18"/>
                <w:szCs w:val="18"/>
                <w:lang w:val="en-US" w:eastAsia="zh-CN"/>
              </w:rPr>
              <w:t>3</w:t>
            </w:r>
          </w:p>
        </w:tc>
        <w:tc>
          <w:tcPr>
            <w:tcW w:w="6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学生管理</w:t>
            </w: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义务教育学生资助政策</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统一城乡义务教育“两免一补”政策</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《政府信息公开条例》、《国务院关于进一步完善城乡义务教育经费保障机制的通知》</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xml:space="preserve">■政府网站  </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■两微一端</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■公开查阅点</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■社区/企事业单位/村公示栏（电子屏）</w:t>
            </w:r>
          </w:p>
        </w:tc>
        <w:tc>
          <w:tcPr>
            <w:tcW w:w="648"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36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3"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仿宋_GB2312" w:cs="仿宋_GB2312"/>
                <w:color w:val="000000"/>
                <w:spacing w:val="0"/>
                <w:kern w:val="21"/>
                <w:sz w:val="18"/>
                <w:szCs w:val="18"/>
                <w:lang w:val="en-US" w:eastAsia="zh-CN"/>
              </w:rPr>
              <w:t>4</w:t>
            </w:r>
          </w:p>
        </w:tc>
        <w:tc>
          <w:tcPr>
            <w:tcW w:w="6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教师管理</w:t>
            </w:r>
          </w:p>
        </w:tc>
        <w:tc>
          <w:tcPr>
            <w:tcW w:w="129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教师评优评先</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优秀教师的表彰、奖励等行政奖励信息公示</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《教师法》、《中共中央 国务院关于全面深化新时代教师队伍建设改革的意见》</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xml:space="preserve">■政府网站    </w:t>
            </w:r>
          </w:p>
        </w:tc>
        <w:tc>
          <w:tcPr>
            <w:tcW w:w="64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3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9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val="en-US" w:eastAsia="zh-CN"/>
              </w:rPr>
            </w:pPr>
            <w:r>
              <w:rPr>
                <w:rFonts w:hint="eastAsia" w:ascii="宋体" w:hAnsi="宋体" w:eastAsia="仿宋_GB2312" w:cs="仿宋_GB2312"/>
                <w:color w:val="000000"/>
                <w:spacing w:val="0"/>
                <w:kern w:val="21"/>
                <w:sz w:val="18"/>
                <w:szCs w:val="18"/>
                <w:lang w:val="en-US" w:eastAsia="zh-CN"/>
              </w:rPr>
              <w:t>5</w:t>
            </w:r>
          </w:p>
        </w:tc>
        <w:tc>
          <w:tcPr>
            <w:tcW w:w="6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教师管理</w:t>
            </w:r>
          </w:p>
        </w:tc>
        <w:tc>
          <w:tcPr>
            <w:tcW w:w="129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任教30年乡村教师以上教师申请荣誉证书相关政策</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《政府信息公开条例》、《关于做好乡村学校从教30年教师荣誉证书颁发工作的通知》</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xml:space="preserve">■政府网站  </w:t>
            </w:r>
          </w:p>
        </w:tc>
        <w:tc>
          <w:tcPr>
            <w:tcW w:w="64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3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c>
          <w:tcPr>
            <w:tcW w:w="9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val="en-US" w:eastAsia="zh-CN"/>
              </w:rPr>
            </w:pPr>
            <w:r>
              <w:rPr>
                <w:rFonts w:hint="eastAsia" w:ascii="宋体" w:hAnsi="宋体" w:eastAsia="仿宋_GB2312" w:cs="仿宋_GB2312"/>
                <w:color w:val="000000"/>
                <w:spacing w:val="0"/>
                <w:kern w:val="21"/>
                <w:sz w:val="18"/>
                <w:szCs w:val="18"/>
                <w:lang w:val="en-US" w:eastAsia="zh-CN"/>
              </w:rPr>
              <w:t>6</w:t>
            </w:r>
          </w:p>
        </w:tc>
        <w:tc>
          <w:tcPr>
            <w:tcW w:w="655" w:type="dxa"/>
            <w:vMerge w:val="continue"/>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教师职称评审</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评审政策、评审通知、学校拟推荐人选名单、评审结果</w:t>
            </w:r>
            <w:r>
              <w:rPr>
                <w:rFonts w:hint="eastAsia" w:ascii="宋体" w:hAnsi="宋体" w:eastAsia="仿宋_GB2312" w:cs="仿宋_GB2312"/>
                <w:color w:val="000000"/>
                <w:spacing w:val="0"/>
                <w:kern w:val="21"/>
                <w:sz w:val="18"/>
                <w:szCs w:val="18"/>
              </w:rPr>
              <w:br w:type="textWrapping"/>
            </w:r>
            <w:r>
              <w:rPr>
                <w:rFonts w:hint="eastAsia" w:ascii="宋体" w:hAnsi="宋体" w:eastAsia="仿宋_GB2312" w:cs="仿宋_GB2312"/>
                <w:color w:val="000000"/>
                <w:spacing w:val="0"/>
                <w:kern w:val="21"/>
                <w:sz w:val="18"/>
                <w:szCs w:val="18"/>
              </w:rPr>
              <w:t>、最终结果</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《政府信息公开条例》、《人力资源社会保障部教育部关于印发深化中小学教师职称制度改革的指导意见的通知》</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信息形成（变更）3个工作日内，公示时间不少于7个工作日</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xml:space="preserve">■政府网站 </w:t>
            </w:r>
          </w:p>
        </w:tc>
        <w:tc>
          <w:tcPr>
            <w:tcW w:w="64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3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3"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ind w:firstLine="90" w:firstLineChars="50"/>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仿宋_GB2312" w:cs="仿宋_GB2312"/>
                <w:color w:val="000000"/>
                <w:spacing w:val="0"/>
                <w:kern w:val="21"/>
                <w:sz w:val="18"/>
                <w:szCs w:val="18"/>
                <w:lang w:val="en-US" w:eastAsia="zh-CN"/>
              </w:rPr>
              <w:t>7</w:t>
            </w:r>
          </w:p>
        </w:tc>
        <w:tc>
          <w:tcPr>
            <w:tcW w:w="655" w:type="dxa"/>
            <w:vMerge w:val="continue"/>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乡村教师生活补助</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管理制度、实施方案、实施时间、补助范围、发放对象、补助档次标准、发放情况</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《政府信息公开条例》、《教育部 财政部关于落实2013年中央1号文件要求对在连片特困地区工作的乡村教师给予生活补助的通知》、《教育部关于加强乡村教师生活补助经费管理有关工作的通知》</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信息形成（变更）3个工作日内；教师申领情况进行常年公示</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xml:space="preserve">■政府网站  </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■两微一端</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■公开查阅点</w:t>
            </w:r>
          </w:p>
        </w:tc>
        <w:tc>
          <w:tcPr>
            <w:tcW w:w="64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3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lang w:eastAsia="zh-CN"/>
              </w:rPr>
            </w:pPr>
            <w:r>
              <w:rPr>
                <w:rFonts w:hint="eastAsia" w:ascii="宋体" w:hAnsi="宋体" w:eastAsia="仿宋_GB2312" w:cs="仿宋_GB2312"/>
                <w:spacing w:val="0"/>
                <w:kern w:val="21"/>
                <w:sz w:val="18"/>
                <w:szCs w:val="18"/>
                <w:lang w:val="en-US" w:eastAsia="zh-CN"/>
              </w:rPr>
              <w:t>8</w:t>
            </w:r>
          </w:p>
        </w:tc>
        <w:tc>
          <w:tcPr>
            <w:tcW w:w="6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重要政策执行情况</w:t>
            </w: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学校体育评价</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学校体育工作自评结果（体育课、体育训练、体育比赛、体育教师、体育场地、条件保障等）；学校体育发展年度报告（重点反映体育教学改革、体育教师配备、体育经费投入和体育场地设施、学生体质健康测试等方面的情况）</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《政府信息公开条例》、教育部关于印发《学生体质健康监测评价办法》等三个文件的通知</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■政府网站  </w:t>
            </w:r>
          </w:p>
        </w:tc>
        <w:tc>
          <w:tcPr>
            <w:tcW w:w="648"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p>
        </w:tc>
        <w:tc>
          <w:tcPr>
            <w:tcW w:w="36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lang w:val="en-US" w:eastAsia="zh-CN"/>
              </w:rPr>
            </w:pPr>
            <w:r>
              <w:rPr>
                <w:rFonts w:hint="eastAsia" w:ascii="宋体" w:hAnsi="宋体" w:eastAsia="仿宋_GB2312" w:cs="仿宋_GB2312"/>
                <w:spacing w:val="0"/>
                <w:kern w:val="21"/>
                <w:sz w:val="18"/>
                <w:szCs w:val="18"/>
                <w:lang w:val="en-US" w:eastAsia="zh-CN"/>
              </w:rPr>
              <w:t>9</w:t>
            </w:r>
          </w:p>
        </w:tc>
        <w:tc>
          <w:tcPr>
            <w:tcW w:w="65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学校美育评价</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学校艺术教育工作自评结果（艺术课程、艺术活动、艺术教师、条件保障、特色发展及学生艺术素质测评等）；学校艺术教育发展年度报告（重点反映艺术课程建设、艺术教师配备、艺术教育管理、艺术教育经费投入和设施设备、课外艺术活动、校园文化艺术环境、重点项目推进以及中小学实施学校艺术教育工作自评制度等方面的情况）</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《政府信息公开条例》、教育部关于印发《中小学生艺术素质测评办法》等三个文件的通知</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■政府网站    </w:t>
            </w:r>
          </w:p>
        </w:tc>
        <w:tc>
          <w:tcPr>
            <w:tcW w:w="648"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p>
        </w:tc>
        <w:tc>
          <w:tcPr>
            <w:tcW w:w="36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8" w:hRule="atLeast"/>
          <w:jc w:val="center"/>
        </w:trPr>
        <w:tc>
          <w:tcPr>
            <w:tcW w:w="483"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lang w:val="en-US" w:eastAsia="zh-CN"/>
              </w:rPr>
              <w:t>10</w:t>
            </w:r>
          </w:p>
        </w:tc>
        <w:tc>
          <w:tcPr>
            <w:tcW w:w="6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教育督导</w:t>
            </w: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机构队伍</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督导部门组成、督学名单、</w:t>
            </w:r>
          </w:p>
        </w:tc>
        <w:tc>
          <w:tcPr>
            <w:tcW w:w="221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《教育督导条例》、《县域义务教育均衡发展督导评估暂行办法》、《县域义务教育优质均衡发展督导评估办法》</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■政府网站  </w:t>
            </w:r>
            <w:r>
              <w:rPr>
                <w:rFonts w:hint="eastAsia" w:ascii="宋体" w:hAnsi="宋体" w:eastAsia="仿宋_GB2312" w:cs="仿宋_GB2312"/>
                <w:spacing w:val="0"/>
                <w:kern w:val="21"/>
                <w:sz w:val="18"/>
                <w:szCs w:val="18"/>
              </w:rPr>
              <w:br w:type="textWrapping"/>
            </w:r>
            <w:r>
              <w:rPr>
                <w:rFonts w:hint="eastAsia" w:ascii="宋体" w:hAnsi="宋体" w:eastAsia="仿宋_GB2312" w:cs="仿宋_GB2312"/>
                <w:spacing w:val="0"/>
                <w:kern w:val="21"/>
                <w:sz w:val="18"/>
                <w:szCs w:val="18"/>
              </w:rPr>
              <w:t xml:space="preserve">■两微一端    </w:t>
            </w:r>
          </w:p>
        </w:tc>
        <w:tc>
          <w:tcPr>
            <w:tcW w:w="648"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p>
        </w:tc>
        <w:tc>
          <w:tcPr>
            <w:tcW w:w="36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仿宋_GB2312"/>
                <w:color w:val="000000"/>
                <w:spacing w:val="0"/>
                <w:kern w:val="21"/>
                <w:sz w:val="18"/>
                <w:szCs w:val="18"/>
                <w:lang w:val="en-US" w:eastAsia="zh-CN"/>
              </w:rPr>
            </w:pPr>
            <w:r>
              <w:rPr>
                <w:rFonts w:hint="eastAsia" w:ascii="宋体" w:hAnsi="宋体" w:eastAsia="仿宋_GB2312" w:cs="仿宋_GB2312"/>
                <w:color w:val="000000"/>
                <w:spacing w:val="0"/>
                <w:kern w:val="21"/>
                <w:sz w:val="18"/>
                <w:szCs w:val="18"/>
                <w:lang w:val="en-US" w:eastAsia="zh-CN"/>
              </w:rPr>
              <w:t>11</w:t>
            </w:r>
          </w:p>
        </w:tc>
        <w:tc>
          <w:tcPr>
            <w:tcW w:w="65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义务教育均衡发展督导评估</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义务教育均衡发展有关政策文件、职责权限、管理流程、监督方式、年度工作计划等，义务教育均衡发展状况自评方案及结果，省级教育督导机构对县进行督导评估的工作安排、评估结果</w:t>
            </w:r>
            <w:r>
              <w:rPr>
                <w:rFonts w:hint="eastAsia" w:ascii="宋体" w:hAnsi="宋体" w:eastAsia="仿宋_GB2312" w:cs="仿宋_GB2312"/>
                <w:color w:val="000000"/>
                <w:spacing w:val="0"/>
                <w:kern w:val="21"/>
                <w:sz w:val="18"/>
                <w:szCs w:val="18"/>
              </w:rPr>
              <w:br w:type="textWrapping"/>
            </w:r>
            <w:r>
              <w:rPr>
                <w:rFonts w:hint="eastAsia" w:ascii="宋体" w:hAnsi="宋体" w:eastAsia="仿宋_GB2312" w:cs="仿宋_GB2312"/>
                <w:color w:val="000000"/>
                <w:spacing w:val="0"/>
                <w:kern w:val="21"/>
                <w:sz w:val="18"/>
                <w:szCs w:val="18"/>
              </w:rPr>
              <w:t>国务院教育督导委员会对义务教育发展均衡县进行认定的结果、报告</w:t>
            </w:r>
          </w:p>
        </w:tc>
        <w:tc>
          <w:tcPr>
            <w:tcW w:w="22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■政府网站  </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■两微一端  </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■广播电视  </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■公开查阅点 </w:t>
            </w:r>
          </w:p>
        </w:tc>
        <w:tc>
          <w:tcPr>
            <w:tcW w:w="648"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p>
        </w:tc>
        <w:tc>
          <w:tcPr>
            <w:tcW w:w="36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3"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仿宋_GB2312"/>
                <w:color w:val="000000"/>
                <w:spacing w:val="0"/>
                <w:kern w:val="21"/>
                <w:sz w:val="18"/>
                <w:szCs w:val="18"/>
                <w:lang w:val="en-US" w:eastAsia="zh-CN"/>
              </w:rPr>
            </w:pPr>
            <w:bookmarkStart w:id="3" w:name="_GoBack" w:colFirst="0" w:colLast="0"/>
            <w:r>
              <w:rPr>
                <w:rFonts w:hint="eastAsia" w:ascii="宋体" w:hAnsi="宋体" w:eastAsia="仿宋_GB2312" w:cs="仿宋_GB2312"/>
                <w:color w:val="000000"/>
                <w:spacing w:val="0"/>
                <w:kern w:val="21"/>
                <w:sz w:val="18"/>
                <w:szCs w:val="18"/>
                <w:lang w:val="en-US" w:eastAsia="zh-CN"/>
              </w:rPr>
              <w:t>12</w:t>
            </w:r>
          </w:p>
        </w:tc>
        <w:tc>
          <w:tcPr>
            <w:tcW w:w="6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校园安全</w:t>
            </w: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校园安全管理</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校园安全管理法律法规、配套管理制度，学生住宿、用餐、组织活动等安全管理情况，校园安全突发事件应急预案、预警信息、应对情况、调查处理情况，校车使用许可申请政策规定及申请流程</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《政府信息公开条例》、《国务院办公厅关于加强中小学幼儿园安全风险防控体系建设的意见》、《教育部关于推进中小学信息公开工作的意见》、《校车安全管理条例》</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■政府网站  </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■广播电视  </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■公开查阅点 </w:t>
            </w:r>
          </w:p>
        </w:tc>
        <w:tc>
          <w:tcPr>
            <w:tcW w:w="648"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p>
        </w:tc>
        <w:tc>
          <w:tcPr>
            <w:tcW w:w="36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c>
          <w:tcPr>
            <w:tcW w:w="9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bl>
    <w:p>
      <w:pPr>
        <w:rPr>
          <w:rFonts w:hint="eastAsia" w:ascii="宋体" w:hAnsi="宋体" w:cs="仿宋_GB2312"/>
          <w:spacing w:val="0"/>
          <w:kern w:val="21"/>
          <w:sz w:val="32"/>
          <w:szCs w:val="32"/>
        </w:rPr>
      </w:pPr>
    </w:p>
    <w:sectPr>
      <w:headerReference r:id="rId3" w:type="default"/>
      <w:footerReference r:id="rId4" w:type="default"/>
      <w:pgSz w:w="16838" w:h="11906" w:orient="landscape"/>
      <w:pgMar w:top="2098" w:right="1474" w:bottom="1984" w:left="1587"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0000000000000000000"/>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_x0000_s4098" o:spid="_x0000_s4098"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167CD"/>
    <w:rsid w:val="000167CD"/>
    <w:rsid w:val="002D416D"/>
    <w:rsid w:val="003E07DF"/>
    <w:rsid w:val="004A644A"/>
    <w:rsid w:val="005434BB"/>
    <w:rsid w:val="005E6365"/>
    <w:rsid w:val="00752324"/>
    <w:rsid w:val="0082638D"/>
    <w:rsid w:val="00891AD7"/>
    <w:rsid w:val="00B811FB"/>
    <w:rsid w:val="00D043ED"/>
    <w:rsid w:val="00F2583F"/>
    <w:rsid w:val="00F80F58"/>
    <w:rsid w:val="00FB3AB3"/>
    <w:rsid w:val="02BE419B"/>
    <w:rsid w:val="03AE41E2"/>
    <w:rsid w:val="062A7E86"/>
    <w:rsid w:val="095F4389"/>
    <w:rsid w:val="0DE65108"/>
    <w:rsid w:val="0EFB662F"/>
    <w:rsid w:val="0F4936BF"/>
    <w:rsid w:val="14B46207"/>
    <w:rsid w:val="15835146"/>
    <w:rsid w:val="184C63EF"/>
    <w:rsid w:val="19402B24"/>
    <w:rsid w:val="1B266C75"/>
    <w:rsid w:val="20FC3800"/>
    <w:rsid w:val="24C54684"/>
    <w:rsid w:val="285E606A"/>
    <w:rsid w:val="28697FA9"/>
    <w:rsid w:val="289C75F4"/>
    <w:rsid w:val="29410F19"/>
    <w:rsid w:val="2F847578"/>
    <w:rsid w:val="302E7CF6"/>
    <w:rsid w:val="34B162E3"/>
    <w:rsid w:val="35F65592"/>
    <w:rsid w:val="36970B87"/>
    <w:rsid w:val="388307C8"/>
    <w:rsid w:val="396707BE"/>
    <w:rsid w:val="39923ACA"/>
    <w:rsid w:val="3A2546BE"/>
    <w:rsid w:val="3A6F668C"/>
    <w:rsid w:val="3C1E774F"/>
    <w:rsid w:val="3CC557E9"/>
    <w:rsid w:val="3D37146C"/>
    <w:rsid w:val="430761D7"/>
    <w:rsid w:val="430A4F19"/>
    <w:rsid w:val="4A2C67CB"/>
    <w:rsid w:val="4E1B0F03"/>
    <w:rsid w:val="4E31679E"/>
    <w:rsid w:val="4E92182B"/>
    <w:rsid w:val="528717CF"/>
    <w:rsid w:val="57132D92"/>
    <w:rsid w:val="583243E1"/>
    <w:rsid w:val="5BDC7653"/>
    <w:rsid w:val="5CB241AF"/>
    <w:rsid w:val="628F47B4"/>
    <w:rsid w:val="635214AF"/>
    <w:rsid w:val="64150AB8"/>
    <w:rsid w:val="696470D1"/>
    <w:rsid w:val="6A6E4534"/>
    <w:rsid w:val="6B70022B"/>
    <w:rsid w:val="6E3F53FF"/>
    <w:rsid w:val="725E5ED3"/>
    <w:rsid w:val="73102DF7"/>
    <w:rsid w:val="73590CF2"/>
    <w:rsid w:val="779B6647"/>
    <w:rsid w:val="7D1100BD"/>
    <w:rsid w:val="7DF64B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name="annotation text"/>
    <w:lsdException w:qFormat="1" w:uiPriority="0" w:name="header"/>
    <w:lsdException w:qFormat="1"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17"/>
    <w:qFormat/>
    <w:uiPriority w:val="0"/>
    <w:pPr>
      <w:keepNext/>
      <w:keepLines/>
      <w:spacing w:before="340" w:after="330" w:line="576" w:lineRule="auto"/>
      <w:outlineLvl w:val="0"/>
    </w:pPr>
    <w:rPr>
      <w:rFonts w:cs="宋体"/>
      <w:b/>
      <w:bCs/>
      <w:kern w:val="44"/>
      <w:sz w:val="44"/>
      <w:szCs w:val="44"/>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Body Text Indent1"/>
    <w:basedOn w:val="1"/>
    <w:qFormat/>
    <w:uiPriority w:val="0"/>
    <w:pPr>
      <w:ind w:left="420" w:leftChars="200"/>
    </w:pPr>
  </w:style>
  <w:style w:type="paragraph" w:styleId="4">
    <w:name w:val="annotation text"/>
    <w:basedOn w:val="1"/>
    <w:link w:val="18"/>
    <w:semiHidden/>
    <w:unhideWhenUsed/>
    <w:qFormat/>
    <w:uiPriority w:val="0"/>
    <w:pPr>
      <w:jc w:val="left"/>
    </w:pPr>
  </w:style>
  <w:style w:type="paragraph" w:styleId="5">
    <w:name w:val="Balloon Text"/>
    <w:basedOn w:val="1"/>
    <w:link w:val="22"/>
    <w:semiHidden/>
    <w:unhideWhenUsed/>
    <w:qFormat/>
    <w:uiPriority w:val="0"/>
    <w:rPr>
      <w:sz w:val="18"/>
      <w:szCs w:val="18"/>
    </w:rPr>
  </w:style>
  <w:style w:type="paragraph" w:styleId="6">
    <w:name w:val="footer"/>
    <w:basedOn w:val="1"/>
    <w:link w:val="20"/>
    <w:semiHidden/>
    <w:unhideWhenUsed/>
    <w:qFormat/>
    <w:uiPriority w:val="0"/>
    <w:pPr>
      <w:tabs>
        <w:tab w:val="center" w:pos="4153"/>
        <w:tab w:val="right" w:pos="8306"/>
      </w:tabs>
      <w:snapToGrid w:val="0"/>
      <w:jc w:val="left"/>
    </w:pPr>
    <w:rPr>
      <w:sz w:val="18"/>
      <w:szCs w:val="18"/>
    </w:rPr>
  </w:style>
  <w:style w:type="paragraph" w:styleId="7">
    <w:name w:val="header"/>
    <w:basedOn w:val="1"/>
    <w:link w:val="19"/>
    <w:semiHidden/>
    <w:unhideWhenUsed/>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semiHidden/>
    <w:unhideWhenUsed/>
    <w:qFormat/>
    <w:uiPriority w:val="0"/>
    <w:pPr>
      <w:tabs>
        <w:tab w:val="right" w:leader="dot" w:pos="14760"/>
      </w:tabs>
      <w:spacing w:line="700" w:lineRule="exact"/>
      <w:ind w:left="359" w:leftChars="171" w:right="332" w:rightChars="158"/>
    </w:pPr>
  </w:style>
  <w:style w:type="paragraph" w:styleId="9">
    <w:name w:val="annotation subject"/>
    <w:basedOn w:val="4"/>
    <w:next w:val="4"/>
    <w:link w:val="21"/>
    <w:semiHidden/>
    <w:unhideWhenUsed/>
    <w:qFormat/>
    <w:uiPriority w:val="0"/>
    <w:rPr>
      <w:b/>
      <w:bCs/>
    </w:rPr>
  </w:style>
  <w:style w:type="table" w:styleId="11">
    <w:name w:val="Table Grid"/>
    <w:basedOn w:val="10"/>
    <w:qFormat/>
    <w:uiPriority w:val="0"/>
    <w:rPr>
      <w:rFonts w:ascii="Calibri" w:hAnsi="Calibri"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3">
    <w:name w:val="page number"/>
    <w:basedOn w:val="12"/>
    <w:qFormat/>
    <w:uiPriority w:val="0"/>
  </w:style>
  <w:style w:type="character" w:styleId="14">
    <w:name w:val="FollowedHyperlink"/>
    <w:basedOn w:val="12"/>
    <w:semiHidden/>
    <w:unhideWhenUsed/>
    <w:qFormat/>
    <w:uiPriority w:val="99"/>
    <w:rPr>
      <w:color w:val="800080" w:themeColor="followedHyperlink"/>
      <w:u w:val="single"/>
    </w:rPr>
  </w:style>
  <w:style w:type="character" w:styleId="15">
    <w:name w:val="Hyperlink"/>
    <w:basedOn w:val="12"/>
    <w:semiHidden/>
    <w:unhideWhenUsed/>
    <w:qFormat/>
    <w:uiPriority w:val="0"/>
    <w:rPr>
      <w:color w:val="0000FF"/>
      <w:u w:val="single"/>
    </w:rPr>
  </w:style>
  <w:style w:type="character" w:styleId="16">
    <w:name w:val="annotation reference"/>
    <w:basedOn w:val="12"/>
    <w:semiHidden/>
    <w:unhideWhenUsed/>
    <w:qFormat/>
    <w:uiPriority w:val="0"/>
    <w:rPr>
      <w:sz w:val="21"/>
      <w:szCs w:val="21"/>
    </w:rPr>
  </w:style>
  <w:style w:type="character" w:customStyle="1" w:styleId="17">
    <w:name w:val="标题 1 Char"/>
    <w:basedOn w:val="12"/>
    <w:link w:val="3"/>
    <w:qFormat/>
    <w:uiPriority w:val="0"/>
    <w:rPr>
      <w:rFonts w:ascii="Calibri" w:hAnsi="Calibri" w:eastAsia="宋体" w:cs="宋体"/>
      <w:b/>
      <w:bCs/>
      <w:kern w:val="44"/>
      <w:sz w:val="44"/>
      <w:szCs w:val="44"/>
    </w:rPr>
  </w:style>
  <w:style w:type="character" w:customStyle="1" w:styleId="18">
    <w:name w:val="批注文字 Char"/>
    <w:basedOn w:val="12"/>
    <w:link w:val="4"/>
    <w:semiHidden/>
    <w:qFormat/>
    <w:uiPriority w:val="0"/>
    <w:rPr>
      <w:rFonts w:ascii="Calibri" w:hAnsi="Calibri" w:eastAsia="宋体" w:cs="Times New Roman"/>
    </w:rPr>
  </w:style>
  <w:style w:type="character" w:customStyle="1" w:styleId="19">
    <w:name w:val="页眉 Char"/>
    <w:basedOn w:val="12"/>
    <w:link w:val="7"/>
    <w:semiHidden/>
    <w:qFormat/>
    <w:uiPriority w:val="0"/>
    <w:rPr>
      <w:rFonts w:ascii="Calibri" w:hAnsi="Calibri" w:eastAsia="宋体" w:cs="Times New Roman"/>
      <w:sz w:val="18"/>
      <w:szCs w:val="18"/>
    </w:rPr>
  </w:style>
  <w:style w:type="character" w:customStyle="1" w:styleId="20">
    <w:name w:val="页脚 Char"/>
    <w:basedOn w:val="12"/>
    <w:link w:val="6"/>
    <w:semiHidden/>
    <w:qFormat/>
    <w:uiPriority w:val="0"/>
    <w:rPr>
      <w:rFonts w:ascii="Calibri" w:hAnsi="Calibri" w:eastAsia="宋体" w:cs="Times New Roman"/>
      <w:sz w:val="18"/>
      <w:szCs w:val="18"/>
    </w:rPr>
  </w:style>
  <w:style w:type="character" w:customStyle="1" w:styleId="21">
    <w:name w:val="批注主题 Char"/>
    <w:basedOn w:val="18"/>
    <w:link w:val="9"/>
    <w:semiHidden/>
    <w:qFormat/>
    <w:uiPriority w:val="0"/>
    <w:rPr>
      <w:b/>
      <w:bCs/>
    </w:rPr>
  </w:style>
  <w:style w:type="character" w:customStyle="1" w:styleId="22">
    <w:name w:val="批注框文本 Char"/>
    <w:basedOn w:val="12"/>
    <w:link w:val="5"/>
    <w:semiHidden/>
    <w:qFormat/>
    <w:uiPriority w:val="0"/>
    <w:rPr>
      <w:rFonts w:ascii="Calibri" w:hAnsi="Calibri" w:eastAsia="宋体" w:cs="Times New Roman"/>
      <w:sz w:val="18"/>
      <w:szCs w:val="18"/>
    </w:rPr>
  </w:style>
  <w:style w:type="paragraph" w:styleId="23">
    <w:name w:val="List Paragraph"/>
    <w:basedOn w:val="1"/>
    <w:qFormat/>
    <w:uiPriority w:val="0"/>
    <w:pPr>
      <w:ind w:firstLine="420" w:firstLineChars="200"/>
    </w:pPr>
    <w:rPr>
      <w:rFonts w:ascii="等线" w:hAnsi="等线" w:eastAsia="等线"/>
    </w:rPr>
  </w:style>
  <w:style w:type="paragraph" w:customStyle="1" w:styleId="24">
    <w:name w:val="列出段落1"/>
    <w:basedOn w:val="1"/>
    <w:qFormat/>
    <w:uiPriority w:val="0"/>
    <w:pPr>
      <w:ind w:firstLine="420" w:firstLineChars="200"/>
    </w:pPr>
  </w:style>
  <w:style w:type="character" w:customStyle="1" w:styleId="25">
    <w:name w:val="font21"/>
    <w:basedOn w:val="12"/>
    <w:qFormat/>
    <w:uiPriority w:val="0"/>
    <w:rPr>
      <w:rFonts w:hint="eastAsia" w:ascii="宋体" w:hAnsi="宋体" w:eastAsia="宋体" w:cs="宋体"/>
      <w:color w:val="000000"/>
      <w:sz w:val="18"/>
      <w:szCs w:val="18"/>
      <w:u w:val="none"/>
    </w:rPr>
  </w:style>
  <w:style w:type="character" w:customStyle="1" w:styleId="26">
    <w:name w:val="font71"/>
    <w:basedOn w:val="12"/>
    <w:qFormat/>
    <w:uiPriority w:val="0"/>
    <w:rPr>
      <w:rFonts w:hint="eastAsia" w:ascii="仿宋_GB2312" w:eastAsia="仿宋_GB2312" w:cs="仿宋_GB2312"/>
      <w:color w:val="000000"/>
      <w:sz w:val="18"/>
      <w:szCs w:val="18"/>
      <w:u w:val="none"/>
    </w:rPr>
  </w:style>
  <w:style w:type="character" w:customStyle="1" w:styleId="27">
    <w:name w:val="font31"/>
    <w:basedOn w:val="12"/>
    <w:qFormat/>
    <w:uiPriority w:val="0"/>
    <w:rPr>
      <w:rFonts w:hint="eastAsia" w:ascii="微软雅黑" w:hAnsi="微软雅黑" w:eastAsia="微软雅黑" w:cs="微软雅黑"/>
      <w:color w:val="000000"/>
      <w:sz w:val="16"/>
      <w:szCs w:val="16"/>
      <w:u w:val="none"/>
    </w:rPr>
  </w:style>
  <w:style w:type="character" w:customStyle="1" w:styleId="28">
    <w:name w:val="font41"/>
    <w:basedOn w:val="12"/>
    <w:qFormat/>
    <w:uiPriority w:val="0"/>
    <w:rPr>
      <w:rFonts w:hint="eastAsia" w:ascii="宋体" w:hAnsi="宋体" w:eastAsia="宋体" w:cs="宋体"/>
      <w:color w:val="000000"/>
      <w:sz w:val="16"/>
      <w:szCs w:val="16"/>
      <w:u w:val="none"/>
    </w:rPr>
  </w:style>
  <w:style w:type="character" w:customStyle="1" w:styleId="29">
    <w:name w:val="font11"/>
    <w:basedOn w:val="12"/>
    <w:qFormat/>
    <w:uiPriority w:val="0"/>
    <w:rPr>
      <w:rFonts w:hint="default" w:ascii="Calibri" w:hAnsi="Calibri" w:cs="Calibri"/>
      <w:color w:val="000000"/>
      <w:sz w:val="16"/>
      <w:szCs w:val="16"/>
      <w:u w:val="none"/>
    </w:rPr>
  </w:style>
  <w:style w:type="paragraph" w:customStyle="1" w:styleId="30">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20</Pages>
  <Words>2164</Words>
  <Characters>12338</Characters>
  <Lines>102</Lines>
  <Paragraphs>28</Paragraphs>
  <TotalTime>1</TotalTime>
  <ScaleCrop>false</ScaleCrop>
  <LinksUpToDate>false</LinksUpToDate>
  <CharactersWithSpaces>14474</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2020-06-22T07:20:00Z</dcterms:created>
  <dc:creator>Administrator</dc:creator>
  <cp:lastModifiedBy>Yang-Yan</cp:lastModifiedBy>
  <dcterms:modified xsi:type="dcterms:W3CDTF">2020-11-16T02:51:51Z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