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公共资源交易领域基层政务公开标准目录</w:t>
      </w:r>
    </w:p>
    <w:tbl>
      <w:tblPr>
        <w:tblStyle w:val="9"/>
        <w:tblW w:w="1539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0"/>
        <w:gridCol w:w="705"/>
        <w:gridCol w:w="1140"/>
        <w:gridCol w:w="3317"/>
        <w:gridCol w:w="2340"/>
        <w:gridCol w:w="1077"/>
        <w:gridCol w:w="961"/>
        <w:gridCol w:w="2122"/>
        <w:gridCol w:w="435"/>
        <w:gridCol w:w="690"/>
        <w:gridCol w:w="458"/>
        <w:gridCol w:w="868"/>
        <w:gridCol w:w="7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tblHeader/>
          <w:jc w:val="center"/>
        </w:trPr>
        <w:tc>
          <w:tcPr>
            <w:tcW w:w="5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黑体" w:cs="仿宋_GB2312"/>
                <w:color w:val="00000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黑体" w:cs="仿宋_GB2312"/>
                <w:kern w:val="21"/>
                <w:sz w:val="21"/>
                <w:szCs w:val="21"/>
              </w:rPr>
              <w:t>序号</w:t>
            </w:r>
          </w:p>
        </w:tc>
        <w:tc>
          <w:tcPr>
            <w:tcW w:w="18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黑体" w:cs="仿宋_GB2312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黑体" w:cs="仿宋_GB2312"/>
                <w:kern w:val="21"/>
                <w:sz w:val="21"/>
                <w:szCs w:val="21"/>
              </w:rPr>
              <w:t>公开事项</w:t>
            </w:r>
          </w:p>
        </w:tc>
        <w:tc>
          <w:tcPr>
            <w:tcW w:w="331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黑体" w:cs="仿宋_GB2312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黑体" w:cs="仿宋_GB2312"/>
                <w:kern w:val="21"/>
                <w:sz w:val="21"/>
                <w:szCs w:val="21"/>
              </w:rPr>
              <w:t>公开内容（要素）</w:t>
            </w:r>
          </w:p>
        </w:tc>
        <w:tc>
          <w:tcPr>
            <w:tcW w:w="23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黑体" w:cs="仿宋_GB2312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黑体" w:cs="仿宋_GB2312"/>
                <w:kern w:val="21"/>
                <w:sz w:val="21"/>
                <w:szCs w:val="21"/>
              </w:rPr>
              <w:t>公开依据</w:t>
            </w:r>
          </w:p>
        </w:tc>
        <w:tc>
          <w:tcPr>
            <w:tcW w:w="107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黑体" w:cs="仿宋_GB2312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黑体" w:cs="仿宋_GB2312"/>
                <w:kern w:val="21"/>
                <w:sz w:val="21"/>
                <w:szCs w:val="21"/>
              </w:rPr>
              <w:t>公开时限</w:t>
            </w:r>
          </w:p>
        </w:tc>
        <w:tc>
          <w:tcPr>
            <w:tcW w:w="96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黑体" w:cs="仿宋_GB2312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黑体" w:cs="仿宋_GB2312"/>
                <w:kern w:val="21"/>
                <w:sz w:val="21"/>
                <w:szCs w:val="21"/>
              </w:rPr>
              <w:t>公开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黑体" w:cs="仿宋_GB2312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黑体" w:cs="仿宋_GB2312"/>
                <w:kern w:val="21"/>
                <w:sz w:val="21"/>
                <w:szCs w:val="21"/>
              </w:rPr>
              <w:t>主体</w:t>
            </w:r>
          </w:p>
        </w:tc>
        <w:tc>
          <w:tcPr>
            <w:tcW w:w="212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黑体" w:cs="仿宋_GB2312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黑体" w:cs="仿宋_GB2312"/>
                <w:kern w:val="21"/>
                <w:sz w:val="21"/>
                <w:szCs w:val="21"/>
              </w:rPr>
              <w:t>公开渠道和载体</w:t>
            </w:r>
          </w:p>
        </w:tc>
        <w:tc>
          <w:tcPr>
            <w:tcW w:w="11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黑体" w:cs="仿宋_GB2312"/>
                <w:color w:val="00000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黑体" w:cs="仿宋_GB2312"/>
                <w:color w:val="000000"/>
                <w:kern w:val="21"/>
                <w:sz w:val="21"/>
                <w:szCs w:val="21"/>
              </w:rPr>
              <w:t>公开对象</w:t>
            </w:r>
          </w:p>
        </w:tc>
        <w:tc>
          <w:tcPr>
            <w:tcW w:w="13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黑体" w:cs="仿宋_GB2312"/>
                <w:color w:val="00000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黑体" w:cs="仿宋_GB2312"/>
                <w:color w:val="000000"/>
                <w:kern w:val="21"/>
                <w:sz w:val="21"/>
                <w:szCs w:val="21"/>
              </w:rPr>
              <w:t>公开方式</w:t>
            </w:r>
          </w:p>
        </w:tc>
        <w:tc>
          <w:tcPr>
            <w:tcW w:w="7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黑体" w:cs="仿宋_GB2312"/>
                <w:b w:val="0"/>
                <w:bCs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黑体" w:cs="仿宋_GB2312"/>
                <w:b w:val="0"/>
                <w:bCs w:val="0"/>
                <w:kern w:val="21"/>
                <w:sz w:val="21"/>
                <w:szCs w:val="21"/>
              </w:rPr>
              <w:t>公开层级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tblHeader/>
          <w:jc w:val="center"/>
        </w:trPr>
        <w:tc>
          <w:tcPr>
            <w:tcW w:w="5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宋体" w:hAnsi="宋体" w:eastAsia="黑体" w:cs="仿宋_GB2312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黑体" w:cs="仿宋_GB2312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黑体" w:cs="仿宋_GB2312"/>
                <w:kern w:val="21"/>
                <w:sz w:val="21"/>
                <w:szCs w:val="21"/>
              </w:rPr>
              <w:t>一级事项</w:t>
            </w:r>
          </w:p>
        </w:tc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黑体" w:cs="仿宋_GB2312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黑体" w:cs="仿宋_GB2312"/>
                <w:kern w:val="21"/>
                <w:sz w:val="21"/>
                <w:szCs w:val="21"/>
              </w:rPr>
              <w:t>二级事项</w:t>
            </w:r>
          </w:p>
        </w:tc>
        <w:tc>
          <w:tcPr>
            <w:tcW w:w="331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宋体" w:hAnsi="宋体" w:eastAsia="黑体" w:cs="仿宋_GB2312"/>
                <w:kern w:val="21"/>
                <w:sz w:val="21"/>
                <w:szCs w:val="21"/>
              </w:rPr>
            </w:pPr>
          </w:p>
        </w:tc>
        <w:tc>
          <w:tcPr>
            <w:tcW w:w="23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宋体" w:hAnsi="宋体" w:eastAsia="黑体" w:cs="仿宋_GB2312"/>
                <w:kern w:val="21"/>
                <w:sz w:val="21"/>
                <w:szCs w:val="21"/>
              </w:rPr>
            </w:pPr>
          </w:p>
        </w:tc>
        <w:tc>
          <w:tcPr>
            <w:tcW w:w="107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宋体" w:hAnsi="宋体" w:eastAsia="黑体" w:cs="仿宋_GB2312"/>
                <w:kern w:val="21"/>
                <w:sz w:val="21"/>
                <w:szCs w:val="21"/>
              </w:rPr>
            </w:pPr>
          </w:p>
        </w:tc>
        <w:tc>
          <w:tcPr>
            <w:tcW w:w="96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宋体" w:hAnsi="宋体" w:eastAsia="黑体" w:cs="仿宋_GB2312"/>
                <w:kern w:val="21"/>
                <w:sz w:val="21"/>
                <w:szCs w:val="21"/>
              </w:rPr>
            </w:pPr>
          </w:p>
        </w:tc>
        <w:tc>
          <w:tcPr>
            <w:tcW w:w="212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宋体" w:hAnsi="宋体" w:eastAsia="黑体" w:cs="仿宋_GB2312"/>
                <w:kern w:val="21"/>
                <w:sz w:val="21"/>
                <w:szCs w:val="21"/>
              </w:rPr>
            </w:pPr>
          </w:p>
        </w:tc>
        <w:tc>
          <w:tcPr>
            <w:tcW w:w="4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黑体" w:cs="仿宋_GB2312"/>
                <w:color w:val="00000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黑体" w:cs="仿宋_GB2312"/>
                <w:color w:val="000000"/>
                <w:kern w:val="21"/>
                <w:sz w:val="21"/>
                <w:szCs w:val="21"/>
              </w:rPr>
              <w:t>全社会</w:t>
            </w: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黑体" w:cs="仿宋_GB2312"/>
                <w:color w:val="00000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黑体" w:cs="仿宋_GB2312"/>
                <w:color w:val="000000"/>
                <w:kern w:val="21"/>
                <w:sz w:val="21"/>
                <w:szCs w:val="21"/>
              </w:rPr>
              <w:t>特定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黑体" w:cs="仿宋_GB2312"/>
                <w:color w:val="00000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黑体" w:cs="仿宋_GB2312"/>
                <w:color w:val="000000"/>
                <w:kern w:val="21"/>
                <w:sz w:val="21"/>
                <w:szCs w:val="21"/>
              </w:rPr>
              <w:t>群众</w:t>
            </w:r>
          </w:p>
        </w:tc>
        <w:tc>
          <w:tcPr>
            <w:tcW w:w="4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黑体" w:cs="仿宋_GB2312"/>
                <w:color w:val="00000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黑体" w:cs="仿宋_GB2312"/>
                <w:color w:val="000000"/>
                <w:kern w:val="21"/>
                <w:sz w:val="21"/>
                <w:szCs w:val="21"/>
              </w:rPr>
              <w:t>主动</w:t>
            </w:r>
          </w:p>
        </w:tc>
        <w:tc>
          <w:tcPr>
            <w:tcW w:w="8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黑体" w:cs="仿宋_GB2312"/>
                <w:color w:val="00000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黑体" w:cs="仿宋_GB2312"/>
                <w:color w:val="000000"/>
                <w:kern w:val="21"/>
                <w:sz w:val="21"/>
                <w:szCs w:val="21"/>
              </w:rPr>
              <w:t>依申请公开</w:t>
            </w:r>
          </w:p>
        </w:tc>
        <w:tc>
          <w:tcPr>
            <w:tcW w:w="7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黑体" w:cs="仿宋_GB2312"/>
                <w:b w:val="0"/>
                <w:bCs w:val="0"/>
                <w:kern w:val="21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黑体" w:cs="仿宋_GB2312"/>
                <w:b w:val="0"/>
                <w:bCs w:val="0"/>
                <w:kern w:val="21"/>
                <w:sz w:val="21"/>
                <w:szCs w:val="21"/>
                <w:lang w:eastAsia="zh-CN"/>
              </w:rPr>
              <w:t>乡级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00" w:hRule="atLeast"/>
          <w:jc w:val="center"/>
        </w:trPr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kern w:val="21"/>
                <w:sz w:val="21"/>
                <w:szCs w:val="21"/>
              </w:rPr>
            </w:pPr>
            <w:bookmarkStart w:id="0" w:name="_GoBack" w:colFirst="1" w:colLast="1"/>
            <w:r>
              <w:rPr>
                <w:rFonts w:hint="eastAsia" w:ascii="宋体" w:hAnsi="宋体" w:eastAsia="仿宋_GB2312" w:cs="仿宋_GB2312"/>
                <w:kern w:val="21"/>
                <w:sz w:val="21"/>
                <w:szCs w:val="21"/>
              </w:rPr>
              <w:t>1</w:t>
            </w:r>
          </w:p>
        </w:tc>
        <w:tc>
          <w:tcPr>
            <w:tcW w:w="70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kern w:val="21"/>
                <w:sz w:val="21"/>
                <w:szCs w:val="21"/>
              </w:rPr>
              <w:t>政府采购信息</w:t>
            </w:r>
          </w:p>
        </w:tc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kern w:val="21"/>
                <w:sz w:val="21"/>
                <w:szCs w:val="21"/>
              </w:rPr>
              <w:t>招标公告</w:t>
            </w:r>
          </w:p>
        </w:tc>
        <w:tc>
          <w:tcPr>
            <w:tcW w:w="33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kern w:val="21"/>
                <w:sz w:val="21"/>
                <w:szCs w:val="21"/>
              </w:rPr>
              <w:t>采购人及其委托的采购代理机构的名称、地址和联系方法；采购项目的名称、预算金额，设定最高限价的，还应当公开最高限价；采购人的采购需求；投标人的资格要求；获取招标文件的时间、地点、方式及招标文件售价；公告期限；投标截止时间、开标时间及地点；采购项目联系人姓名和电话</w:t>
            </w:r>
          </w:p>
        </w:tc>
        <w:tc>
          <w:tcPr>
            <w:tcW w:w="23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kern w:val="21"/>
                <w:sz w:val="21"/>
                <w:szCs w:val="21"/>
              </w:rPr>
              <w:t>《国务院办公厅关于推进公共资源配置领域政府信息公开的意见》《政府采购货物和服务招标投标管理办法》《财政部关于做好政府采购信息公开工作的通知》</w:t>
            </w:r>
          </w:p>
        </w:tc>
        <w:tc>
          <w:tcPr>
            <w:tcW w:w="10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kern w:val="21"/>
                <w:sz w:val="21"/>
                <w:szCs w:val="21"/>
              </w:rPr>
              <w:t>及时公开，公告期限为5个工作日</w:t>
            </w:r>
          </w:p>
        </w:tc>
        <w:tc>
          <w:tcPr>
            <w:tcW w:w="9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仿宋_GB2312" w:cs="仿宋_GB2312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kern w:val="21"/>
                <w:sz w:val="21"/>
                <w:szCs w:val="21"/>
              </w:rPr>
              <w:t>采购人或者其委托的采购代理机构</w:t>
            </w:r>
          </w:p>
        </w:tc>
        <w:tc>
          <w:tcPr>
            <w:tcW w:w="21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仿宋_GB2312" w:cs="仿宋_GB2312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kern w:val="21"/>
                <w:sz w:val="21"/>
                <w:szCs w:val="21"/>
              </w:rPr>
              <w:t>■中国政府采购网及其地方分网</w:t>
            </w:r>
            <w:r>
              <w:rPr>
                <w:rFonts w:hint="eastAsia" w:ascii="宋体" w:hAnsi="宋体" w:eastAsia="仿宋_GB2312" w:cs="仿宋_GB2312"/>
                <w:kern w:val="21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eastAsia="仿宋_GB2312" w:cs="仿宋_GB2312"/>
                <w:kern w:val="21"/>
                <w:sz w:val="21"/>
                <w:szCs w:val="21"/>
              </w:rPr>
              <w:t>■省级（含计划单列市）财政部门指定的媒体</w:t>
            </w:r>
            <w:r>
              <w:rPr>
                <w:rFonts w:hint="eastAsia" w:ascii="宋体" w:hAnsi="宋体" w:eastAsia="仿宋_GB2312" w:cs="仿宋_GB2312"/>
                <w:kern w:val="21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eastAsia="仿宋_GB2312" w:cs="仿宋_GB2312"/>
                <w:kern w:val="21"/>
                <w:sz w:val="21"/>
                <w:szCs w:val="21"/>
              </w:rPr>
              <w:t>■公共资源交易平台</w:t>
            </w:r>
          </w:p>
        </w:tc>
        <w:tc>
          <w:tcPr>
            <w:tcW w:w="4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21"/>
                <w:sz w:val="21"/>
                <w:szCs w:val="21"/>
              </w:rPr>
              <w:t>√</w:t>
            </w: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kern w:val="21"/>
                <w:sz w:val="21"/>
                <w:szCs w:val="21"/>
              </w:rPr>
            </w:pPr>
          </w:p>
        </w:tc>
        <w:tc>
          <w:tcPr>
            <w:tcW w:w="4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21"/>
                <w:sz w:val="21"/>
                <w:szCs w:val="21"/>
              </w:rPr>
              <w:t>√</w:t>
            </w:r>
          </w:p>
        </w:tc>
        <w:tc>
          <w:tcPr>
            <w:tcW w:w="8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kern w:val="21"/>
                <w:sz w:val="21"/>
                <w:szCs w:val="21"/>
              </w:rPr>
            </w:pPr>
          </w:p>
        </w:tc>
        <w:tc>
          <w:tcPr>
            <w:tcW w:w="7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21"/>
                <w:sz w:val="21"/>
                <w:szCs w:val="21"/>
              </w:rPr>
              <w:t>√</w:t>
            </w:r>
          </w:p>
        </w:tc>
      </w:tr>
      <w:bookmarkEnd w:id="0"/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80" w:hRule="atLeast"/>
          <w:jc w:val="center"/>
        </w:trPr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kern w:val="21"/>
                <w:sz w:val="21"/>
                <w:szCs w:val="21"/>
              </w:rPr>
              <w:t>2</w:t>
            </w:r>
          </w:p>
        </w:tc>
        <w:tc>
          <w:tcPr>
            <w:tcW w:w="70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kern w:val="21"/>
                <w:sz w:val="21"/>
                <w:szCs w:val="21"/>
              </w:rPr>
            </w:pPr>
          </w:p>
        </w:tc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kern w:val="21"/>
                <w:sz w:val="21"/>
                <w:szCs w:val="21"/>
              </w:rPr>
              <w:t>中标、成交结果</w:t>
            </w:r>
          </w:p>
        </w:tc>
        <w:tc>
          <w:tcPr>
            <w:tcW w:w="33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kern w:val="21"/>
                <w:sz w:val="21"/>
                <w:szCs w:val="21"/>
              </w:rPr>
              <w:t>采购人和采购代理机构名称、地址、联系方式；项目名称和项目编号；中标或者成交供应商名称、地址和中标或者成交金额；主要中标或者成交标的的名称、规格型号、数量、单价、服务要求或者</w:t>
            </w:r>
            <w:r>
              <w:rPr>
                <w:rFonts w:hint="eastAsia" w:ascii="宋体" w:hAnsi="宋体" w:eastAsia="仿宋_GB2312" w:cs="仿宋_GB2312"/>
                <w:kern w:val="21"/>
                <w:sz w:val="21"/>
                <w:szCs w:val="21"/>
                <w:lang w:eastAsia="zh-CN"/>
              </w:rPr>
              <w:t>中</w:t>
            </w:r>
            <w:r>
              <w:rPr>
                <w:rFonts w:hint="eastAsia" w:ascii="宋体" w:hAnsi="宋体" w:eastAsia="仿宋_GB2312" w:cs="仿宋_GB2312"/>
                <w:kern w:val="21"/>
                <w:sz w:val="21"/>
                <w:szCs w:val="21"/>
              </w:rPr>
              <w:t>标的基本概况；评审专家名单。协议供货、定点采购项目还应当公告入围价格、价格调整规则和优惠条件。采用书面推荐供应商参加采购活动的，还应当公告采购人和评审专家的推荐意见</w:t>
            </w:r>
          </w:p>
        </w:tc>
        <w:tc>
          <w:tcPr>
            <w:tcW w:w="23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kern w:val="21"/>
                <w:sz w:val="21"/>
                <w:szCs w:val="21"/>
              </w:rPr>
              <w:t>《国务院办公厅关于推进公共资源配置领域政府信息公开的意见》《财政部关于做好政府采购信息公开工作的通知》</w:t>
            </w:r>
          </w:p>
        </w:tc>
        <w:tc>
          <w:tcPr>
            <w:tcW w:w="10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kern w:val="21"/>
                <w:sz w:val="21"/>
                <w:szCs w:val="21"/>
              </w:rPr>
              <w:t>自中标、成交供应商确定之日起2个工作日内公告，公告期限为1个工作日</w:t>
            </w:r>
          </w:p>
        </w:tc>
        <w:tc>
          <w:tcPr>
            <w:tcW w:w="9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仿宋_GB2312" w:cs="仿宋_GB2312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kern w:val="21"/>
                <w:sz w:val="21"/>
                <w:szCs w:val="21"/>
              </w:rPr>
              <w:t>采购人或者其委托的采购代理机构</w:t>
            </w:r>
          </w:p>
        </w:tc>
        <w:tc>
          <w:tcPr>
            <w:tcW w:w="2122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仿宋_GB2312" w:cs="仿宋_GB2312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kern w:val="21"/>
                <w:sz w:val="21"/>
                <w:szCs w:val="21"/>
              </w:rPr>
              <w:t>■中国政府采购网及其省级分网</w:t>
            </w:r>
            <w:r>
              <w:rPr>
                <w:rFonts w:hint="eastAsia" w:ascii="宋体" w:hAnsi="宋体" w:eastAsia="仿宋_GB2312" w:cs="仿宋_GB2312"/>
                <w:kern w:val="21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eastAsia="仿宋_GB2312" w:cs="仿宋_GB2312"/>
                <w:kern w:val="21"/>
                <w:sz w:val="21"/>
                <w:szCs w:val="21"/>
              </w:rPr>
              <w:t>■省级（含计划单列市）财政部门指定的媒体</w:t>
            </w:r>
            <w:r>
              <w:rPr>
                <w:rFonts w:hint="eastAsia" w:ascii="宋体" w:hAnsi="宋体" w:eastAsia="仿宋_GB2312" w:cs="仿宋_GB2312"/>
                <w:kern w:val="21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eastAsia="仿宋_GB2312" w:cs="仿宋_GB2312"/>
                <w:kern w:val="21"/>
                <w:sz w:val="21"/>
                <w:szCs w:val="21"/>
              </w:rPr>
              <w:t>■公共资源交易平台</w:t>
            </w:r>
          </w:p>
        </w:tc>
        <w:tc>
          <w:tcPr>
            <w:tcW w:w="4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21"/>
                <w:sz w:val="21"/>
                <w:szCs w:val="21"/>
              </w:rPr>
              <w:t>√</w:t>
            </w: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kern w:val="21"/>
                <w:sz w:val="21"/>
                <w:szCs w:val="21"/>
              </w:rPr>
            </w:pPr>
          </w:p>
        </w:tc>
        <w:tc>
          <w:tcPr>
            <w:tcW w:w="4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21"/>
                <w:sz w:val="21"/>
                <w:szCs w:val="21"/>
              </w:rPr>
              <w:t>√</w:t>
            </w:r>
          </w:p>
        </w:tc>
        <w:tc>
          <w:tcPr>
            <w:tcW w:w="8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kern w:val="21"/>
                <w:sz w:val="21"/>
                <w:szCs w:val="21"/>
              </w:rPr>
            </w:pPr>
          </w:p>
        </w:tc>
        <w:tc>
          <w:tcPr>
            <w:tcW w:w="7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21"/>
                <w:sz w:val="21"/>
                <w:szCs w:val="21"/>
              </w:rPr>
              <w:t>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kern w:val="21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仿宋_GB2312" w:cs="仿宋_GB2312"/>
                <w:kern w:val="21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705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kern w:val="21"/>
                <w:sz w:val="21"/>
                <w:szCs w:val="21"/>
              </w:rPr>
              <w:t>政府采购信息</w:t>
            </w:r>
          </w:p>
        </w:tc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kern w:val="21"/>
                <w:sz w:val="21"/>
                <w:szCs w:val="21"/>
              </w:rPr>
              <w:t>采购合同</w:t>
            </w:r>
          </w:p>
        </w:tc>
        <w:tc>
          <w:tcPr>
            <w:tcW w:w="33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000000"/>
                <w:kern w:val="21"/>
                <w:sz w:val="21"/>
                <w:szCs w:val="21"/>
              </w:rPr>
              <w:t>·</w:t>
            </w:r>
            <w:r>
              <w:rPr>
                <w:rFonts w:hint="eastAsia" w:ascii="宋体" w:hAnsi="宋体" w:eastAsia="仿宋_GB2312" w:cs="仿宋_GB2312"/>
                <w:kern w:val="21"/>
                <w:sz w:val="21"/>
                <w:szCs w:val="21"/>
              </w:rPr>
              <w:t>采购人和采购代理机构名称、地址、联系方式；采购项目名称、编号，合同编号；供应商名称；合同内容。</w:t>
            </w:r>
            <w:r>
              <w:rPr>
                <w:rFonts w:hint="eastAsia" w:ascii="宋体" w:hAnsi="宋体" w:eastAsia="仿宋_GB2312" w:cs="仿宋_GB2312"/>
                <w:kern w:val="21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eastAsia="仿宋_GB2312" w:cs="仿宋_GB2312"/>
                <w:color w:val="000000"/>
                <w:kern w:val="21"/>
                <w:sz w:val="21"/>
                <w:szCs w:val="21"/>
              </w:rPr>
              <w:t>·</w:t>
            </w:r>
            <w:r>
              <w:rPr>
                <w:rFonts w:hint="eastAsia" w:ascii="宋体" w:hAnsi="宋体" w:eastAsia="仿宋_GB2312" w:cs="仿宋_GB2312"/>
                <w:kern w:val="21"/>
                <w:sz w:val="21"/>
                <w:szCs w:val="21"/>
              </w:rPr>
              <w:t>政府采购合同中涉及国家秘密、商业秘密的部分可以不公告，但其他内容应当公告。合同标的名称、规格型号、单价及合同金额等内容不得作为商业秘密。合同中涉及个人隐私的姓名、联系方式等内容，除征得权利人同意外，不得对外公告。批量集中采购项目应当公告框架协议</w:t>
            </w:r>
          </w:p>
        </w:tc>
        <w:tc>
          <w:tcPr>
            <w:tcW w:w="23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kern w:val="21"/>
                <w:sz w:val="21"/>
                <w:szCs w:val="21"/>
              </w:rPr>
              <w:t>《国务院办公厅关于推进公共资源配置领域政府信息公开的意见》《财政部关于做好政府采购信息公开工作的通知》</w:t>
            </w:r>
          </w:p>
        </w:tc>
        <w:tc>
          <w:tcPr>
            <w:tcW w:w="10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kern w:val="21"/>
                <w:sz w:val="21"/>
                <w:szCs w:val="21"/>
              </w:rPr>
              <w:t>合同签订之日起2个工作日内</w:t>
            </w:r>
          </w:p>
        </w:tc>
        <w:tc>
          <w:tcPr>
            <w:tcW w:w="9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仿宋_GB2312" w:cs="仿宋_GB2312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kern w:val="21"/>
                <w:sz w:val="21"/>
                <w:szCs w:val="21"/>
              </w:rPr>
              <w:t>采购人或者其委托的采购代理机构</w:t>
            </w:r>
          </w:p>
        </w:tc>
        <w:tc>
          <w:tcPr>
            <w:tcW w:w="212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仿宋_GB2312" w:cs="仿宋_GB2312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kern w:val="21"/>
                <w:sz w:val="21"/>
                <w:szCs w:val="21"/>
              </w:rPr>
              <w:t>■中国政府采购网及其地方分网</w:t>
            </w:r>
            <w:r>
              <w:rPr>
                <w:rFonts w:hint="eastAsia" w:ascii="宋体" w:hAnsi="宋体" w:eastAsia="仿宋_GB2312" w:cs="仿宋_GB2312"/>
                <w:kern w:val="21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eastAsia="仿宋_GB2312" w:cs="仿宋_GB2312"/>
                <w:kern w:val="21"/>
                <w:sz w:val="21"/>
                <w:szCs w:val="21"/>
              </w:rPr>
              <w:t>■省级（含计划单列市）财政部门指定的媒体</w:t>
            </w:r>
            <w:r>
              <w:rPr>
                <w:rFonts w:hint="eastAsia" w:ascii="宋体" w:hAnsi="宋体" w:eastAsia="仿宋_GB2312" w:cs="仿宋_GB2312"/>
                <w:kern w:val="21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eastAsia="仿宋_GB2312" w:cs="仿宋_GB2312"/>
                <w:kern w:val="21"/>
                <w:sz w:val="21"/>
                <w:szCs w:val="21"/>
              </w:rPr>
              <w:t>■公共资源交易平台</w:t>
            </w:r>
          </w:p>
        </w:tc>
        <w:tc>
          <w:tcPr>
            <w:tcW w:w="4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21"/>
                <w:sz w:val="21"/>
                <w:szCs w:val="21"/>
              </w:rPr>
              <w:t>√</w:t>
            </w: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kern w:val="21"/>
                <w:sz w:val="21"/>
                <w:szCs w:val="21"/>
              </w:rPr>
            </w:pPr>
          </w:p>
        </w:tc>
        <w:tc>
          <w:tcPr>
            <w:tcW w:w="4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21"/>
                <w:sz w:val="21"/>
                <w:szCs w:val="21"/>
              </w:rPr>
              <w:t>√</w:t>
            </w:r>
          </w:p>
        </w:tc>
        <w:tc>
          <w:tcPr>
            <w:tcW w:w="8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kern w:val="21"/>
                <w:sz w:val="21"/>
                <w:szCs w:val="21"/>
              </w:rPr>
            </w:pPr>
          </w:p>
        </w:tc>
        <w:tc>
          <w:tcPr>
            <w:tcW w:w="7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21"/>
                <w:sz w:val="21"/>
                <w:szCs w:val="21"/>
              </w:rPr>
              <w:t>√</w:t>
            </w:r>
          </w:p>
        </w:tc>
      </w:tr>
    </w:tbl>
    <w:p>
      <w:pPr>
        <w:jc w:val="center"/>
        <w:rPr>
          <w:rFonts w:hint="eastAsia" w:ascii="宋体" w:hAnsi="宋体" w:eastAsia="仿宋_GB2312" w:cs="仿宋_GB2312"/>
          <w:kern w:val="32"/>
          <w:sz w:val="32"/>
          <w:szCs w:val="32"/>
        </w:rPr>
      </w:pPr>
    </w:p>
    <w:sectPr>
      <w:headerReference r:id="rId3" w:type="default"/>
      <w:footerReference r:id="rId4" w:type="default"/>
      <w:pgSz w:w="16838" w:h="11906" w:orient="landscape"/>
      <w:pgMar w:top="2098" w:right="1474" w:bottom="1984" w:left="1587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_x0000_s4097" o:spid="_x0000_s4097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>
                <w:pPr>
                  <w:pStyle w:val="5"/>
                  <w:rPr>
                    <w:rFonts w:hint="eastAsia" w:ascii="宋体" w:hAnsi="宋体" w:eastAsia="宋体" w:cs="宋体"/>
                    <w:sz w:val="28"/>
                    <w:szCs w:val="28"/>
                    <w:lang w:eastAsia="zh-CN"/>
                  </w:rPr>
                </w:pPr>
                <w:r>
                  <w:rPr>
                    <w:rFonts w:hint="eastAsia" w:ascii="宋体" w:hAnsi="宋体" w:eastAsia="宋体" w:cs="宋体"/>
                    <w:sz w:val="28"/>
                    <w:szCs w:val="28"/>
                    <w:lang w:eastAsia="zh-CN"/>
                  </w:rPr>
                  <w:fldChar w:fldCharType="begin"/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  <w:lang w:eastAsia="zh-CN"/>
                  </w:rPr>
                  <w:instrText xml:space="preserve"> PAGE  \* MERGEFORMAT </w:instrText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  <w:lang w:eastAsia="zh-CN"/>
                  </w:rPr>
                  <w:fldChar w:fldCharType="separate"/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  <w:lang w:eastAsia="zh-CN"/>
                  </w:rPr>
                  <w:t>1</w:t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  <w:lang w:eastAsia="zh-CN"/>
                  </w:rPr>
                  <w:fldChar w:fldCharType="end"/>
                </w:r>
              </w:p>
            </w:txbxContent>
          </v:textbox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0167CD"/>
    <w:rsid w:val="000167CD"/>
    <w:rsid w:val="002D416D"/>
    <w:rsid w:val="003E07DF"/>
    <w:rsid w:val="004A644A"/>
    <w:rsid w:val="005434BB"/>
    <w:rsid w:val="005E6365"/>
    <w:rsid w:val="00752324"/>
    <w:rsid w:val="0082638D"/>
    <w:rsid w:val="00891AD7"/>
    <w:rsid w:val="00B811FB"/>
    <w:rsid w:val="00D043ED"/>
    <w:rsid w:val="00F2583F"/>
    <w:rsid w:val="00F80F58"/>
    <w:rsid w:val="00FB3AB3"/>
    <w:rsid w:val="015845E7"/>
    <w:rsid w:val="062375C8"/>
    <w:rsid w:val="06A16CA9"/>
    <w:rsid w:val="09A30BDB"/>
    <w:rsid w:val="113352D7"/>
    <w:rsid w:val="11CA3AA0"/>
    <w:rsid w:val="15480545"/>
    <w:rsid w:val="19970664"/>
    <w:rsid w:val="1B746631"/>
    <w:rsid w:val="1C091E19"/>
    <w:rsid w:val="268A2F78"/>
    <w:rsid w:val="2A442D1B"/>
    <w:rsid w:val="2F045933"/>
    <w:rsid w:val="31A57C71"/>
    <w:rsid w:val="31D77CBA"/>
    <w:rsid w:val="33B67AD9"/>
    <w:rsid w:val="390A6AA5"/>
    <w:rsid w:val="3E084E24"/>
    <w:rsid w:val="3E805E25"/>
    <w:rsid w:val="42386F51"/>
    <w:rsid w:val="43AE0567"/>
    <w:rsid w:val="44095DB2"/>
    <w:rsid w:val="4CF3746F"/>
    <w:rsid w:val="50E40AA5"/>
    <w:rsid w:val="51415BC7"/>
    <w:rsid w:val="51782107"/>
    <w:rsid w:val="554771E0"/>
    <w:rsid w:val="55A5669D"/>
    <w:rsid w:val="55ED4A2E"/>
    <w:rsid w:val="58E40079"/>
    <w:rsid w:val="5A647B43"/>
    <w:rsid w:val="5B2E3B47"/>
    <w:rsid w:val="5BDC7653"/>
    <w:rsid w:val="5C7B29E3"/>
    <w:rsid w:val="5CF511CF"/>
    <w:rsid w:val="605D1612"/>
    <w:rsid w:val="614544B4"/>
    <w:rsid w:val="61F77880"/>
    <w:rsid w:val="62E145C3"/>
    <w:rsid w:val="6B85442A"/>
    <w:rsid w:val="6C697231"/>
    <w:rsid w:val="761D5E3E"/>
    <w:rsid w:val="77CE1EE6"/>
    <w:rsid w:val="7B397873"/>
    <w:rsid w:val="7B8965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0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0" w:name="annotation text"/>
    <w:lsdException w:qFormat="1" w:uiPriority="0" w:name="header"/>
    <w:lsdException w:qFormat="1" w:uiPriority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0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0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0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5"/>
    <w:qFormat/>
    <w:uiPriority w:val="0"/>
    <w:pPr>
      <w:keepNext/>
      <w:keepLines/>
      <w:spacing w:before="340" w:after="330" w:line="576" w:lineRule="auto"/>
      <w:outlineLvl w:val="0"/>
    </w:pPr>
    <w:rPr>
      <w:rFonts w:cs="宋体"/>
      <w:b/>
      <w:bCs/>
      <w:kern w:val="44"/>
      <w:sz w:val="44"/>
      <w:szCs w:val="44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link w:val="16"/>
    <w:semiHidden/>
    <w:unhideWhenUsed/>
    <w:qFormat/>
    <w:uiPriority w:val="0"/>
    <w:pPr>
      <w:jc w:val="left"/>
    </w:pPr>
  </w:style>
  <w:style w:type="paragraph" w:styleId="4">
    <w:name w:val="Balloon Text"/>
    <w:basedOn w:val="1"/>
    <w:link w:val="20"/>
    <w:semiHidden/>
    <w:unhideWhenUsed/>
    <w:qFormat/>
    <w:uiPriority w:val="0"/>
    <w:rPr>
      <w:sz w:val="18"/>
      <w:szCs w:val="18"/>
    </w:rPr>
  </w:style>
  <w:style w:type="paragraph" w:styleId="5">
    <w:name w:val="footer"/>
    <w:basedOn w:val="1"/>
    <w:link w:val="18"/>
    <w:semiHidden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7"/>
    <w:semiHidden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toc 1"/>
    <w:basedOn w:val="1"/>
    <w:next w:val="1"/>
    <w:semiHidden/>
    <w:unhideWhenUsed/>
    <w:qFormat/>
    <w:uiPriority w:val="0"/>
    <w:pPr>
      <w:tabs>
        <w:tab w:val="right" w:leader="dot" w:pos="14760"/>
      </w:tabs>
      <w:spacing w:line="700" w:lineRule="exact"/>
      <w:ind w:left="359" w:leftChars="171" w:right="332" w:rightChars="158"/>
    </w:pPr>
  </w:style>
  <w:style w:type="paragraph" w:styleId="8">
    <w:name w:val="annotation subject"/>
    <w:basedOn w:val="3"/>
    <w:next w:val="3"/>
    <w:link w:val="19"/>
    <w:semiHidden/>
    <w:unhideWhenUsed/>
    <w:qFormat/>
    <w:uiPriority w:val="0"/>
    <w:rPr>
      <w:b/>
      <w:bCs/>
    </w:rPr>
  </w:style>
  <w:style w:type="table" w:styleId="10">
    <w:name w:val="Table Grid"/>
    <w:basedOn w:val="9"/>
    <w:qFormat/>
    <w:uiPriority w:val="0"/>
    <w:rPr>
      <w:rFonts w:ascii="Calibri" w:hAnsi="Calibri" w:eastAsia="宋体" w:cs="Times New Roman"/>
      <w:kern w:val="0"/>
      <w:sz w:val="20"/>
      <w:szCs w:val="20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2">
    <w:name w:val="FollowedHyperlink"/>
    <w:basedOn w:val="11"/>
    <w:semiHidden/>
    <w:unhideWhenUsed/>
    <w:qFormat/>
    <w:uiPriority w:val="99"/>
    <w:rPr>
      <w:color w:val="800080" w:themeColor="followedHyperlink"/>
      <w:u w:val="single"/>
    </w:rPr>
  </w:style>
  <w:style w:type="character" w:styleId="13">
    <w:name w:val="Hyperlink"/>
    <w:basedOn w:val="11"/>
    <w:semiHidden/>
    <w:unhideWhenUsed/>
    <w:qFormat/>
    <w:uiPriority w:val="0"/>
    <w:rPr>
      <w:color w:val="0000FF"/>
      <w:u w:val="single"/>
    </w:rPr>
  </w:style>
  <w:style w:type="character" w:styleId="14">
    <w:name w:val="annotation reference"/>
    <w:basedOn w:val="11"/>
    <w:semiHidden/>
    <w:unhideWhenUsed/>
    <w:qFormat/>
    <w:uiPriority w:val="0"/>
    <w:rPr>
      <w:sz w:val="21"/>
      <w:szCs w:val="21"/>
    </w:rPr>
  </w:style>
  <w:style w:type="character" w:customStyle="1" w:styleId="15">
    <w:name w:val="标题 1 Char"/>
    <w:basedOn w:val="11"/>
    <w:link w:val="2"/>
    <w:qFormat/>
    <w:uiPriority w:val="0"/>
    <w:rPr>
      <w:rFonts w:ascii="Calibri" w:hAnsi="Calibri" w:eastAsia="宋体" w:cs="宋体"/>
      <w:b/>
      <w:bCs/>
      <w:kern w:val="44"/>
      <w:sz w:val="44"/>
      <w:szCs w:val="44"/>
    </w:rPr>
  </w:style>
  <w:style w:type="character" w:customStyle="1" w:styleId="16">
    <w:name w:val="批注文字 Char"/>
    <w:basedOn w:val="11"/>
    <w:link w:val="3"/>
    <w:semiHidden/>
    <w:qFormat/>
    <w:uiPriority w:val="0"/>
    <w:rPr>
      <w:rFonts w:ascii="Calibri" w:hAnsi="Calibri" w:eastAsia="宋体" w:cs="Times New Roman"/>
    </w:rPr>
  </w:style>
  <w:style w:type="character" w:customStyle="1" w:styleId="17">
    <w:name w:val="页眉 Char"/>
    <w:basedOn w:val="11"/>
    <w:link w:val="6"/>
    <w:semiHidden/>
    <w:qFormat/>
    <w:uiPriority w:val="0"/>
    <w:rPr>
      <w:rFonts w:ascii="Calibri" w:hAnsi="Calibri" w:eastAsia="宋体" w:cs="Times New Roman"/>
      <w:sz w:val="18"/>
      <w:szCs w:val="18"/>
    </w:rPr>
  </w:style>
  <w:style w:type="character" w:customStyle="1" w:styleId="18">
    <w:name w:val="页脚 Char"/>
    <w:basedOn w:val="11"/>
    <w:link w:val="5"/>
    <w:semiHidden/>
    <w:qFormat/>
    <w:uiPriority w:val="0"/>
    <w:rPr>
      <w:rFonts w:ascii="Calibri" w:hAnsi="Calibri" w:eastAsia="宋体" w:cs="Times New Roman"/>
      <w:sz w:val="18"/>
      <w:szCs w:val="18"/>
    </w:rPr>
  </w:style>
  <w:style w:type="character" w:customStyle="1" w:styleId="19">
    <w:name w:val="批注主题 Char"/>
    <w:basedOn w:val="16"/>
    <w:link w:val="8"/>
    <w:semiHidden/>
    <w:qFormat/>
    <w:uiPriority w:val="0"/>
    <w:rPr>
      <w:b/>
      <w:bCs/>
    </w:rPr>
  </w:style>
  <w:style w:type="character" w:customStyle="1" w:styleId="20">
    <w:name w:val="批注框文本 Char"/>
    <w:basedOn w:val="11"/>
    <w:link w:val="4"/>
    <w:semiHidden/>
    <w:qFormat/>
    <w:uiPriority w:val="0"/>
    <w:rPr>
      <w:rFonts w:ascii="Calibri" w:hAnsi="Calibri" w:eastAsia="宋体" w:cs="Times New Roman"/>
      <w:sz w:val="18"/>
      <w:szCs w:val="18"/>
    </w:rPr>
  </w:style>
  <w:style w:type="paragraph" w:styleId="21">
    <w:name w:val="List Paragraph"/>
    <w:basedOn w:val="1"/>
    <w:qFormat/>
    <w:uiPriority w:val="0"/>
    <w:pPr>
      <w:ind w:firstLine="420" w:firstLineChars="200"/>
    </w:pPr>
    <w:rPr>
      <w:rFonts w:ascii="等线" w:hAnsi="等线" w:eastAsia="等线"/>
    </w:rPr>
  </w:style>
  <w:style w:type="paragraph" w:customStyle="1" w:styleId="22">
    <w:name w:val="列出段落1"/>
    <w:basedOn w:val="1"/>
    <w:qFormat/>
    <w:uiPriority w:val="0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20</Pages>
  <Words>2164</Words>
  <Characters>12338</Characters>
  <Lines>102</Lines>
  <Paragraphs>28</Paragraphs>
  <TotalTime>0</TotalTime>
  <ScaleCrop>false</ScaleCrop>
  <LinksUpToDate>false</LinksUpToDate>
  <CharactersWithSpaces>14474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2020-06-22T07:20:00Z</dcterms:created>
  <dc:creator>Administrator</dc:creator>
  <cp:lastModifiedBy>Yang-Yan</cp:lastModifiedBy>
  <dcterms:modified xsi:type="dcterms:W3CDTF">2020-11-17T02:20:37Z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