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 xml:space="preserve"> 兴国县委统战部2023年部门预算</w:t>
      </w:r>
    </w:p>
    <w:p>
      <w:pPr>
        <w:spacing w:line="54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编制说明</w:t>
      </w:r>
    </w:p>
    <w:p>
      <w:pPr>
        <w:spacing w:line="540" w:lineRule="exact"/>
        <w:ind w:right="449" w:rightChars="214"/>
        <w:jc w:val="center"/>
        <w:rPr>
          <w:rFonts w:asciiTheme="majorEastAsia" w:hAnsiTheme="majorEastAsia" w:eastAsiaTheme="majorEastAsia" w:cstheme="majorEastAsia"/>
          <w:color w:val="000000"/>
          <w:sz w:val="44"/>
          <w:szCs w:val="44"/>
        </w:rPr>
      </w:pPr>
    </w:p>
    <w:p>
      <w:pPr>
        <w:spacing w:line="540" w:lineRule="exact"/>
        <w:ind w:right="449" w:rightChars="214"/>
        <w:jc w:val="center"/>
        <w:rPr>
          <w:rFonts w:asciiTheme="majorEastAsia" w:hAnsiTheme="majorEastAsia" w:eastAsiaTheme="majorEastAsia" w:cstheme="majorEastAsia"/>
          <w:b/>
          <w:bCs/>
          <w:color w:val="000000"/>
          <w:sz w:val="44"/>
          <w:szCs w:val="44"/>
        </w:rPr>
      </w:pPr>
      <w:r>
        <w:rPr>
          <w:rFonts w:hint="eastAsia" w:asciiTheme="majorEastAsia" w:hAnsiTheme="majorEastAsia" w:eastAsiaTheme="majorEastAsia" w:cstheme="majorEastAsia"/>
          <w:b/>
          <w:bCs/>
          <w:color w:val="000000"/>
          <w:sz w:val="44"/>
          <w:szCs w:val="44"/>
        </w:rPr>
        <w:t>目 录</w:t>
      </w:r>
    </w:p>
    <w:p>
      <w:pPr>
        <w:spacing w:line="540" w:lineRule="exact"/>
        <w:ind w:right="449" w:rightChars="214"/>
        <w:rPr>
          <w:rFonts w:eastAsia="仿宋_GB2312"/>
          <w:color w:val="000000"/>
          <w:sz w:val="32"/>
          <w:szCs w:val="32"/>
        </w:rPr>
      </w:pPr>
    </w:p>
    <w:p>
      <w:pPr>
        <w:spacing w:line="540" w:lineRule="exact"/>
        <w:ind w:right="449" w:rightChars="214" w:firstLine="643" w:firstLineChars="200"/>
        <w:rPr>
          <w:rFonts w:eastAsia="仿宋_GB2312"/>
          <w:b/>
          <w:bCs/>
          <w:color w:val="000000"/>
          <w:sz w:val="32"/>
          <w:szCs w:val="32"/>
        </w:rPr>
      </w:pPr>
      <w:r>
        <w:rPr>
          <w:rFonts w:hint="eastAsia" w:eastAsia="仿宋_GB2312"/>
          <w:b/>
          <w:bCs/>
          <w:color w:val="000000"/>
          <w:sz w:val="32"/>
          <w:szCs w:val="32"/>
        </w:rPr>
        <w:t>第一部分 兴国县委统战部部门概况</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一、部门主要职责</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二、部门基本情况</w:t>
      </w:r>
    </w:p>
    <w:p>
      <w:pPr>
        <w:spacing w:line="540" w:lineRule="exact"/>
        <w:ind w:right="449" w:rightChars="214" w:firstLine="643" w:firstLineChars="200"/>
        <w:rPr>
          <w:rFonts w:eastAsia="仿宋_GB2312"/>
          <w:b/>
          <w:bCs/>
          <w:color w:val="000000"/>
          <w:spacing w:val="-6"/>
          <w:sz w:val="32"/>
          <w:szCs w:val="32"/>
        </w:rPr>
      </w:pPr>
      <w:r>
        <w:rPr>
          <w:rFonts w:hint="eastAsia" w:eastAsia="仿宋_GB2312"/>
          <w:b/>
          <w:bCs/>
          <w:color w:val="000000"/>
          <w:sz w:val="32"/>
          <w:szCs w:val="32"/>
        </w:rPr>
        <w:t xml:space="preserve">第二部分 </w:t>
      </w:r>
      <w:r>
        <w:rPr>
          <w:rFonts w:hint="eastAsia" w:eastAsia="仿宋_GB2312"/>
          <w:b/>
          <w:bCs/>
          <w:color w:val="000000"/>
          <w:spacing w:val="-6"/>
          <w:sz w:val="32"/>
          <w:szCs w:val="32"/>
        </w:rPr>
        <w:t>兴国县委统战部部门预算情况说明</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一、2023年部门预算收支情况说明</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二、2023年“三公”经费预算情况说明</w:t>
      </w:r>
    </w:p>
    <w:p>
      <w:pPr>
        <w:spacing w:line="540" w:lineRule="exact"/>
        <w:ind w:right="449" w:rightChars="214" w:firstLine="643" w:firstLineChars="200"/>
        <w:rPr>
          <w:rFonts w:eastAsia="仿宋_GB2312"/>
          <w:b/>
          <w:bCs/>
          <w:color w:val="000000"/>
          <w:sz w:val="32"/>
          <w:szCs w:val="32"/>
        </w:rPr>
      </w:pPr>
      <w:r>
        <w:rPr>
          <w:rFonts w:hint="eastAsia" w:eastAsia="仿宋_GB2312"/>
          <w:b/>
          <w:bCs/>
          <w:color w:val="000000"/>
          <w:sz w:val="32"/>
          <w:szCs w:val="32"/>
        </w:rPr>
        <w:t>第三部分  兴国县委统战部2023年部门预算表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一、《收支预算总表》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二、《部门收入总表》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三、《部门支出总表》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四、《财政拨款收支总表》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五、《一般公共预算支出表》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六、《一般公共预算基本支出表》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七、《一般公共预算“三公”经费支出表》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八、《政府性基金预算支出表》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九、《国有资本经营预算支出表》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十、《部门整体支出绩效目标表》</w:t>
      </w:r>
    </w:p>
    <w:p>
      <w:pPr>
        <w:spacing w:line="540" w:lineRule="exact"/>
        <w:ind w:right="449" w:rightChars="214" w:firstLine="1280" w:firstLineChars="400"/>
        <w:rPr>
          <w:rFonts w:eastAsia="仿宋_GB2312"/>
          <w:color w:val="000000"/>
          <w:sz w:val="32"/>
          <w:szCs w:val="32"/>
        </w:rPr>
      </w:pPr>
      <w:r>
        <w:rPr>
          <w:rFonts w:hint="eastAsia" w:eastAsia="仿宋_GB2312"/>
          <w:color w:val="000000"/>
          <w:sz w:val="32"/>
          <w:szCs w:val="32"/>
        </w:rPr>
        <w:t>十一、《项目支出绩效目标表》</w:t>
      </w:r>
    </w:p>
    <w:p>
      <w:pPr>
        <w:spacing w:line="540" w:lineRule="exact"/>
        <w:ind w:right="449" w:rightChars="214" w:firstLine="643" w:firstLineChars="200"/>
        <w:rPr>
          <w:rFonts w:eastAsia="仿宋_GB2312"/>
          <w:b/>
          <w:bCs/>
          <w:color w:val="000000"/>
          <w:sz w:val="32"/>
          <w:szCs w:val="32"/>
        </w:rPr>
      </w:pPr>
      <w:r>
        <w:rPr>
          <w:rFonts w:hint="eastAsia" w:eastAsia="仿宋_GB2312"/>
          <w:b/>
          <w:bCs/>
          <w:color w:val="000000"/>
          <w:sz w:val="32"/>
          <w:szCs w:val="32"/>
        </w:rPr>
        <w:t>第四部分  名词解释</w:t>
      </w:r>
    </w:p>
    <w:p>
      <w:pPr>
        <w:spacing w:line="540" w:lineRule="exact"/>
        <w:ind w:right="449" w:rightChars="214"/>
        <w:rPr>
          <w:rFonts w:eastAsia="仿宋_GB2312"/>
          <w:color w:val="000000"/>
          <w:sz w:val="32"/>
          <w:szCs w:val="32"/>
        </w:rPr>
      </w:pPr>
    </w:p>
    <w:p>
      <w:pPr>
        <w:spacing w:line="540" w:lineRule="exact"/>
        <w:ind w:right="449" w:rightChars="214"/>
        <w:rPr>
          <w:rFonts w:eastAsia="仿宋_GB2312"/>
          <w:color w:val="000000"/>
          <w:sz w:val="32"/>
          <w:szCs w:val="32"/>
        </w:rPr>
      </w:pPr>
    </w:p>
    <w:p>
      <w:pPr>
        <w:spacing w:line="540" w:lineRule="exact"/>
        <w:ind w:right="449" w:rightChars="214" w:firstLine="880"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第一部分 兴国县委统战部部门概况</w:t>
      </w:r>
    </w:p>
    <w:p>
      <w:pPr>
        <w:spacing w:line="540" w:lineRule="exact"/>
        <w:ind w:firstLine="640" w:firstLineChars="200"/>
        <w:rPr>
          <w:rFonts w:ascii="黑体" w:hAnsi="黑体" w:eastAsia="黑体" w:cs="黑体"/>
          <w:color w:val="000000"/>
          <w:sz w:val="32"/>
          <w:szCs w:val="32"/>
        </w:rPr>
      </w:pP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eastAsia="仿宋_GB2312"/>
          <w:sz w:val="32"/>
          <w:szCs w:val="32"/>
        </w:rPr>
        <w:t>兴国县</w:t>
      </w:r>
      <w:r>
        <w:rPr>
          <w:rFonts w:hint="eastAsia" w:ascii="仿宋_GB2312" w:hAnsi="仿宋_GB2312" w:eastAsia="仿宋_GB2312" w:cs="仿宋_GB2312"/>
          <w:sz w:val="32"/>
          <w:szCs w:val="32"/>
        </w:rPr>
        <w:t>委统战部是县委主管统一战线工作的职能部门,承担了解情况、掌握政策、协调关系、安排人事、增进共识、加强团结等职责，主要是： 　　    </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一）负责贯彻执行中央、省、市和县委关于统一战线的方针、政策，调查研究、督促检查统一战线方针政策的执行情况，协调统一战线各方面的关系；贯彻实施县委和上级统战部的指示决定；向县委和上级统战部反映情况，提出开展全县统战工作的意见和建议。</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二）负责联系各民主党派和无党派代表人士，及时通报情况，反映他们的意见和建议；研究、贯彻党领导的多党合作和政治协商制度及对民主党派的方针、政策；落实省、市和县委关于发挥民主党派参政议政和民主监督作用的工作；受县委委托，向民主党派、无党派人士通报县委精神，支持、帮助各民主党派加强自身建设，选拔、培养新一代代表人物。</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三）负责调查研究、协调检查有关民族、宗教工作的方针、政策问题，协助有关部门做好少数民族干部的培养和举荐工作；联系少数民族和宗教界的代表人物；及时协调有关部门排查全县民族、宗教方面的矛盾和问题。</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四）负责党外代表人士政治安排；会同有关部门做好培养、考察、选拔、推荐党外人士担任人大、政府、政协机关领导职务的工作；做好党外后备干部和新的代表人物队伍的建设工作；协助各民主党派、工商联做好干部管理工作。</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五）调查研究并反映全县非公有制经济代表人士的情况；协调关系，提出政策性建议；做好非公有制经济代表人士的思想政治工作；团结、帮助、引导、教育非公有制经济人士爱国、敬业、守法，为全县经济建设作出贡献；组织、引导非公有制经济人士开展光彩事业，积极推荐光彩项目。</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（六）调查研究党外知识分子的情况，反映意见，协调关系，提出政策性建议；联系并培养党外知识分子中的代表人物，积极举荐人才，做好党外知识分子工作。</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（七）负责贯彻执行中央对台方针、政策，组织、指导、管理全县对台工作，开展以祖国统一为重点的海外统战工作。</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（八）负责开展县内外统一战线的宣传工作。</w:t>
      </w:r>
    </w:p>
    <w:p>
      <w:pPr>
        <w:pStyle w:val="6"/>
        <w:widowControl/>
        <w:shd w:val="clear" w:color="auto" w:fill="FFFFFF"/>
        <w:spacing w:before="120" w:beforeAutospacing="0" w:after="120" w:afterAutospacing="0" w:line="480" w:lineRule="atLeast"/>
        <w:ind w:firstLine="516"/>
        <w:rPr>
          <w:rFonts w:ascii="仿宋_GB2312" w:hAnsi="仿宋_GB2312" w:eastAsia="仿宋_GB2312" w:cs="仿宋_GB2312"/>
          <w:sz w:val="32"/>
          <w:szCs w:val="32"/>
        </w:rPr>
      </w:pPr>
      <w:r>
        <w:rPr>
          <w:rFonts w:hint="eastAsia" w:ascii="仿宋_GB2312" w:hAnsi="仿宋_GB2312" w:eastAsia="仿宋_GB2312" w:cs="仿宋_GB2312"/>
          <w:sz w:val="32"/>
          <w:szCs w:val="32"/>
        </w:rPr>
        <w:t>（九）负责指导各乡镇区和县直有关部门的统战工作；受县委委托领导县工商联党组，指导工商联工作；负责管理侨务工作。</w:t>
      </w:r>
    </w:p>
    <w:p>
      <w:pPr>
        <w:pStyle w:val="6"/>
        <w:widowControl/>
        <w:shd w:val="clear" w:color="auto" w:fill="FFFFFF"/>
        <w:spacing w:before="120" w:beforeAutospacing="0" w:after="120" w:afterAutospacing="0" w:line="480" w:lineRule="atLeast"/>
        <w:ind w:firstLine="516"/>
        <w:rPr>
          <w:rFonts w:ascii="仿宋_GB2312" w:eastAsia="仿宋_GB2312"/>
          <w:sz w:val="32"/>
          <w:szCs w:val="32"/>
        </w:rPr>
      </w:pPr>
      <w:r>
        <w:rPr>
          <w:rFonts w:hint="eastAsia" w:ascii="仿宋_GB2312" w:hAnsi="仿宋_GB2312" w:eastAsia="仿宋_GB2312" w:cs="仿宋_GB2312"/>
          <w:sz w:val="32"/>
          <w:szCs w:val="32"/>
        </w:rPr>
        <w:t>（十）完成县委和上级统战部交办的其他工作任务。</w:t>
      </w: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二、部门基本情况</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兴国县委统战部</w:t>
      </w:r>
      <w:r>
        <w:rPr>
          <w:rFonts w:hint="eastAsia" w:ascii="仿宋" w:hAnsi="仿宋" w:eastAsia="仿宋" w:cs="仿宋"/>
          <w:color w:val="000000"/>
          <w:sz w:val="30"/>
          <w:szCs w:val="30"/>
        </w:rPr>
        <w:t>纳入本部门预算汇编范围的单位共1个</w:t>
      </w:r>
      <w:r>
        <w:rPr>
          <w:rFonts w:hint="eastAsia" w:ascii="仿宋" w:hAnsi="仿宋" w:eastAsia="仿宋" w:cs="仿宋"/>
          <w:color w:val="000000"/>
          <w:sz w:val="32"/>
          <w:szCs w:val="32"/>
        </w:rPr>
        <w:t>，包括县委统战部机关本级，编制人数小计21人，其中：行政编制10人，行政工勤编制1人，全部补助事业编制人数10人。实有人数小计18人，其中：在职人数小计17人，行政在职人员8人，行政工勤人员1人，全部补助事业在职人数8人。停薪留职人员1名，退休人数小计3人。</w:t>
      </w:r>
    </w:p>
    <w:p>
      <w:pPr>
        <w:spacing w:line="540" w:lineRule="exact"/>
        <w:ind w:firstLine="640" w:firstLineChars="200"/>
        <w:rPr>
          <w:rFonts w:ascii="黑体" w:hAnsi="黑体" w:eastAsia="黑体" w:cs="黑体"/>
          <w:color w:val="000000"/>
          <w:sz w:val="32"/>
          <w:szCs w:val="32"/>
        </w:rPr>
      </w:pPr>
    </w:p>
    <w:p>
      <w:pPr>
        <w:spacing w:line="540" w:lineRule="exact"/>
        <w:ind w:right="449" w:rightChars="214" w:firstLine="880"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第二部分 兴国县委统战部2023年</w:t>
      </w:r>
    </w:p>
    <w:p>
      <w:pPr>
        <w:spacing w:line="540" w:lineRule="exact"/>
        <w:ind w:right="449" w:rightChars="214" w:firstLine="880"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部门预算情况说明</w:t>
      </w:r>
    </w:p>
    <w:p>
      <w:pPr>
        <w:spacing w:line="540" w:lineRule="exact"/>
        <w:rPr>
          <w:rFonts w:ascii="黑体" w:hAnsi="黑体" w:eastAsia="黑体" w:cs="黑体"/>
          <w:sz w:val="32"/>
          <w:szCs w:val="32"/>
        </w:rPr>
      </w:pP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一、2023年部门预算收支情况说明</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（一）收入预算情况</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2023年兴国县委统战部门收入预算总额为451.97万元，较上年预算安排减少30.14万元，减少6.25%。减少主要原因是响应过紧日子。</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其中：财政拨款收入396.97万元，</w:t>
      </w:r>
      <w:r>
        <w:rPr>
          <w:rFonts w:hint="eastAsia" w:ascii="仿宋" w:hAnsi="仿宋" w:eastAsia="仿宋" w:cs="仿宋"/>
          <w:spacing w:val="18"/>
          <w:sz w:val="30"/>
          <w:szCs w:val="30"/>
        </w:rPr>
        <w:t>较上年预算安排减少</w:t>
      </w:r>
      <w:r>
        <w:rPr>
          <w:rFonts w:ascii="仿宋" w:hAnsi="仿宋" w:eastAsia="仿宋" w:cs="仿宋"/>
          <w:sz w:val="32"/>
          <w:szCs w:val="32"/>
        </w:rPr>
        <w:t>20.45</w:t>
      </w:r>
      <w:r>
        <w:rPr>
          <w:rFonts w:hint="eastAsia" w:ascii="仿宋" w:hAnsi="仿宋" w:eastAsia="仿宋" w:cs="仿宋"/>
          <w:sz w:val="32"/>
          <w:szCs w:val="32"/>
        </w:rPr>
        <w:t xml:space="preserve">万元；其他收入55万元，较上年预算安排减少    </w:t>
      </w:r>
      <w:r>
        <w:rPr>
          <w:rFonts w:ascii="仿宋" w:hAnsi="仿宋" w:eastAsia="仿宋" w:cs="仿宋"/>
          <w:sz w:val="32"/>
          <w:szCs w:val="32"/>
        </w:rPr>
        <w:t>9.69</w:t>
      </w:r>
      <w:r>
        <w:rPr>
          <w:rFonts w:hint="eastAsia" w:ascii="仿宋" w:hAnsi="仿宋" w:eastAsia="仿宋" w:cs="仿宋"/>
          <w:sz w:val="32"/>
          <w:szCs w:val="32"/>
        </w:rPr>
        <w:t>万元。财政拨款结余结转0万元，较上年预算安排减少</w:t>
      </w:r>
      <w:r>
        <w:rPr>
          <w:rFonts w:ascii="仿宋" w:hAnsi="仿宋" w:eastAsia="仿宋" w:cs="仿宋"/>
          <w:sz w:val="32"/>
          <w:szCs w:val="32"/>
        </w:rPr>
        <w:t>0</w:t>
      </w:r>
      <w:r>
        <w:rPr>
          <w:rFonts w:hint="eastAsia" w:ascii="仿宋" w:hAnsi="仿宋" w:eastAsia="仿宋" w:cs="仿宋"/>
          <w:sz w:val="32"/>
          <w:szCs w:val="32"/>
        </w:rPr>
        <w:t>万元。</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40" w:lineRule="exact"/>
        <w:ind w:firstLine="640" w:firstLineChars="200"/>
        <w:rPr>
          <w:rFonts w:eastAsia="仿宋"/>
        </w:rPr>
      </w:pPr>
      <w:r>
        <w:rPr>
          <w:rFonts w:hint="eastAsia" w:ascii="仿宋" w:hAnsi="仿宋" w:eastAsia="仿宋" w:cs="仿宋"/>
          <w:sz w:val="32"/>
          <w:szCs w:val="32"/>
        </w:rPr>
        <w:t>2023年兴国县委统战部支出预算总额为451.97万元，较上年预算安排减少30.14万元。减少主要原因是响应过紧日子。具体为：</w:t>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按支出项目类别及经济分类科目划分：基本支出260.39万元，较上年预算安排增加80.64万元，其中：工资福利支出236.30万元，商品和服务支出20.85万元，对个人和家庭的补助0.24万元，其他支出3万元；项目支出191.58万元，较上年预算安排减少110.78万元，其中：商品和服务支出136.58万元，其他支出55万元。</w:t>
      </w:r>
    </w:p>
    <w:p>
      <w:pPr>
        <w:spacing w:line="540" w:lineRule="exact"/>
        <w:ind w:firstLine="640" w:firstLineChars="200"/>
        <w:rPr>
          <w:rFonts w:ascii="仿宋" w:hAnsi="仿宋" w:cs="仿宋"/>
          <w:sz w:val="32"/>
          <w:szCs w:val="32"/>
        </w:rPr>
      </w:pPr>
      <w:r>
        <w:rPr>
          <w:rFonts w:hint="eastAsia" w:ascii="仿宋" w:hAnsi="仿宋" w:eastAsia="仿宋" w:cs="仿宋"/>
          <w:sz w:val="32"/>
          <w:szCs w:val="32"/>
        </w:rPr>
        <w:t>按支出功能分类科目划分：一般公共服务支出331.67，较上年预算安排减少18.59万元；基本养老保险缴费支出26.89万元，较上年预算安排增加8.78万元；医疗卫生支出17.16万元，较上年预算安排增加4.29万元；住房保障支出21.25万元，较上年预算安排增加9.26万元；其他支出55万元，较上年预算安排减少33.88万元。</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color w:val="000000"/>
          <w:sz w:val="32"/>
          <w:szCs w:val="32"/>
        </w:rPr>
        <w:t>（三）财政拨款支出情况</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2023年县委统战部财政拨款支出预算396.97万元，占本年支出预算总额的87.83%，较上年预算安排增加3.74万元，增加0.95%。增加主要原因是工作人员增加。具体为：</w:t>
      </w:r>
    </w:p>
    <w:p>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按支出项目类别及经济分类科目划分：基本支</w:t>
      </w:r>
      <w:r>
        <w:rPr>
          <w:rFonts w:hint="eastAsia" w:ascii="仿宋" w:hAnsi="仿宋" w:eastAsia="仿宋" w:cs="仿宋"/>
          <w:sz w:val="32"/>
          <w:szCs w:val="32"/>
        </w:rPr>
        <w:t>出 260.39</w:t>
      </w:r>
      <w:r>
        <w:rPr>
          <w:rFonts w:hint="eastAsia" w:ascii="仿宋" w:hAnsi="仿宋" w:eastAsia="仿宋" w:cs="仿宋"/>
          <w:sz w:val="30"/>
          <w:szCs w:val="30"/>
        </w:rPr>
        <w:t>万元，</w:t>
      </w:r>
      <w:r>
        <w:rPr>
          <w:rFonts w:hint="eastAsia" w:ascii="仿宋" w:hAnsi="仿宋" w:eastAsia="仿宋" w:cs="仿宋"/>
          <w:sz w:val="32"/>
          <w:szCs w:val="32"/>
        </w:rPr>
        <w:t>较上年预算安排增</w:t>
      </w:r>
      <w:r>
        <w:rPr>
          <w:rFonts w:hint="eastAsia" w:ascii="仿宋" w:hAnsi="仿宋" w:eastAsia="仿宋" w:cs="仿宋"/>
          <w:sz w:val="30"/>
          <w:szCs w:val="30"/>
        </w:rPr>
        <w:t>加26.13万元</w:t>
      </w:r>
      <w:r>
        <w:rPr>
          <w:rFonts w:hint="eastAsia" w:ascii="仿宋" w:hAnsi="仿宋" w:eastAsia="仿宋" w:cs="仿宋"/>
          <w:sz w:val="32"/>
          <w:szCs w:val="32"/>
        </w:rPr>
        <w:t>，</w:t>
      </w:r>
      <w:r>
        <w:rPr>
          <w:rFonts w:hint="eastAsia" w:ascii="仿宋" w:hAnsi="仿宋" w:eastAsia="仿宋" w:cs="仿宋"/>
          <w:sz w:val="30"/>
          <w:szCs w:val="30"/>
        </w:rPr>
        <w:t>其中：工资福利支出</w:t>
      </w:r>
      <w:r>
        <w:rPr>
          <w:rFonts w:hint="eastAsia" w:ascii="仿宋" w:hAnsi="仿宋" w:eastAsia="仿宋" w:cs="仿宋"/>
          <w:sz w:val="32"/>
          <w:szCs w:val="32"/>
          <w:u w:val="single"/>
        </w:rPr>
        <w:t xml:space="preserve">    </w:t>
      </w:r>
      <w:r>
        <w:rPr>
          <w:rFonts w:hint="eastAsia" w:ascii="仿宋" w:hAnsi="仿宋" w:eastAsia="仿宋" w:cs="仿宋"/>
          <w:sz w:val="30"/>
          <w:szCs w:val="30"/>
        </w:rPr>
        <w:t>236.3万元，商品和服务支出</w:t>
      </w:r>
      <w:r>
        <w:rPr>
          <w:rFonts w:hint="eastAsia" w:ascii="仿宋" w:hAnsi="仿宋" w:eastAsia="仿宋" w:cs="仿宋"/>
          <w:sz w:val="32"/>
          <w:szCs w:val="32"/>
        </w:rPr>
        <w:t>20.85</w:t>
      </w:r>
      <w:r>
        <w:rPr>
          <w:rFonts w:hint="eastAsia" w:ascii="仿宋" w:hAnsi="仿宋" w:eastAsia="仿宋" w:cs="仿宋"/>
          <w:sz w:val="30"/>
          <w:szCs w:val="30"/>
        </w:rPr>
        <w:t>万元，对个人和家庭的补助</w:t>
      </w:r>
      <w:r>
        <w:rPr>
          <w:rFonts w:hint="eastAsia" w:ascii="仿宋" w:hAnsi="仿宋" w:eastAsia="仿宋" w:cs="仿宋"/>
          <w:spacing w:val="-131"/>
          <w:sz w:val="30"/>
          <w:szCs w:val="30"/>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0.24</w:t>
      </w:r>
      <w:r>
        <w:rPr>
          <w:rFonts w:hint="eastAsia" w:ascii="仿宋" w:hAnsi="仿宋" w:eastAsia="仿宋" w:cs="仿宋"/>
          <w:sz w:val="30"/>
          <w:szCs w:val="30"/>
        </w:rPr>
        <w:t>万元，资本性支出</w:t>
      </w:r>
      <w:r>
        <w:rPr>
          <w:rFonts w:hint="eastAsia" w:ascii="仿宋" w:hAnsi="仿宋" w:eastAsia="仿宋" w:cs="仿宋"/>
          <w:sz w:val="32"/>
          <w:szCs w:val="32"/>
        </w:rPr>
        <w:t>3</w:t>
      </w:r>
      <w:r>
        <w:rPr>
          <w:rFonts w:hint="eastAsia" w:ascii="仿宋" w:hAnsi="仿宋" w:eastAsia="仿宋" w:cs="仿宋"/>
          <w:sz w:val="30"/>
          <w:szCs w:val="30"/>
        </w:rPr>
        <w:t>万元。项目支出</w:t>
      </w:r>
      <w:r>
        <w:rPr>
          <w:rFonts w:hint="eastAsia" w:ascii="仿宋" w:hAnsi="仿宋" w:eastAsia="仿宋" w:cs="仿宋"/>
          <w:sz w:val="32"/>
          <w:szCs w:val="32"/>
        </w:rPr>
        <w:t>136.58</w:t>
      </w:r>
      <w:r>
        <w:rPr>
          <w:rFonts w:hint="eastAsia" w:ascii="仿宋" w:hAnsi="仿宋" w:eastAsia="仿宋" w:cs="仿宋"/>
          <w:sz w:val="30"/>
          <w:szCs w:val="30"/>
        </w:rPr>
        <w:t>万元，</w:t>
      </w:r>
      <w:r>
        <w:rPr>
          <w:rFonts w:hint="eastAsia" w:ascii="仿宋" w:hAnsi="仿宋" w:eastAsia="仿宋" w:cs="仿宋"/>
          <w:sz w:val="32"/>
          <w:szCs w:val="32"/>
        </w:rPr>
        <w:t>较上年预算安排减少22.39万元，</w:t>
      </w:r>
      <w:r>
        <w:rPr>
          <w:rFonts w:hint="eastAsia" w:ascii="仿宋" w:hAnsi="仿宋" w:eastAsia="仿宋" w:cs="仿宋"/>
          <w:sz w:val="30"/>
          <w:szCs w:val="30"/>
        </w:rPr>
        <w:t>其中：其他相关支出</w:t>
      </w:r>
      <w:r>
        <w:rPr>
          <w:rFonts w:hint="eastAsia" w:ascii="仿宋" w:hAnsi="仿宋" w:eastAsia="仿宋" w:cs="仿宋"/>
          <w:sz w:val="32"/>
          <w:szCs w:val="32"/>
        </w:rPr>
        <w:t>136.58</w:t>
      </w:r>
      <w:r>
        <w:rPr>
          <w:rFonts w:hint="eastAsia" w:ascii="仿宋" w:hAnsi="仿宋" w:eastAsia="仿宋" w:cs="仿宋"/>
          <w:sz w:val="30"/>
          <w:szCs w:val="30"/>
        </w:rPr>
        <w:t>万元。</w:t>
      </w:r>
    </w:p>
    <w:p>
      <w:pPr>
        <w:spacing w:line="560" w:lineRule="exact"/>
        <w:ind w:firstLine="600" w:firstLineChars="200"/>
        <w:rPr>
          <w:rFonts w:ascii="仿宋" w:hAnsi="仿宋" w:eastAsia="仿宋" w:cs="仿宋"/>
          <w:spacing w:val="17"/>
          <w:sz w:val="30"/>
          <w:szCs w:val="30"/>
        </w:rPr>
      </w:pPr>
      <w:r>
        <w:rPr>
          <w:rFonts w:hint="eastAsia" w:ascii="仿宋" w:hAnsi="仿宋" w:eastAsia="仿宋" w:cs="仿宋"/>
          <w:sz w:val="30"/>
          <w:szCs w:val="30"/>
        </w:rPr>
        <w:t>按支出功能分类科目划分：</w:t>
      </w:r>
      <w:r>
        <w:rPr>
          <w:rFonts w:hint="eastAsia" w:ascii="仿宋" w:hAnsi="仿宋" w:eastAsia="仿宋" w:cs="仿宋"/>
          <w:spacing w:val="12"/>
          <w:sz w:val="30"/>
          <w:szCs w:val="30"/>
        </w:rPr>
        <w:t>一般公共服务支出331.67万元,较</w:t>
      </w:r>
      <w:r>
        <w:rPr>
          <w:rFonts w:hint="eastAsia" w:ascii="仿宋" w:hAnsi="仿宋" w:eastAsia="仿宋" w:cs="仿宋"/>
          <w:spacing w:val="5"/>
          <w:sz w:val="30"/>
          <w:szCs w:val="30"/>
        </w:rPr>
        <w:t>上年预算安排减少18.59万元;社会保障和就业支出</w:t>
      </w:r>
      <w:r>
        <w:rPr>
          <w:rFonts w:hint="eastAsia" w:ascii="仿宋" w:hAnsi="仿宋" w:eastAsia="仿宋" w:cs="仿宋"/>
          <w:sz w:val="32"/>
          <w:szCs w:val="32"/>
          <w:u w:val="single"/>
        </w:rPr>
        <w:t xml:space="preserve">    </w:t>
      </w:r>
      <w:r>
        <w:rPr>
          <w:rFonts w:hint="eastAsia" w:ascii="仿宋" w:hAnsi="仿宋" w:eastAsia="仿宋" w:cs="仿宋"/>
          <w:sz w:val="32"/>
          <w:szCs w:val="32"/>
        </w:rPr>
        <w:t>26.89</w:t>
      </w:r>
      <w:r>
        <w:rPr>
          <w:rFonts w:hint="eastAsia" w:ascii="仿宋" w:hAnsi="仿宋" w:eastAsia="仿宋" w:cs="仿宋"/>
          <w:spacing w:val="5"/>
          <w:sz w:val="30"/>
          <w:szCs w:val="30"/>
        </w:rPr>
        <w:t>万元,较</w:t>
      </w:r>
      <w:r>
        <w:rPr>
          <w:rFonts w:hint="eastAsia" w:ascii="仿宋" w:hAnsi="仿宋" w:eastAsia="仿宋" w:cs="仿宋"/>
          <w:spacing w:val="10"/>
          <w:sz w:val="30"/>
          <w:szCs w:val="30"/>
        </w:rPr>
        <w:t>上年预算安排增加8.78万元;卫生健康支出</w:t>
      </w:r>
      <w:r>
        <w:rPr>
          <w:rFonts w:hint="eastAsia" w:ascii="仿宋" w:hAnsi="仿宋" w:eastAsia="仿宋" w:cs="仿宋"/>
          <w:sz w:val="32"/>
          <w:szCs w:val="32"/>
          <w:u w:val="single"/>
        </w:rPr>
        <w:t xml:space="preserve">    </w:t>
      </w:r>
      <w:r>
        <w:rPr>
          <w:rFonts w:hint="eastAsia" w:ascii="仿宋" w:hAnsi="仿宋" w:eastAsia="仿宋" w:cs="仿宋"/>
          <w:sz w:val="32"/>
          <w:szCs w:val="32"/>
        </w:rPr>
        <w:t>17.16</w:t>
      </w:r>
      <w:r>
        <w:rPr>
          <w:rFonts w:hint="eastAsia" w:ascii="仿宋" w:hAnsi="仿宋" w:eastAsia="仿宋" w:cs="仿宋"/>
          <w:spacing w:val="10"/>
          <w:sz w:val="30"/>
          <w:szCs w:val="30"/>
        </w:rPr>
        <w:t>万</w:t>
      </w:r>
      <w:r>
        <w:rPr>
          <w:rFonts w:hint="eastAsia" w:ascii="仿宋" w:hAnsi="仿宋" w:eastAsia="仿宋" w:cs="仿宋"/>
          <w:spacing w:val="5"/>
          <w:sz w:val="30"/>
          <w:szCs w:val="30"/>
        </w:rPr>
        <w:t>元,较上年预算安排增加4.29万元;住房保障支出</w:t>
      </w:r>
      <w:r>
        <w:rPr>
          <w:rFonts w:hint="eastAsia" w:ascii="仿宋" w:hAnsi="仿宋" w:eastAsia="仿宋" w:cs="仿宋"/>
          <w:sz w:val="32"/>
          <w:szCs w:val="32"/>
          <w:u w:val="single"/>
        </w:rPr>
        <w:t xml:space="preserve">    </w:t>
      </w:r>
      <w:r>
        <w:rPr>
          <w:rFonts w:hint="eastAsia" w:ascii="仿宋" w:hAnsi="仿宋" w:eastAsia="仿宋" w:cs="仿宋"/>
          <w:sz w:val="32"/>
          <w:szCs w:val="32"/>
        </w:rPr>
        <w:t>21.25</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元,较上年预算安排增加9.26万元。</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（四）政府性基金情况</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2023年部门政府性基金支出总额0万元，较上年预算安排增（减）0万元。</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（五）机关运行经费等重要事项的说明</w:t>
      </w:r>
    </w:p>
    <w:p>
      <w:pPr>
        <w:spacing w:line="540" w:lineRule="exact"/>
        <w:ind w:firstLine="640" w:firstLineChars="200"/>
      </w:pPr>
      <w:r>
        <w:rPr>
          <w:rFonts w:hint="eastAsia" w:ascii="仿宋" w:hAnsi="仿宋" w:eastAsia="仿宋" w:cs="仿宋"/>
          <w:color w:val="000000"/>
          <w:sz w:val="32"/>
          <w:szCs w:val="32"/>
        </w:rPr>
        <w:t>2023年部门机关运行</w:t>
      </w:r>
      <w:r>
        <w:rPr>
          <w:rFonts w:hint="eastAsia" w:ascii="仿宋" w:hAnsi="仿宋" w:eastAsia="仿宋" w:cs="仿宋"/>
          <w:sz w:val="32"/>
          <w:szCs w:val="32"/>
        </w:rPr>
        <w:t>费预算195.09万元，比2022年预算增加8.65万元，增长4.6％。主要原因是工作人员增加。</w:t>
      </w:r>
    </w:p>
    <w:p>
      <w:pPr>
        <w:spacing w:line="560" w:lineRule="exact"/>
        <w:ind w:firstLine="640" w:firstLineChars="200"/>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（六）政府采购情况</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2023年部门所属各单位政府采购总额3万元，</w:t>
      </w:r>
      <w:r>
        <w:rPr>
          <w:rFonts w:hint="eastAsia" w:ascii="仿宋" w:hAnsi="仿宋" w:eastAsia="仿宋" w:cs="仿宋"/>
          <w:sz w:val="32"/>
          <w:szCs w:val="32"/>
        </w:rPr>
        <w:t>其中：政府采购货物预算3万元</w:t>
      </w:r>
      <w:r>
        <w:rPr>
          <w:rFonts w:hint="eastAsia" w:ascii="仿宋" w:hAnsi="仿宋" w:eastAsia="仿宋" w:cs="仿宋"/>
          <w:color w:val="000000"/>
          <w:sz w:val="32"/>
          <w:szCs w:val="32"/>
        </w:rPr>
        <w:t>。</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（七）国有资产占有使用情况</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截止2022年12月31日，本部门共有车辆0辆，其中一般公务用车0辆、执法执勤用车0辆；</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2023年部门预算安排购置车辆0辆，安排购置单位价值200万元以上大型设备0台（套）。</w:t>
      </w:r>
    </w:p>
    <w:p>
      <w:pPr>
        <w:spacing w:line="54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（八）绩效目标设置情况</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2023年实行绩效目标管理项目1个，涉及资金60万元：</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项目名称：基层统战工作经费</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立项依据：赣市统领发电〔2020〕3号</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实施主体：兴国县委统战部</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实施周期：</w:t>
      </w:r>
      <w:r>
        <w:rPr>
          <w:rFonts w:ascii="仿宋" w:hAnsi="仿宋" w:eastAsia="仿宋" w:cs="仿宋"/>
          <w:color w:val="000000"/>
          <w:lang w:val="en-US" w:bidi="ar-SA"/>
        </w:rPr>
        <w:t>2023年</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年度预算项目安排：60万元</w:t>
      </w:r>
    </w:p>
    <w:p>
      <w:pPr>
        <w:pStyle w:val="2"/>
        <w:numPr>
          <w:ilvl w:val="0"/>
          <w:numId w:val="1"/>
        </w:numPr>
        <w:rPr>
          <w:rFonts w:ascii="仿宋" w:hAnsi="仿宋" w:eastAsia="仿宋" w:cs="仿宋"/>
          <w:color w:val="000000"/>
          <w:lang w:val="en-US" w:bidi="ar-SA"/>
        </w:rPr>
      </w:pPr>
      <w:r>
        <w:rPr>
          <w:rFonts w:hint="eastAsia" w:ascii="仿宋" w:hAnsi="仿宋" w:eastAsia="仿宋" w:cs="仿宋"/>
          <w:color w:val="000000"/>
          <w:lang w:val="en-US" w:bidi="ar-SA"/>
        </w:rPr>
        <w:t>年度绩效目标：推动统战工作在基层沉下去、实起来</w:t>
      </w:r>
    </w:p>
    <w:p>
      <w:pPr>
        <w:pStyle w:val="2"/>
        <w:rPr>
          <w:rFonts w:ascii="仿宋" w:hAnsi="仿宋" w:eastAsia="仿宋" w:cs="仿宋"/>
          <w:color w:val="000000"/>
          <w:lang w:val="en-US" w:bidi="ar-SA"/>
        </w:rPr>
      </w:pPr>
      <w:r>
        <w:rPr>
          <w:rFonts w:hint="eastAsia" w:ascii="仿宋" w:hAnsi="仿宋" w:eastAsia="仿宋" w:cs="仿宋"/>
          <w:color w:val="000000"/>
          <w:lang w:val="en-US" w:bidi="ar-SA"/>
        </w:rPr>
        <w:t>强化力量配备，强化重点任务着力解决问题。</w:t>
      </w:r>
    </w:p>
    <w:p>
      <w:pPr>
        <w:spacing w:line="540" w:lineRule="exact"/>
        <w:ind w:firstLine="643" w:firstLineChars="200"/>
        <w:rPr>
          <w:rFonts w:ascii="仿宋" w:hAnsi="仿宋" w:eastAsia="仿宋" w:cs="仿宋"/>
          <w:color w:val="000000"/>
        </w:rPr>
      </w:pPr>
      <w:r>
        <w:rPr>
          <w:rFonts w:hint="eastAsia" w:ascii="楷体" w:hAnsi="楷体" w:eastAsia="楷体" w:cs="楷体"/>
          <w:b/>
          <w:bCs/>
          <w:color w:val="000000"/>
          <w:sz w:val="32"/>
          <w:szCs w:val="32"/>
        </w:rPr>
        <w:t>（九）国有资本经营情况</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无使用国有资本经营预算拨款安排的支出。</w:t>
      </w: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二、2023年“三公”经费预算情况说明</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2023年兴国县委统战部“三公”经费一般公共预算安排12万元。其中：</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因公出国（境）费0万元，比上年增（减）0万元。</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公务接待费12万元，比上年增（减）0万元。</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公务用车运行维护费0万元，比上年增（减）0万元。</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公务用车购置费0万元，比上年增（减）0万元。</w:t>
      </w:r>
    </w:p>
    <w:p>
      <w:pPr>
        <w:spacing w:line="540" w:lineRule="exact"/>
        <w:jc w:val="center"/>
        <w:rPr>
          <w:rFonts w:ascii="方正小标宋简体" w:hAnsi="方正小标宋简体" w:eastAsia="方正小标宋简体" w:cs="方正小标宋简体"/>
          <w:color w:val="000000"/>
          <w:sz w:val="44"/>
          <w:szCs w:val="44"/>
        </w:rPr>
      </w:pPr>
      <w:bookmarkStart w:id="0" w:name="_GoBack"/>
      <w:bookmarkEnd w:id="0"/>
    </w:p>
    <w:p>
      <w:pPr>
        <w:spacing w:line="540" w:lineRule="exact"/>
        <w:jc w:val="center"/>
        <w:rPr>
          <w:rFonts w:ascii="方正小标宋简体" w:hAnsi="方正小标宋简体" w:eastAsia="方正小标宋简体" w:cs="方正小标宋简体"/>
          <w:color w:val="000000"/>
          <w:sz w:val="44"/>
          <w:szCs w:val="44"/>
        </w:rPr>
      </w:pP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第三部分 兴国县委统战部2023年</w:t>
      </w: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部门预算表</w:t>
      </w:r>
    </w:p>
    <w:p>
      <w:pPr>
        <w:pStyle w:val="7"/>
        <w:ind w:firstLine="320"/>
      </w:pPr>
    </w:p>
    <w:p>
      <w:pPr>
        <w:spacing w:line="560" w:lineRule="exact"/>
        <w:ind w:left="634" w:hanging="633" w:hangingChars="198"/>
        <w:rPr>
          <w:rFonts w:ascii="仿宋" w:hAnsi="仿宋" w:eastAsia="仿宋" w:cs="仿宋"/>
          <w:sz w:val="32"/>
          <w:szCs w:val="32"/>
        </w:rPr>
      </w:pPr>
      <w:r>
        <w:rPr>
          <w:rFonts w:hint="eastAsia" w:ascii="仿宋" w:hAnsi="仿宋" w:eastAsia="仿宋" w:cs="仿宋"/>
          <w:sz w:val="32"/>
          <w:szCs w:val="32"/>
        </w:rPr>
        <w:t>一、《收支预算总表》（见附表）</w:t>
      </w:r>
    </w:p>
    <w:p>
      <w:pPr>
        <w:pStyle w:val="2"/>
        <w:rPr>
          <w:rFonts w:ascii="仿宋" w:hAnsi="仿宋" w:eastAsia="仿宋" w:cs="仿宋"/>
        </w:rPr>
      </w:pPr>
      <w:r>
        <w:rPr>
          <w:rFonts w:hint="eastAsia" w:ascii="仿宋" w:hAnsi="仿宋" w:eastAsia="仿宋" w:cs="仿宋"/>
        </w:rPr>
        <w:t>二、《部门收入总表》（见附表）</w:t>
      </w:r>
    </w:p>
    <w:p>
      <w:pPr>
        <w:spacing w:line="560" w:lineRule="exact"/>
        <w:rPr>
          <w:rFonts w:ascii="仿宋" w:hAnsi="仿宋" w:eastAsia="仿宋" w:cs="仿宋"/>
          <w:sz w:val="32"/>
          <w:szCs w:val="32"/>
        </w:rPr>
      </w:pPr>
      <w:r>
        <w:rPr>
          <w:rFonts w:hint="eastAsia" w:ascii="仿宋" w:hAnsi="仿宋" w:eastAsia="仿宋" w:cs="仿宋"/>
          <w:sz w:val="32"/>
          <w:szCs w:val="32"/>
        </w:rPr>
        <w:t>三、《部门支出总表》（见附表）</w:t>
      </w:r>
    </w:p>
    <w:p>
      <w:pPr>
        <w:spacing w:line="560" w:lineRule="exact"/>
        <w:rPr>
          <w:rFonts w:ascii="仿宋" w:hAnsi="仿宋" w:eastAsia="仿宋" w:cs="仿宋"/>
          <w:sz w:val="32"/>
          <w:szCs w:val="32"/>
        </w:rPr>
      </w:pPr>
      <w:r>
        <w:rPr>
          <w:rFonts w:hint="eastAsia" w:ascii="仿宋" w:hAnsi="仿宋" w:eastAsia="仿宋" w:cs="仿宋"/>
          <w:sz w:val="32"/>
          <w:szCs w:val="32"/>
        </w:rPr>
        <w:t>四、《财政拨款收支总表》（见附表）</w:t>
      </w:r>
    </w:p>
    <w:p>
      <w:pPr>
        <w:spacing w:line="560" w:lineRule="exact"/>
        <w:rPr>
          <w:rFonts w:ascii="仿宋" w:hAnsi="仿宋" w:eastAsia="仿宋" w:cs="仿宋"/>
          <w:sz w:val="32"/>
          <w:szCs w:val="32"/>
        </w:rPr>
      </w:pPr>
      <w:r>
        <w:rPr>
          <w:rFonts w:hint="eastAsia" w:ascii="仿宋" w:hAnsi="仿宋" w:eastAsia="仿宋" w:cs="仿宋"/>
          <w:sz w:val="32"/>
          <w:szCs w:val="32"/>
        </w:rPr>
        <w:t>五、《一般公共预算支出表》（见附表）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六、《一般公共预算基本支出表》（见附表）</w:t>
      </w:r>
    </w:p>
    <w:p>
      <w:pPr>
        <w:pStyle w:val="7"/>
        <w:ind w:firstLine="0" w:firstLineChars="0"/>
        <w:rPr>
          <w:rFonts w:ascii="仿宋" w:hAnsi="仿宋" w:eastAsia="仿宋" w:cs="仿宋"/>
        </w:rPr>
      </w:pPr>
      <w:r>
        <w:rPr>
          <w:rFonts w:hint="eastAsia" w:ascii="仿宋" w:hAnsi="仿宋" w:eastAsia="仿宋" w:cs="仿宋"/>
        </w:rPr>
        <w:t>七、《一般公共预算“三公”经费支出表》（见附表）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八、《政府性基金预算支出表》（见附表）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九、《国有资本经营预算支出表》（见附表）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十、《部门整体支出绩效目标表》</w:t>
      </w:r>
    </w:p>
    <w:p>
      <w:pPr>
        <w:pStyle w:val="2"/>
      </w:pPr>
      <w:r>
        <w:rPr>
          <w:rFonts w:hint="eastAsia"/>
        </w:rPr>
        <w:drawing>
          <wp:anchor distT="0" distB="0" distL="114300" distR="114300" simplePos="0" relativeHeight="251661312" behindDoc="0" locked="0" layoutInCell="1" allowOverlap="1">
            <wp:simplePos x="0" y="0"/>
            <wp:positionH relativeFrom="column">
              <wp:posOffset>-57150</wp:posOffset>
            </wp:positionH>
            <wp:positionV relativeFrom="paragraph">
              <wp:posOffset>315595</wp:posOffset>
            </wp:positionV>
            <wp:extent cx="5732145" cy="3164205"/>
            <wp:effectExtent l="0" t="0" r="1905" b="17145"/>
            <wp:wrapSquare wrapText="bothSides"/>
            <wp:docPr id="3" name="图片 3" descr="1b2adb62db091a3141049068da194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b2adb62db091a3141049068da194ae"/>
                    <pic:cNvPicPr>
                      <a:picLocks noChangeAspect="1"/>
                    </pic:cNvPicPr>
                  </pic:nvPicPr>
                  <pic:blipFill>
                    <a:blip r:embed="rId5"/>
                    <a:stretch>
                      <a:fillRect/>
                    </a:stretch>
                  </pic:blipFill>
                  <pic:spPr>
                    <a:xfrm>
                      <a:off x="0" y="0"/>
                      <a:ext cx="5732145" cy="3164205"/>
                    </a:xfrm>
                    <a:prstGeom prst="rect">
                      <a:avLst/>
                    </a:prstGeom>
                  </pic:spPr>
                </pic:pic>
              </a:graphicData>
            </a:graphic>
          </wp:anchor>
        </w:drawing>
      </w:r>
    </w:p>
    <w:p>
      <w:pPr>
        <w:spacing w:line="560" w:lineRule="exact"/>
      </w:pPr>
      <w:r>
        <w:rPr>
          <w:rFonts w:hint="eastAsia" w:ascii="仿宋" w:hAnsi="仿宋" w:eastAsia="仿宋" w:cs="仿宋"/>
          <w:sz w:val="32"/>
          <w:szCs w:val="32"/>
        </w:rPr>
        <w:t>十一、《项目支出绩效目标表》</w:t>
      </w:r>
    </w:p>
    <w:p>
      <w:pPr>
        <w:pStyle w:val="2"/>
        <w:rPr>
          <w:rFonts w:ascii="方正小标宋简体" w:hAnsi="方正小标宋简体" w:eastAsia="方正小标宋简体" w:cs="方正小标宋简体"/>
          <w:color w:val="000000"/>
          <w:sz w:val="44"/>
          <w:szCs w:val="44"/>
        </w:rPr>
      </w:pPr>
      <w:r>
        <w:rPr>
          <w:rFonts w:hint="eastAsia"/>
        </w:rPr>
        <w:drawing>
          <wp:anchor distT="0" distB="0" distL="114300" distR="114300" simplePos="0" relativeHeight="251662336" behindDoc="0" locked="0" layoutInCell="1" allowOverlap="1">
            <wp:simplePos x="0" y="0"/>
            <wp:positionH relativeFrom="column">
              <wp:posOffset>-369570</wp:posOffset>
            </wp:positionH>
            <wp:positionV relativeFrom="paragraph">
              <wp:posOffset>230505</wp:posOffset>
            </wp:positionV>
            <wp:extent cx="6066790" cy="3642995"/>
            <wp:effectExtent l="0" t="0" r="10160" b="14605"/>
            <wp:wrapSquare wrapText="bothSides"/>
            <wp:docPr id="4" name="图片 4" descr="bc6a8c4fe05e48cb083966037694c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bc6a8c4fe05e48cb083966037694ca8"/>
                    <pic:cNvPicPr>
                      <a:picLocks noChangeAspect="1"/>
                    </pic:cNvPicPr>
                  </pic:nvPicPr>
                  <pic:blipFill>
                    <a:blip r:embed="rId6"/>
                    <a:stretch>
                      <a:fillRect/>
                    </a:stretch>
                  </pic:blipFill>
                  <pic:spPr>
                    <a:xfrm>
                      <a:off x="0" y="0"/>
                      <a:ext cx="6066790" cy="3642995"/>
                    </a:xfrm>
                    <a:prstGeom prst="rect">
                      <a:avLst/>
                    </a:prstGeom>
                  </pic:spPr>
                </pic:pic>
              </a:graphicData>
            </a:graphic>
          </wp:anchor>
        </w:drawing>
      </w:r>
    </w:p>
    <w:p>
      <w:pPr>
        <w:spacing w:line="54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第四部分名词解释</w:t>
      </w:r>
    </w:p>
    <w:p>
      <w:pPr>
        <w:spacing w:line="540" w:lineRule="exact"/>
        <w:ind w:firstLine="640" w:firstLineChars="200"/>
        <w:rPr>
          <w:rFonts w:ascii="仿宋" w:hAnsi="仿宋" w:eastAsia="仿宋" w:cs="仿宋"/>
          <w:color w:val="000000"/>
          <w:sz w:val="32"/>
          <w:szCs w:val="32"/>
        </w:rPr>
      </w:pP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一、收入科目</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（一）财政拨款：指县本级财政当年拨付的资金。</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（二）事业收入：指事业单位开展专业业务活动及辅助活动取得的收入。</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（三）事业单位经营收入：指事业单位在专业业务活动及辅助活动之外开展非独立核算经营活动取得的收入。</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（四）其他收入：指除财政拨款、事业收入、事业单位经营收入等以外的各项收入。</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（五）附属单位上缴收入：反映事业单位附属的独立核算单位按规定标准或比例缴纳的各项收入。包括附属的事业单位上缴的收入和附属的企业上缴的利润等。</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（六）上级补助收入：反映事业单位从主管部门和上级单位取得的非财政补助收入。</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（七）使用非财政拨款结余：填列历年滚存的非限定用途的非统计财政拨款结余弥补2023年收支差额的数额。</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（八）上年结转和结余：填列2022年全部结转和结余的资金数，包括当年结转结余资金和历年滚存结转结余资金。</w:t>
      </w:r>
    </w:p>
    <w:p>
      <w:pPr>
        <w:spacing w:line="54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二、支出科目</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（一）行政运行：反映行政单位（事业单位）的基本支出。</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（二）一般行政管理事务：反映行政单位（包括事业单位）未单独设置项级科目的其他项目支出。</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（三）机关事业单位基本养老保险缴费支出：反映机关事业单位实施养老保险制度由单位缴纳的基本养老保险费的支出。</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（四）行政单位医疗：反映行政事业单位基本医疗保险缴费经费。</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（五）事业单位医疗：反映财政部门集中安排的事业单位基本医疗保险缴费经费。</w:t>
      </w:r>
    </w:p>
    <w:p>
      <w:pPr>
        <w:spacing w:line="54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（六）死亡抚恤：反映单位遗属人员生活补助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6720578-8AD8-4033-95B6-737A494E89C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embedRegular r:id="rId2" w:fontKey="{2541392B-0AB1-44B0-8936-04D098986CBB}"/>
  </w:font>
  <w:font w:name="方正小标宋简体">
    <w:panose1 w:val="02000000000000000000"/>
    <w:charset w:val="86"/>
    <w:family w:val="auto"/>
    <w:pitch w:val="default"/>
    <w:sig w:usb0="00000001" w:usb1="08000000" w:usb2="00000000" w:usb3="00000000" w:csb0="00040000" w:csb1="00000000"/>
    <w:embedRegular r:id="rId3" w:fontKey="{FAA6B7B7-4E7A-4834-ACF5-269154B45854}"/>
  </w:font>
  <w:font w:name="仿宋">
    <w:panose1 w:val="02010609060101010101"/>
    <w:charset w:val="86"/>
    <w:family w:val="modern"/>
    <w:pitch w:val="default"/>
    <w:sig w:usb0="800002BF" w:usb1="38CF7CFA" w:usb2="00000016" w:usb3="00000000" w:csb0="00040001" w:csb1="00000000"/>
    <w:embedRegular r:id="rId4" w:fontKey="{77F95989-262C-4BC2-B679-29D98863B635}"/>
  </w:font>
  <w:font w:name="楷体">
    <w:panose1 w:val="02010609060101010101"/>
    <w:charset w:val="86"/>
    <w:family w:val="modern"/>
    <w:pitch w:val="default"/>
    <w:sig w:usb0="800002BF" w:usb1="38CF7CFA" w:usb2="00000016" w:usb3="00000000" w:csb0="00040001" w:csb1="00000000"/>
    <w:embedRegular r:id="rId5" w:fontKey="{634E5E3A-89E1-444A-B967-F908FA13BB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iMDs2zwEAAKQDAAAOAAAAAAAAAAEAIAAAAB4BAABkcnMv&#10;ZTJvRG9jLnhtbFBLBQYAAAAABgAGAFkBAABfBQ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66764B"/>
    <w:multiLevelType w:val="multilevel"/>
    <w:tmpl w:val="0066764B"/>
    <w:lvl w:ilvl="0" w:tentative="0">
      <w:start w:val="1"/>
      <w:numFmt w:val="decimal"/>
      <w:lvlText w:val="%1."/>
      <w:lvlJc w:val="left"/>
      <w:pPr>
        <w:ind w:left="990" w:hanging="360"/>
      </w:pPr>
      <w:rPr>
        <w:rFonts w:hint="default"/>
      </w:rPr>
    </w:lvl>
    <w:lvl w:ilvl="1" w:tentative="0">
      <w:start w:val="1"/>
      <w:numFmt w:val="lowerLetter"/>
      <w:lvlText w:val="%2)"/>
      <w:lvlJc w:val="left"/>
      <w:pPr>
        <w:ind w:left="1470" w:hanging="420"/>
      </w:pPr>
    </w:lvl>
    <w:lvl w:ilvl="2" w:tentative="0">
      <w:start w:val="1"/>
      <w:numFmt w:val="lowerRoman"/>
      <w:lvlText w:val="%3."/>
      <w:lvlJc w:val="right"/>
      <w:pPr>
        <w:ind w:left="1890" w:hanging="420"/>
      </w:pPr>
    </w:lvl>
    <w:lvl w:ilvl="3" w:tentative="0">
      <w:start w:val="1"/>
      <w:numFmt w:val="decimal"/>
      <w:lvlText w:val="%4."/>
      <w:lvlJc w:val="left"/>
      <w:pPr>
        <w:ind w:left="2310" w:hanging="420"/>
      </w:pPr>
    </w:lvl>
    <w:lvl w:ilvl="4" w:tentative="0">
      <w:start w:val="1"/>
      <w:numFmt w:val="lowerLetter"/>
      <w:lvlText w:val="%5)"/>
      <w:lvlJc w:val="left"/>
      <w:pPr>
        <w:ind w:left="2730" w:hanging="420"/>
      </w:pPr>
    </w:lvl>
    <w:lvl w:ilvl="5" w:tentative="0">
      <w:start w:val="1"/>
      <w:numFmt w:val="lowerRoman"/>
      <w:lvlText w:val="%6."/>
      <w:lvlJc w:val="right"/>
      <w:pPr>
        <w:ind w:left="3150" w:hanging="420"/>
      </w:pPr>
    </w:lvl>
    <w:lvl w:ilvl="6" w:tentative="0">
      <w:start w:val="1"/>
      <w:numFmt w:val="decimal"/>
      <w:lvlText w:val="%7."/>
      <w:lvlJc w:val="left"/>
      <w:pPr>
        <w:ind w:left="3570" w:hanging="420"/>
      </w:pPr>
    </w:lvl>
    <w:lvl w:ilvl="7" w:tentative="0">
      <w:start w:val="1"/>
      <w:numFmt w:val="lowerLetter"/>
      <w:lvlText w:val="%8)"/>
      <w:lvlJc w:val="left"/>
      <w:pPr>
        <w:ind w:left="3990" w:hanging="420"/>
      </w:pPr>
    </w:lvl>
    <w:lvl w:ilvl="8" w:tentative="0">
      <w:start w:val="1"/>
      <w:numFmt w:val="lowerRoman"/>
      <w:lvlText w:val="%9."/>
      <w:lvlJc w:val="righ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xM2RmNGFhYmMzMGE2NTQ3MWFlYjQzZmZlMTkyZjkifQ=="/>
  </w:docVars>
  <w:rsids>
    <w:rsidRoot w:val="57FF563F"/>
    <w:rsid w:val="00046D70"/>
    <w:rsid w:val="00050021"/>
    <w:rsid w:val="000618BA"/>
    <w:rsid w:val="000D5CC1"/>
    <w:rsid w:val="00130AD2"/>
    <w:rsid w:val="00136180"/>
    <w:rsid w:val="001376AD"/>
    <w:rsid w:val="00195A61"/>
    <w:rsid w:val="001C794F"/>
    <w:rsid w:val="00273A58"/>
    <w:rsid w:val="00326284"/>
    <w:rsid w:val="003304E4"/>
    <w:rsid w:val="0039721C"/>
    <w:rsid w:val="00445FAE"/>
    <w:rsid w:val="00527475"/>
    <w:rsid w:val="00543289"/>
    <w:rsid w:val="00575A55"/>
    <w:rsid w:val="005948F5"/>
    <w:rsid w:val="00624658"/>
    <w:rsid w:val="006C6285"/>
    <w:rsid w:val="006F3EFE"/>
    <w:rsid w:val="007D1E63"/>
    <w:rsid w:val="008811D7"/>
    <w:rsid w:val="00AB4273"/>
    <w:rsid w:val="00B75BE9"/>
    <w:rsid w:val="00C7597A"/>
    <w:rsid w:val="00CF4761"/>
    <w:rsid w:val="00D35B3A"/>
    <w:rsid w:val="00D958D1"/>
    <w:rsid w:val="00DD0B48"/>
    <w:rsid w:val="00DE0FA0"/>
    <w:rsid w:val="00E92385"/>
    <w:rsid w:val="00E97D7F"/>
    <w:rsid w:val="067537E0"/>
    <w:rsid w:val="068C7E31"/>
    <w:rsid w:val="085D0450"/>
    <w:rsid w:val="09465CAC"/>
    <w:rsid w:val="096B4DCA"/>
    <w:rsid w:val="0ACA7E62"/>
    <w:rsid w:val="0B3F5407"/>
    <w:rsid w:val="0CD30126"/>
    <w:rsid w:val="0D143D89"/>
    <w:rsid w:val="0F8E0EF3"/>
    <w:rsid w:val="10232F8D"/>
    <w:rsid w:val="12FD2A23"/>
    <w:rsid w:val="13457B1E"/>
    <w:rsid w:val="14B003C9"/>
    <w:rsid w:val="161B09E9"/>
    <w:rsid w:val="18996B69"/>
    <w:rsid w:val="1AAD41AE"/>
    <w:rsid w:val="1AB14D65"/>
    <w:rsid w:val="1B2D6427"/>
    <w:rsid w:val="1FAD0E21"/>
    <w:rsid w:val="200A6FE0"/>
    <w:rsid w:val="23A67458"/>
    <w:rsid w:val="249E328A"/>
    <w:rsid w:val="25471110"/>
    <w:rsid w:val="258D3AAD"/>
    <w:rsid w:val="2623440C"/>
    <w:rsid w:val="26EB4A80"/>
    <w:rsid w:val="28742CB4"/>
    <w:rsid w:val="2A7B4538"/>
    <w:rsid w:val="2AB638E3"/>
    <w:rsid w:val="344334F9"/>
    <w:rsid w:val="349E6736"/>
    <w:rsid w:val="34A751F1"/>
    <w:rsid w:val="35EEABC1"/>
    <w:rsid w:val="366F1648"/>
    <w:rsid w:val="36F44886"/>
    <w:rsid w:val="375F5783"/>
    <w:rsid w:val="38EB4F39"/>
    <w:rsid w:val="39E01823"/>
    <w:rsid w:val="3BCE29CE"/>
    <w:rsid w:val="40665BFA"/>
    <w:rsid w:val="416F6993"/>
    <w:rsid w:val="46EB5CD8"/>
    <w:rsid w:val="47AD27BC"/>
    <w:rsid w:val="47AE68BB"/>
    <w:rsid w:val="47B51D43"/>
    <w:rsid w:val="47FFE1D0"/>
    <w:rsid w:val="4CD21368"/>
    <w:rsid w:val="4DE77BFD"/>
    <w:rsid w:val="567F1EF0"/>
    <w:rsid w:val="57FF563F"/>
    <w:rsid w:val="5975190A"/>
    <w:rsid w:val="5AE42DA5"/>
    <w:rsid w:val="5CB942DD"/>
    <w:rsid w:val="5D141B53"/>
    <w:rsid w:val="61391F97"/>
    <w:rsid w:val="61B05B8D"/>
    <w:rsid w:val="65D23F89"/>
    <w:rsid w:val="65E27E71"/>
    <w:rsid w:val="6D6A1F65"/>
    <w:rsid w:val="6DE36831"/>
    <w:rsid w:val="70771D31"/>
    <w:rsid w:val="70AA3138"/>
    <w:rsid w:val="73D9FFDD"/>
    <w:rsid w:val="77DC4DFE"/>
    <w:rsid w:val="77FF7CDB"/>
    <w:rsid w:val="7A6D5E56"/>
    <w:rsid w:val="7B2EB3D6"/>
    <w:rsid w:val="7C58085C"/>
    <w:rsid w:val="7CCB4510"/>
    <w:rsid w:val="7D946A67"/>
    <w:rsid w:val="7D984BF8"/>
    <w:rsid w:val="7DB403DE"/>
    <w:rsid w:val="7EDD8120"/>
    <w:rsid w:val="7F5F440D"/>
    <w:rsid w:val="7FEC58E8"/>
    <w:rsid w:val="9B3FA8BE"/>
    <w:rsid w:val="B3F77A01"/>
    <w:rsid w:val="B5F57F9C"/>
    <w:rsid w:val="BF66EB15"/>
    <w:rsid w:val="D17FFF39"/>
    <w:rsid w:val="D58FBDA3"/>
    <w:rsid w:val="DFF7D95F"/>
    <w:rsid w:val="E3EF630B"/>
    <w:rsid w:val="EE3DFF5C"/>
    <w:rsid w:val="F3AF61B7"/>
    <w:rsid w:val="F4FDE3F6"/>
    <w:rsid w:val="F7FD6E93"/>
    <w:rsid w:val="F89FC6EB"/>
    <w:rsid w:val="FADFBDF0"/>
    <w:rsid w:val="FB778227"/>
    <w:rsid w:val="FBF5D5ED"/>
    <w:rsid w:val="FD7ACD77"/>
    <w:rsid w:val="FD8B497A"/>
    <w:rsid w:val="FE59B8BB"/>
    <w:rsid w:val="FF7608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uiPriority w:val="0"/>
    <w:pPr>
      <w:jc w:val="left"/>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w:basedOn w:val="2"/>
    <w:qFormat/>
    <w:uiPriority w:val="99"/>
    <w:pPr>
      <w:ind w:firstLine="420" w:firstLineChars="100"/>
    </w:pPr>
  </w:style>
  <w:style w:type="character" w:customStyle="1" w:styleId="10">
    <w:name w:val="页眉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3527</Words>
  <Characters>3807</Characters>
  <Lines>28</Lines>
  <Paragraphs>7</Paragraphs>
  <TotalTime>1</TotalTime>
  <ScaleCrop>false</ScaleCrop>
  <LinksUpToDate>false</LinksUpToDate>
  <CharactersWithSpaces>3851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2024-06-03T03:00:00Z</dcterms:created>
  <dc:creator>Administrator</dc:creator>
  <cp:lastModifiedBy>WPS_1670148425</cp:lastModifiedBy>
  <cp:lastPrinted>2024-05-31T15:35:00Z</cp:lastPrinted>
  <dcterms:modified xsi:type="dcterms:W3CDTF">2024-06-05T01:36:50Z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4255F3980EE34DF2A4ADF22A35DCB449_13</vt:lpwstr>
  </property>
</Properties>
</file>