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lang w:eastAsia="zh-CN"/>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 w:val="0"/>
          <w:bCs/>
          <w:color w:val="FF0000"/>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兴国县城市社区管理委员会</w:t>
      </w:r>
    </w:p>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color w:val="auto"/>
          <w:sz w:val="32"/>
          <w:szCs w:val="32"/>
        </w:rPr>
        <w:t>兴国县城市社区管理委员会</w:t>
      </w:r>
      <w:r>
        <w:rPr>
          <w:rFonts w:hint="eastAsia" w:ascii="仿宋" w:hAnsi="仿宋" w:eastAsia="仿宋" w:cs="仿宋"/>
          <w:b/>
          <w:bCs/>
          <w:sz w:val="32"/>
          <w:szCs w:val="32"/>
        </w:rPr>
        <w:t>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color w:val="auto"/>
          <w:sz w:val="32"/>
          <w:szCs w:val="32"/>
        </w:rPr>
        <w:t>兴国县城市社区管理委员会部门预算情况说明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w:t>
      </w:r>
      <w:r>
        <w:rPr>
          <w:rFonts w:hint="eastAsia" w:ascii="仿宋" w:hAnsi="仿宋" w:eastAsia="仿宋" w:cs="仿宋"/>
          <w:sz w:val="32"/>
          <w:szCs w:val="32"/>
        </w:rPr>
        <w:t>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城市社区管理委员会</w:t>
      </w:r>
      <w:r>
        <w:rPr>
          <w:rFonts w:hint="eastAsia" w:ascii="仿宋" w:hAnsi="仿宋" w:eastAsia="仿宋" w:cs="仿宋"/>
          <w:b/>
          <w:bCs/>
          <w:color w:val="auto"/>
          <w:sz w:val="32"/>
          <w:szCs w:val="32"/>
        </w:rPr>
        <w:t>部门</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10" w:leftChars="5" w:firstLine="620" w:firstLineChars="194"/>
        <w:rPr>
          <w:rFonts w:hint="eastAsia" w:ascii="仿宋" w:hAnsi="仿宋" w:eastAsia="仿宋" w:cs="仿宋"/>
          <w:sz w:val="32"/>
          <w:szCs w:val="32"/>
        </w:rPr>
      </w:pPr>
      <w:r>
        <w:rPr>
          <w:rFonts w:hint="eastAsia" w:ascii="仿宋" w:hAnsi="仿宋" w:eastAsia="仿宋" w:cs="仿宋"/>
          <w:sz w:val="32"/>
          <w:szCs w:val="32"/>
        </w:rPr>
        <w:t>九、《国有资本经营预算支出表》</w:t>
      </w:r>
    </w:p>
    <w:p>
      <w:pPr>
        <w:spacing w:line="560" w:lineRule="exact"/>
        <w:ind w:left="10" w:leftChars="5" w:firstLine="620" w:firstLineChars="194"/>
        <w:rPr>
          <w:rFonts w:hint="eastAsia" w:ascii="仿宋" w:hAnsi="仿宋" w:eastAsia="仿宋" w:cs="仿宋"/>
          <w:sz w:val="32"/>
          <w:szCs w:val="32"/>
        </w:rPr>
      </w:pPr>
      <w:r>
        <w:rPr>
          <w:rFonts w:hint="eastAsia" w:ascii="仿宋" w:hAnsi="仿宋" w:eastAsia="仿宋" w:cs="仿宋"/>
          <w:sz w:val="32"/>
          <w:szCs w:val="32"/>
        </w:rPr>
        <w:t>十、《部门整体支出绩效目标表》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十一、《项目支出绩效目标表》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rPr>
        <w:t>兴国县城市社区管理委员会部门</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（一）贯彻执行党的路线、方针、政策和国家法律、法规。确保县委、县政府的各项决定和决策在县城城市社区的实施。</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执行上级党组织的决议、决定，党员干部和群众，加强城市基层党组织建设，统筹协调辖区内各领域党建工作，推进城市是社区党建、单位党建、行业党建互联互动，增强党组织的政治的政治属性和服务功能。</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（三）承担城市社区基层组织、纪律检查、宣传统战、党员干部、人才队伍建设等党的建设工作。承担城市社区共青团、妇女、工会关公等工作任务；领导基层治理、团结动员群众，指导社区居委会依法自治。</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（四）指导社区做好社区居民管理和思想政治、道德法制等宣传教育工作，组织开展社区精神文明创建及文体娱乐活动。</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（五）负责辖区内社区治理有关工作，开展平安建设，处理群众来信来访，反映社情民意，化解矛盾纠纷等，做好人民调解、治安防范等工作，保护残疾人、老年人、妇女、儿童的合法权益，维护辖区社会稳定。</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（六）负责落实人力资源和社会保障、民政、科技、教育、文化、体育、卫生健康、</w:t>
      </w:r>
      <w:r>
        <w:rPr>
          <w:rFonts w:hint="eastAsia" w:ascii="仿宋" w:hAnsi="仿宋" w:eastAsia="仿宋" w:cs="仿宋"/>
          <w:color w:val="auto"/>
          <w:sz w:val="32"/>
          <w:szCs w:val="32"/>
          <w:lang w:val="en-US" w:eastAsia="zh-CN"/>
        </w:rPr>
        <w:t>民</w:t>
      </w:r>
      <w:r>
        <w:rPr>
          <w:rFonts w:hint="eastAsia" w:ascii="仿宋" w:hAnsi="仿宋" w:eastAsia="仿宋" w:cs="仿宋"/>
          <w:color w:val="auto"/>
          <w:sz w:val="32"/>
          <w:szCs w:val="32"/>
        </w:rPr>
        <w:t>族宗教等领域相关政策法规，加强社区服务建设，组织开展便民便利的社区服务，兴办社会福利事业，配合相关部门做好防灾救灾工作。</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（七）负责落实武装、征兵、民兵应急处置、抢险救援、处突维稳和双拥任务；负责城市社区生产生活监管，参与食品药品安全、文化市场监督管理工作。</w:t>
      </w:r>
    </w:p>
    <w:p>
      <w:pPr>
        <w:spacing w:line="560" w:lineRule="exact"/>
        <w:ind w:left="10" w:leftChars="5"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（八）依法（授权）行使各项管理职能，协调解决社区居民生活中的热点问题，负责社区基础设施建设，承担辖区社区管理等地区性、综合性社会管理职能。</w:t>
      </w:r>
    </w:p>
    <w:p>
      <w:pPr>
        <w:spacing w:line="560" w:lineRule="exact"/>
        <w:ind w:left="10" w:leftChars="5"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rPr>
        <w:t>（九）完成县委、县政府交办的其他工作任务。</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color w:val="FF0000"/>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rPr>
        <w:t>城市社区管理委员会共有预算单位</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lang w:val="en-US" w:eastAsia="zh-CN"/>
        </w:rPr>
        <w:t>1</w:t>
      </w:r>
      <w:r>
        <w:rPr>
          <w:rFonts w:ascii="仿宋" w:hAnsi="仿宋" w:eastAsia="仿宋" w:cs="Times New Roman"/>
          <w:color w:val="auto"/>
          <w:kern w:val="0"/>
          <w:sz w:val="32"/>
          <w:szCs w:val="32"/>
        </w:rPr>
        <w:t>_</w:t>
      </w:r>
      <w:r>
        <w:rPr>
          <w:rFonts w:ascii="仿宋" w:hAnsi="仿宋" w:eastAsia="仿宋"/>
          <w:color w:val="auto"/>
          <w:sz w:val="32"/>
          <w:szCs w:val="32"/>
        </w:rPr>
        <w:t>个，包括</w:t>
      </w:r>
      <w:r>
        <w:rPr>
          <w:rFonts w:hint="eastAsia" w:ascii="仿宋" w:hAnsi="仿宋" w:eastAsia="仿宋"/>
          <w:color w:val="auto"/>
          <w:sz w:val="32"/>
          <w:szCs w:val="32"/>
        </w:rPr>
        <w:t>：城市社区管理委员会。</w:t>
      </w:r>
    </w:p>
    <w:p>
      <w:pPr>
        <w:ind w:firstLine="640" w:firstLineChars="200"/>
        <w:rPr>
          <w:rFonts w:hint="eastAsia" w:ascii="仿宋" w:hAnsi="仿宋" w:eastAsia="仿宋" w:cs="仿宋"/>
          <w:color w:val="FF0000"/>
          <w:sz w:val="24"/>
          <w:szCs w:val="24"/>
          <w:lang w:eastAsia="zh-CN"/>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29</w:t>
      </w:r>
      <w:r>
        <w:rPr>
          <w:rFonts w:ascii="仿宋" w:hAnsi="仿宋" w:eastAsia="仿宋" w:cs="Times New Roman"/>
          <w:kern w:val="0"/>
          <w:sz w:val="32"/>
          <w:szCs w:val="32"/>
        </w:rPr>
        <w:t>__</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全部补助事业编制人数</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38</w:t>
      </w:r>
      <w:r>
        <w:rPr>
          <w:rFonts w:ascii="仿宋" w:hAnsi="仿宋" w:eastAsia="仿宋" w:cs="Times New Roman"/>
          <w:kern w:val="0"/>
          <w:sz w:val="32"/>
          <w:szCs w:val="32"/>
        </w:rPr>
        <w:t>_</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29</w:t>
      </w:r>
      <w:r>
        <w:rPr>
          <w:rFonts w:ascii="仿宋" w:hAnsi="仿宋" w:eastAsia="仿宋" w:cs="Times New Roman"/>
          <w:kern w:val="0"/>
          <w:sz w:val="32"/>
          <w:szCs w:val="32"/>
        </w:rPr>
        <w:t>__</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29</w:t>
      </w:r>
      <w:r>
        <w:rPr>
          <w:rFonts w:ascii="仿宋" w:hAnsi="仿宋" w:eastAsia="仿宋" w:cs="Times New Roman"/>
          <w:kern w:val="0"/>
          <w:sz w:val="32"/>
          <w:szCs w:val="32"/>
        </w:rPr>
        <w:t>__</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全部补助事业在职人数</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29</w:t>
      </w:r>
      <w:r>
        <w:rPr>
          <w:rFonts w:ascii="仿宋" w:hAnsi="仿宋" w:eastAsia="仿宋" w:cs="Times New Roman"/>
          <w:kern w:val="0"/>
          <w:sz w:val="32"/>
          <w:szCs w:val="32"/>
        </w:rPr>
        <w:t>__</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__</w:t>
      </w:r>
      <w:r>
        <w:rPr>
          <w:rFonts w:ascii="仿宋" w:hAnsi="仿宋" w:eastAsia="仿宋"/>
          <w:sz w:val="32"/>
          <w:szCs w:val="32"/>
        </w:rPr>
        <w:t>人,退休人数小计</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__</w:t>
      </w:r>
      <w:r>
        <w:rPr>
          <w:rFonts w:ascii="仿宋" w:hAnsi="仿宋" w:eastAsia="仿宋"/>
          <w:sz w:val="32"/>
          <w:szCs w:val="32"/>
        </w:rPr>
        <w:t>人,退职人员</w:t>
      </w:r>
      <w:r>
        <w:rPr>
          <w:rFonts w:ascii="仿宋" w:hAnsi="仿宋" w:eastAsia="仿宋" w:cs="Times New Roman"/>
          <w:kern w:val="0"/>
          <w:sz w:val="32"/>
          <w:szCs w:val="32"/>
        </w:rPr>
        <w:t>___</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_</w:t>
      </w:r>
      <w:r>
        <w:rPr>
          <w:rFonts w:ascii="仿宋" w:hAnsi="仿宋" w:eastAsia="仿宋"/>
          <w:sz w:val="32"/>
          <w:szCs w:val="32"/>
        </w:rPr>
        <w:t>人,遗属人数</w:t>
      </w:r>
      <w:r>
        <w:rPr>
          <w:rFonts w:ascii="仿宋" w:hAnsi="仿宋" w:eastAsia="仿宋" w:cs="Times New Roman"/>
          <w:kern w:val="0"/>
          <w:sz w:val="32"/>
          <w:szCs w:val="32"/>
        </w:rPr>
        <w:t>__</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__</w:t>
      </w:r>
      <w:r>
        <w:rPr>
          <w:rFonts w:ascii="仿宋" w:hAnsi="仿宋" w:eastAsia="仿宋"/>
          <w:sz w:val="32"/>
          <w:szCs w:val="32"/>
        </w:rPr>
        <w:t>人。</w:t>
      </w:r>
      <w:r>
        <w:fldChar w:fldCharType="end"/>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内设机构四办一中心：社会综合治理办公室、社会事务管理办公室、基层党建办公室、机关办公室、党群服务中心。</w:t>
      </w: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第二部分 </w:t>
      </w:r>
      <w:r>
        <w:rPr>
          <w:rFonts w:hint="eastAsia" w:ascii="黑体" w:hAnsi="黑体" w:eastAsia="黑体" w:cs="黑体"/>
          <w:b w:val="0"/>
          <w:bCs w:val="0"/>
          <w:color w:val="auto"/>
          <w:sz w:val="32"/>
          <w:szCs w:val="32"/>
        </w:rPr>
        <w:t>兴国县城市社区管理委员会部门</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FF0000"/>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本部门收入</w:t>
      </w:r>
      <w:r>
        <w:rPr>
          <w:rFonts w:hint="eastAsia" w:ascii="仿宋" w:hAnsi="仿宋" w:eastAsia="仿宋" w:cs="仿宋"/>
          <w:sz w:val="30"/>
          <w:szCs w:val="30"/>
        </w:rPr>
        <w:t>预算</w:t>
      </w:r>
      <w:r>
        <w:rPr>
          <w:rFonts w:hint="eastAsia" w:ascii="仿宋" w:hAnsi="仿宋" w:eastAsia="仿宋" w:cs="仿宋"/>
          <w:sz w:val="30"/>
          <w:szCs w:val="30"/>
          <w:lang w:eastAsia="zh-CN"/>
        </w:rPr>
        <w:t>总额</w:t>
      </w:r>
      <w:r>
        <w:rPr>
          <w:rFonts w:hint="eastAsia" w:ascii="仿宋" w:hAnsi="仿宋" w:eastAsia="仿宋" w:cs="仿宋"/>
          <w:color w:val="auto"/>
          <w:sz w:val="32"/>
          <w:szCs w:val="32"/>
          <w:lang w:val="en-US" w:eastAsia="zh-CN"/>
        </w:rPr>
        <w:t>1915.21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2866.53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增减变化主要原因是：无重点建设项目。</w:t>
      </w:r>
    </w:p>
    <w:p>
      <w:pPr>
        <w:spacing w:line="560" w:lineRule="exact"/>
        <w:ind w:firstLine="600" w:firstLineChars="200"/>
        <w:rPr>
          <w:rFonts w:hint="eastAsia" w:ascii="仿宋" w:hAnsi="仿宋" w:eastAsia="仿宋" w:cs="仿宋"/>
          <w:color w:val="FF0000"/>
          <w:sz w:val="30"/>
          <w:szCs w:val="30"/>
          <w:lang w:eastAsia="zh-CN"/>
        </w:rPr>
      </w:pPr>
      <w:r>
        <w:rPr>
          <w:rFonts w:hint="eastAsia" w:ascii="仿宋" w:hAnsi="仿宋" w:eastAsia="仿宋" w:cs="仿宋"/>
          <w:sz w:val="30"/>
          <w:szCs w:val="30"/>
        </w:rPr>
        <w:t>具体为：</w:t>
      </w:r>
      <w:r>
        <w:rPr>
          <w:rFonts w:hint="eastAsia" w:ascii="仿宋" w:hAnsi="仿宋" w:eastAsia="仿宋" w:cs="仿宋"/>
          <w:color w:val="auto"/>
          <w:sz w:val="32"/>
          <w:szCs w:val="32"/>
          <w:lang w:eastAsia="zh-CN"/>
        </w:rPr>
        <w:t>财政拨款</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1565.21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340.24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其他收入</w:t>
      </w:r>
      <w:r>
        <w:rPr>
          <w:rFonts w:hint="eastAsia" w:ascii="仿宋" w:hAnsi="仿宋" w:eastAsia="仿宋" w:cs="仿宋"/>
          <w:color w:val="auto"/>
          <w:sz w:val="32"/>
          <w:szCs w:val="32"/>
          <w:lang w:val="en-US" w:eastAsia="zh-CN"/>
        </w:rPr>
        <w:t>350</w:t>
      </w:r>
      <w:r>
        <w:rPr>
          <w:rFonts w:hint="eastAsia" w:ascii="仿宋" w:hAnsi="仿宋" w:eastAsia="仿宋" w:cs="仿宋"/>
          <w:color w:val="auto"/>
          <w:sz w:val="32"/>
          <w:szCs w:val="32"/>
          <w:lang w:eastAsia="zh-CN"/>
        </w:rPr>
        <w:t>万元，较上年预算安排减</w:t>
      </w:r>
      <w:r>
        <w:rPr>
          <w:rFonts w:hint="eastAsia" w:ascii="仿宋" w:hAnsi="仿宋" w:eastAsia="仿宋" w:cs="仿宋"/>
          <w:color w:val="auto"/>
          <w:sz w:val="32"/>
          <w:szCs w:val="32"/>
          <w:lang w:val="en-US" w:eastAsia="zh-CN"/>
        </w:rPr>
        <w:t>3006.49</w:t>
      </w:r>
      <w:r>
        <w:rPr>
          <w:rFonts w:hint="eastAsia" w:ascii="仿宋" w:hAnsi="仿宋" w:eastAsia="仿宋" w:cs="仿宋"/>
          <w:color w:val="auto"/>
          <w:sz w:val="32"/>
          <w:szCs w:val="32"/>
          <w:lang w:eastAsia="zh-CN"/>
        </w:rPr>
        <w:t>万元；上级补助收入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万元,较上年预算安排减少</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财政结转结余0</w:t>
      </w:r>
      <w:r>
        <w:rPr>
          <w:rFonts w:hint="eastAsia" w:ascii="仿宋" w:hAnsi="仿宋" w:eastAsia="仿宋" w:cs="仿宋"/>
          <w:color w:val="auto"/>
          <w:sz w:val="32"/>
          <w:szCs w:val="32"/>
          <w:lang w:eastAsia="zh-CN"/>
        </w:rPr>
        <w:t>万元，较上年预算安排减少</w:t>
      </w:r>
      <w:r>
        <w:rPr>
          <w:rFonts w:hint="eastAsia" w:ascii="仿宋" w:hAnsi="仿宋" w:eastAsia="仿宋" w:cs="仿宋"/>
          <w:color w:val="auto"/>
          <w:sz w:val="32"/>
          <w:szCs w:val="32"/>
          <w:lang w:val="en-US" w:eastAsia="zh-CN"/>
        </w:rPr>
        <w:t>185.28</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rPr>
        <w:t>1915.21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较上年预算安排减2866.53万元。</w:t>
      </w:r>
      <w:r>
        <w:rPr>
          <w:rFonts w:hint="eastAsia" w:ascii="仿宋" w:hAnsi="仿宋" w:eastAsia="仿宋" w:cs="仿宋"/>
          <w:color w:val="auto"/>
          <w:sz w:val="32"/>
          <w:szCs w:val="32"/>
          <w:lang w:eastAsia="zh-CN"/>
        </w:rPr>
        <w:t>增减变化主要原因是：无重点建设项目。</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sz w:val="30"/>
          <w:szCs w:val="30"/>
          <w:lang w:eastAsia="zh-CN"/>
        </w:rPr>
        <w:t>按</w:t>
      </w:r>
      <w:r>
        <w:rPr>
          <w:rFonts w:hint="eastAsia" w:ascii="仿宋" w:hAnsi="仿宋" w:eastAsia="仿宋" w:cs="仿宋"/>
          <w:color w:val="auto"/>
          <w:sz w:val="30"/>
          <w:szCs w:val="30"/>
          <w:lang w:eastAsia="zh-CN"/>
        </w:rPr>
        <w:t>支出项目类别及经济分类科目划分：基本支出</w:t>
      </w:r>
      <w:r>
        <w:rPr>
          <w:rFonts w:hint="eastAsia" w:ascii="仿宋" w:hAnsi="仿宋" w:eastAsia="仿宋" w:cs="仿宋"/>
          <w:color w:val="auto"/>
          <w:sz w:val="32"/>
          <w:szCs w:val="32"/>
          <w:lang w:val="en-US" w:eastAsia="zh-CN"/>
        </w:rPr>
        <w:t>382.62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63.36</w:t>
      </w:r>
      <w:r>
        <w:rPr>
          <w:rFonts w:hint="eastAsia" w:ascii="仿宋" w:hAnsi="仿宋" w:eastAsia="仿宋" w:cs="仿宋"/>
          <w:color w:val="auto"/>
          <w:sz w:val="32"/>
          <w:szCs w:val="32"/>
          <w:lang w:eastAsia="zh-CN"/>
        </w:rPr>
        <w:t>万元，占收入预算总额的</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356.97</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0"/>
          <w:szCs w:val="30"/>
          <w:lang w:val="en-US" w:eastAsia="zh-CN"/>
        </w:rPr>
        <w:t>25.65</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lang w:val="en-US" w:eastAsia="zh-CN"/>
        </w:rPr>
        <w:t>1532.59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2803.17</w:t>
      </w:r>
      <w:r>
        <w:rPr>
          <w:rFonts w:hint="eastAsia" w:ascii="仿宋" w:hAnsi="仿宋" w:eastAsia="仿宋" w:cs="仿宋"/>
          <w:color w:val="auto"/>
          <w:sz w:val="32"/>
          <w:szCs w:val="32"/>
          <w:lang w:eastAsia="zh-CN"/>
        </w:rPr>
        <w:t>万元，其中：工资福利支出</w:t>
      </w:r>
      <w:r>
        <w:rPr>
          <w:rFonts w:hint="eastAsia" w:ascii="仿宋" w:hAnsi="仿宋" w:eastAsia="仿宋" w:cs="仿宋"/>
          <w:color w:val="auto"/>
          <w:sz w:val="32"/>
          <w:szCs w:val="32"/>
          <w:lang w:val="en-US" w:eastAsia="zh-CN"/>
        </w:rPr>
        <w:t>748.4</w:t>
      </w:r>
      <w:r>
        <w:rPr>
          <w:rFonts w:hint="eastAsia" w:ascii="仿宋" w:hAnsi="仿宋" w:eastAsia="仿宋" w:cs="仿宋"/>
          <w:color w:val="auto"/>
          <w:sz w:val="32"/>
          <w:szCs w:val="32"/>
          <w:lang w:eastAsia="zh-CN"/>
        </w:rPr>
        <w:t>万元，商品和服务支出</w:t>
      </w:r>
      <w:r>
        <w:rPr>
          <w:rFonts w:hint="eastAsia" w:ascii="仿宋" w:hAnsi="仿宋" w:eastAsia="仿宋" w:cs="仿宋"/>
          <w:color w:val="auto"/>
          <w:sz w:val="32"/>
          <w:szCs w:val="32"/>
          <w:lang w:val="en-US" w:eastAsia="zh-CN"/>
        </w:rPr>
        <w:t>784.19</w:t>
      </w:r>
      <w:r>
        <w:rPr>
          <w:rFonts w:hint="eastAsia" w:ascii="仿宋" w:hAnsi="仿宋" w:eastAsia="仿宋" w:cs="仿宋"/>
          <w:color w:val="auto"/>
          <w:sz w:val="32"/>
          <w:szCs w:val="32"/>
          <w:lang w:eastAsia="zh-CN"/>
        </w:rPr>
        <w:t>万元，对个人和家庭的补助</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万元，资本性支出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万元，其他相关支出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FF0000"/>
          <w:sz w:val="24"/>
          <w:szCs w:val="24"/>
          <w:lang w:eastAsia="zh-CN"/>
        </w:rPr>
      </w:pPr>
      <w:r>
        <w:rPr>
          <w:rFonts w:hint="eastAsia" w:ascii="仿宋" w:hAnsi="仿宋" w:eastAsia="仿宋" w:cs="仿宋"/>
          <w:sz w:val="30"/>
          <w:szCs w:val="30"/>
          <w:lang w:eastAsia="zh-CN"/>
        </w:rPr>
        <w:t>按支出功能分类科目划分：</w:t>
      </w:r>
      <w:r>
        <w:rPr>
          <w:rFonts w:hint="eastAsia" w:ascii="仿宋" w:hAnsi="仿宋" w:eastAsia="仿宋" w:cs="仿宋"/>
          <w:color w:val="auto"/>
          <w:sz w:val="32"/>
          <w:szCs w:val="32"/>
          <w:lang w:eastAsia="zh-CN"/>
        </w:rPr>
        <w:t>卫生健康支出</w:t>
      </w:r>
      <w:r>
        <w:rPr>
          <w:rFonts w:hint="eastAsia" w:ascii="仿宋" w:hAnsi="仿宋" w:eastAsia="仿宋" w:cs="仿宋"/>
          <w:color w:val="auto"/>
          <w:sz w:val="32"/>
          <w:szCs w:val="32"/>
          <w:lang w:val="en-US" w:eastAsia="zh-CN"/>
        </w:rPr>
        <w:t>12.57</w:t>
      </w:r>
      <w:r>
        <w:rPr>
          <w:rFonts w:hint="eastAsia" w:ascii="仿宋" w:hAnsi="仿宋" w:eastAsia="仿宋" w:cs="仿宋"/>
          <w:color w:val="auto"/>
          <w:sz w:val="32"/>
          <w:szCs w:val="32"/>
          <w:lang w:eastAsia="zh-CN"/>
        </w:rPr>
        <w:t>万元，较上年预算安排增</w:t>
      </w:r>
      <w:r>
        <w:rPr>
          <w:rFonts w:hint="eastAsia" w:ascii="仿宋" w:hAnsi="仿宋" w:eastAsia="仿宋" w:cs="仿宋"/>
          <w:color w:val="auto"/>
          <w:sz w:val="32"/>
          <w:szCs w:val="32"/>
          <w:lang w:val="en-US" w:eastAsia="zh-CN"/>
        </w:rPr>
        <w:t>0.33</w:t>
      </w:r>
      <w:r>
        <w:rPr>
          <w:rFonts w:hint="eastAsia" w:ascii="仿宋" w:hAnsi="仿宋" w:eastAsia="仿宋" w:cs="仿宋"/>
          <w:color w:val="auto"/>
          <w:sz w:val="32"/>
          <w:szCs w:val="32"/>
          <w:lang w:eastAsia="zh-CN"/>
        </w:rPr>
        <w:t>万元；社会保障就业支出</w:t>
      </w:r>
      <w:r>
        <w:rPr>
          <w:rFonts w:hint="eastAsia" w:ascii="仿宋" w:hAnsi="仿宋" w:eastAsia="仿宋" w:cs="仿宋"/>
          <w:color w:val="auto"/>
          <w:sz w:val="32"/>
          <w:szCs w:val="32"/>
          <w:lang w:val="en-US" w:eastAsia="zh-CN"/>
        </w:rPr>
        <w:t>50.95</w:t>
      </w:r>
      <w:r>
        <w:rPr>
          <w:rFonts w:hint="eastAsia" w:ascii="仿宋" w:hAnsi="仿宋" w:eastAsia="仿宋" w:cs="仿宋"/>
          <w:color w:val="auto"/>
          <w:sz w:val="32"/>
          <w:szCs w:val="32"/>
          <w:lang w:eastAsia="zh-CN"/>
        </w:rPr>
        <w:t>万元，较上年预算安排减</w:t>
      </w:r>
      <w:r>
        <w:rPr>
          <w:rFonts w:hint="eastAsia" w:ascii="仿宋" w:hAnsi="仿宋" w:eastAsia="仿宋" w:cs="仿宋"/>
          <w:color w:val="auto"/>
          <w:sz w:val="32"/>
          <w:szCs w:val="32"/>
          <w:lang w:val="en-US" w:eastAsia="zh-CN"/>
        </w:rPr>
        <w:t>71.41</w:t>
      </w:r>
      <w:r>
        <w:rPr>
          <w:rFonts w:hint="eastAsia" w:ascii="仿宋" w:hAnsi="仿宋" w:eastAsia="仿宋" w:cs="仿宋"/>
          <w:color w:val="auto"/>
          <w:sz w:val="32"/>
          <w:szCs w:val="32"/>
          <w:lang w:eastAsia="zh-CN"/>
        </w:rPr>
        <w:t>万元；住房保障支出</w:t>
      </w:r>
      <w:r>
        <w:rPr>
          <w:rFonts w:hint="eastAsia" w:ascii="仿宋" w:hAnsi="仿宋" w:eastAsia="仿宋" w:cs="仿宋"/>
          <w:color w:val="auto"/>
          <w:sz w:val="32"/>
          <w:szCs w:val="32"/>
          <w:lang w:val="en-US" w:eastAsia="zh-CN"/>
        </w:rPr>
        <w:t>33.06</w:t>
      </w:r>
      <w:r>
        <w:rPr>
          <w:rFonts w:hint="eastAsia" w:ascii="仿宋" w:hAnsi="仿宋" w:eastAsia="仿宋" w:cs="仿宋"/>
          <w:color w:val="auto"/>
          <w:sz w:val="32"/>
          <w:szCs w:val="32"/>
          <w:lang w:eastAsia="zh-CN"/>
        </w:rPr>
        <w:t>万元，较上年预算安排减</w:t>
      </w:r>
      <w:r>
        <w:rPr>
          <w:rFonts w:hint="eastAsia" w:ascii="仿宋" w:hAnsi="仿宋" w:eastAsia="仿宋" w:cs="仿宋"/>
          <w:color w:val="auto"/>
          <w:sz w:val="32"/>
          <w:szCs w:val="32"/>
          <w:lang w:val="en-US" w:eastAsia="zh-CN"/>
        </w:rPr>
        <w:t>3297.23</w:t>
      </w:r>
      <w:r>
        <w:rPr>
          <w:rFonts w:hint="eastAsia" w:ascii="仿宋" w:hAnsi="仿宋" w:eastAsia="仿宋" w:cs="仿宋"/>
          <w:color w:val="auto"/>
          <w:sz w:val="32"/>
          <w:szCs w:val="32"/>
          <w:lang w:eastAsia="zh-CN"/>
        </w:rPr>
        <w:t>万元；城乡社区支出</w:t>
      </w:r>
      <w:r>
        <w:rPr>
          <w:rFonts w:hint="eastAsia" w:ascii="仿宋" w:hAnsi="仿宋" w:eastAsia="仿宋" w:cs="仿宋"/>
          <w:color w:val="auto"/>
          <w:sz w:val="32"/>
          <w:szCs w:val="32"/>
          <w:lang w:val="en-US" w:eastAsia="zh-CN"/>
        </w:rPr>
        <w:t>1818.63</w:t>
      </w:r>
      <w:r>
        <w:rPr>
          <w:rFonts w:hint="eastAsia" w:ascii="仿宋" w:hAnsi="仿宋" w:eastAsia="仿宋" w:cs="仿宋"/>
          <w:color w:val="auto"/>
          <w:sz w:val="32"/>
          <w:szCs w:val="32"/>
          <w:lang w:eastAsia="zh-CN"/>
        </w:rPr>
        <w:t>万元，较上年预算安排增</w:t>
      </w:r>
      <w:r>
        <w:rPr>
          <w:rFonts w:hint="eastAsia" w:ascii="仿宋" w:hAnsi="仿宋" w:eastAsia="仿宋" w:cs="仿宋"/>
          <w:color w:val="auto"/>
          <w:sz w:val="32"/>
          <w:szCs w:val="32"/>
          <w:lang w:val="en-US" w:eastAsia="zh-CN"/>
        </w:rPr>
        <w:t>501.78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1565.21</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81.7</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较上年预算安排增340.24万元，增</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增减变化主要原因是：人员调动工资福利调整。</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FF0000"/>
          <w:sz w:val="24"/>
          <w:szCs w:val="24"/>
        </w:rPr>
      </w:pPr>
      <w:r>
        <w:rPr>
          <w:rFonts w:hint="eastAsia" w:ascii="仿宋" w:hAnsi="仿宋" w:eastAsia="仿宋" w:cs="仿宋"/>
          <w:sz w:val="30"/>
          <w:szCs w:val="30"/>
          <w:lang w:eastAsia="zh-CN"/>
        </w:rPr>
        <w:t>按支出经济分类科目划分：基本支出382.62万元，较上年预算安排减63.36万元，其中：工资福利支出356.97万元，商品和服务支出25.65万元；项目支出1</w:t>
      </w:r>
      <w:r>
        <w:rPr>
          <w:rFonts w:hint="eastAsia" w:ascii="仿宋" w:hAnsi="仿宋" w:eastAsia="仿宋" w:cs="仿宋"/>
          <w:sz w:val="30"/>
          <w:szCs w:val="30"/>
          <w:lang w:val="en-US" w:eastAsia="zh-CN"/>
        </w:rPr>
        <w:t>18</w:t>
      </w:r>
      <w:r>
        <w:rPr>
          <w:rFonts w:hint="eastAsia" w:ascii="仿宋" w:hAnsi="仿宋" w:eastAsia="仿宋" w:cs="仿宋"/>
          <w:sz w:val="30"/>
          <w:szCs w:val="30"/>
          <w:lang w:eastAsia="zh-CN"/>
        </w:rPr>
        <w:t>2.59万元，较上年预算安排减2803.17万元，其中：工资福利支出748.4万元，商品和服务支出</w:t>
      </w:r>
      <w:r>
        <w:rPr>
          <w:rFonts w:hint="eastAsia" w:ascii="仿宋" w:hAnsi="仿宋" w:eastAsia="仿宋" w:cs="仿宋"/>
          <w:sz w:val="30"/>
          <w:szCs w:val="30"/>
          <w:lang w:val="en-US" w:eastAsia="zh-CN"/>
        </w:rPr>
        <w:t>43</w:t>
      </w:r>
      <w:r>
        <w:rPr>
          <w:rFonts w:hint="eastAsia" w:ascii="仿宋" w:hAnsi="仿宋" w:eastAsia="仿宋" w:cs="仿宋"/>
          <w:sz w:val="30"/>
          <w:szCs w:val="30"/>
          <w:lang w:eastAsia="zh-CN"/>
        </w:rPr>
        <w:t>4.19万元，对个人和家庭的补助0万元，资本性支出0万元，其他相关支出0万元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sz w:val="30"/>
          <w:szCs w:val="30"/>
          <w:lang w:eastAsia="zh-CN"/>
        </w:rPr>
        <w:t>按支出功能分类科目划分：</w:t>
      </w:r>
      <w:r>
        <w:rPr>
          <w:rFonts w:hint="eastAsia" w:ascii="仿宋" w:hAnsi="仿宋" w:eastAsia="仿宋" w:cs="仿宋"/>
          <w:color w:val="auto"/>
          <w:sz w:val="32"/>
          <w:szCs w:val="32"/>
          <w:lang w:eastAsia="zh-CN"/>
        </w:rPr>
        <w:t>卫生健康支出12.57万元，较上年预算安排增0.33万元；社会保障就业支出50.95万元，较上年预算安排减71.41万元；</w:t>
      </w:r>
      <w:r>
        <w:rPr>
          <w:rFonts w:hint="eastAsia" w:ascii="仿宋" w:hAnsi="仿宋" w:eastAsia="仿宋" w:cs="仿宋"/>
          <w:color w:val="auto"/>
          <w:sz w:val="32"/>
          <w:szCs w:val="32"/>
          <w:highlight w:val="none"/>
          <w:lang w:eastAsia="zh-CN"/>
        </w:rPr>
        <w:t>住房保障支出33.06万元，较上年预算安排减</w:t>
      </w:r>
      <w:r>
        <w:rPr>
          <w:rFonts w:hint="eastAsia" w:ascii="仿宋" w:hAnsi="仿宋" w:eastAsia="仿宋" w:cs="仿宋"/>
          <w:color w:val="auto"/>
          <w:sz w:val="32"/>
          <w:szCs w:val="32"/>
          <w:highlight w:val="none"/>
          <w:lang w:val="en-US" w:eastAsia="zh-CN"/>
        </w:rPr>
        <w:t>90.46</w:t>
      </w:r>
      <w:r>
        <w:rPr>
          <w:rFonts w:hint="eastAsia" w:ascii="仿宋" w:hAnsi="仿宋" w:eastAsia="仿宋" w:cs="仿宋"/>
          <w:color w:val="auto"/>
          <w:sz w:val="32"/>
          <w:szCs w:val="32"/>
          <w:highlight w:val="none"/>
          <w:lang w:eastAsia="zh-CN"/>
        </w:rPr>
        <w:t>万元；城乡社区支出1</w:t>
      </w:r>
      <w:r>
        <w:rPr>
          <w:rFonts w:hint="eastAsia" w:ascii="仿宋" w:hAnsi="仿宋" w:eastAsia="仿宋" w:cs="仿宋"/>
          <w:color w:val="auto"/>
          <w:sz w:val="32"/>
          <w:szCs w:val="32"/>
          <w:highlight w:val="none"/>
          <w:lang w:val="en-US" w:eastAsia="zh-CN"/>
        </w:rPr>
        <w:t>468</w:t>
      </w:r>
      <w:r>
        <w:rPr>
          <w:rFonts w:hint="eastAsia" w:ascii="仿宋" w:hAnsi="仿宋" w:eastAsia="仿宋" w:cs="仿宋"/>
          <w:color w:val="auto"/>
          <w:sz w:val="32"/>
          <w:szCs w:val="32"/>
          <w:highlight w:val="none"/>
          <w:lang w:eastAsia="zh-CN"/>
        </w:rPr>
        <w:t>.63万元，较上年预算安排增501.78万元。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color w:val="FF0000"/>
          <w:sz w:val="24"/>
          <w:szCs w:val="24"/>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年部门无政府性基金预算拨款安排的支出</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25.65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0.35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％。增减变化主要原因是工作开展增多，2022年因疫情开支较2023年少。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1182.59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sz w:val="32"/>
          <w:szCs w:val="32"/>
          <w:lang w:eastAsia="zh-CN"/>
        </w:rPr>
        <w:t>其中：</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项目名称：管委会工作经费</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：通过经费的有力保障，进一步优化单位工作环境，营造良好浓厚的工作氛围，保障工作开展。</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立项依据</w:t>
      </w:r>
      <w:r>
        <w:rPr>
          <w:rFonts w:hint="eastAsia" w:ascii="仿宋" w:hAnsi="仿宋" w:eastAsia="仿宋" w:cs="仿宋"/>
          <w:sz w:val="32"/>
          <w:szCs w:val="32"/>
          <w:lang w:eastAsia="zh-CN"/>
        </w:rPr>
        <w:t>：《兴国县创建国家卫生县城实施方案》、《兴国县开展市域社会治理现代化试点工作实施方案》（兴办发【</w:t>
      </w:r>
      <w:r>
        <w:rPr>
          <w:rFonts w:hint="eastAsia" w:ascii="仿宋" w:hAnsi="仿宋" w:eastAsia="仿宋" w:cs="仿宋"/>
          <w:sz w:val="32"/>
          <w:szCs w:val="32"/>
          <w:lang w:val="en-US" w:eastAsia="zh-CN"/>
        </w:rPr>
        <w:t>2020</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6号</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b/>
          <w:bCs/>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rPr>
        <w:t>实施主体</w:t>
      </w:r>
      <w:r>
        <w:rPr>
          <w:rFonts w:hint="eastAsia" w:ascii="仿宋" w:hAnsi="仿宋" w:eastAsia="仿宋" w:cs="仿宋"/>
          <w:sz w:val="32"/>
          <w:szCs w:val="32"/>
          <w:lang w:eastAsia="zh-CN"/>
        </w:rPr>
        <w:t>：</w:t>
      </w:r>
      <w:r>
        <w:rPr>
          <w:rFonts w:ascii="宋体" w:hAnsi="宋体" w:eastAsia="宋体" w:cs="宋体"/>
          <w:sz w:val="24"/>
          <w:szCs w:val="24"/>
        </w:rPr>
        <w:t>兴国县城市社区管理委员会</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：一年</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rPr>
        <w:t>5</w:t>
      </w:r>
      <w:r>
        <w:rPr>
          <w:rFonts w:hint="eastAsia" w:ascii="仿宋" w:hAnsi="仿宋" w:eastAsia="仿宋" w:cs="仿宋"/>
          <w:sz w:val="32"/>
          <w:szCs w:val="32"/>
          <w:lang w:eastAsia="zh-CN"/>
        </w:rPr>
        <w:t>）</w:t>
      </w:r>
      <w:r>
        <w:rPr>
          <w:rFonts w:hint="eastAsia" w:ascii="仿宋" w:hAnsi="仿宋" w:eastAsia="仿宋" w:cs="仿宋"/>
          <w:sz w:val="32"/>
          <w:szCs w:val="32"/>
        </w:rPr>
        <w:t>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220万元</w:t>
      </w:r>
    </w:p>
    <w:p>
      <w:pPr>
        <w:pStyle w:val="2"/>
        <w:ind w:firstLine="640" w:firstLineChars="200"/>
        <w:rPr>
          <w:rFonts w:hint="eastAsia"/>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6</w:t>
      </w:r>
      <w:r>
        <w:rPr>
          <w:rFonts w:hint="eastAsia" w:ascii="仿宋" w:hAnsi="仿宋" w:eastAsia="仿宋" w:cs="仿宋"/>
          <w:sz w:val="32"/>
          <w:szCs w:val="32"/>
          <w:lang w:eastAsia="zh-CN"/>
        </w:rPr>
        <w:t>）</w:t>
      </w:r>
      <w:r>
        <w:rPr>
          <w:rFonts w:hint="eastAsia" w:ascii="仿宋" w:hAnsi="仿宋" w:eastAsia="仿宋" w:cs="仿宋"/>
          <w:sz w:val="32"/>
          <w:szCs w:val="32"/>
        </w:rPr>
        <w:t>年度绩效目标</w:t>
      </w:r>
      <w:r>
        <w:rPr>
          <w:rFonts w:hint="eastAsia" w:ascii="仿宋" w:hAnsi="仿宋" w:eastAsia="仿宋" w:cs="仿宋"/>
          <w:sz w:val="32"/>
          <w:szCs w:val="32"/>
          <w:lang w:eastAsia="zh-CN"/>
        </w:rPr>
        <w:t>：通过经费的有力保障，进一步优化单位工作环境，营造良好浓厚的工作氛围，保障工作开展，工作督查督办、相关会务、办公系统运维、应急值守信息协调等相关业务活动的开展，提升机关运转效率和政务服务水平。进一步解决群众各类困难问题，改善群众生活条件，化解基本矛盾，完成武装各项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lang w:val="en-US" w:eastAsia="zh-CN" w:bidi="ar-SA"/>
        </w:rPr>
      </w:pPr>
      <w:r>
        <w:rPr>
          <w:rFonts w:hint="eastAsia" w:ascii="仿宋" w:hAnsi="仿宋" w:eastAsia="仿宋" w:cs="仿宋"/>
          <w:color w:val="auto"/>
          <w:sz w:val="32"/>
          <w:szCs w:val="32"/>
          <w:lang w:val="en-US" w:eastAsia="zh-CN"/>
        </w:rPr>
        <w:t>无使用国有资本经营预算拨款安排的支出</w:t>
      </w:r>
    </w:p>
    <w:p>
      <w:pPr>
        <w:pStyle w:val="2"/>
        <w:ind w:firstLine="480" w:firstLineChars="200"/>
        <w:rPr>
          <w:rFonts w:hint="eastAsia" w:ascii="仿宋" w:hAnsi="仿宋" w:eastAsia="仿宋" w:cs="仿宋"/>
          <w:color w:val="FF0000"/>
          <w:sz w:val="24"/>
          <w:szCs w:val="24"/>
          <w:lang w:eastAsia="zh-CN"/>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年兴国县城市社区管理委员会“三公”经费一般公共预算安排</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 xml:space="preserve">万元，主要原因是： </w:t>
      </w: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18</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城区接待减少</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无变化与上年持平</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无计划购置</w:t>
      </w:r>
      <w:r>
        <w:rPr>
          <w:rFonts w:hint="eastAsia" w:ascii="仿宋" w:hAnsi="仿宋" w:eastAsia="仿宋" w:cs="仿宋"/>
          <w:color w:val="auto"/>
          <w:sz w:val="32"/>
          <w:szCs w:val="32"/>
        </w:rPr>
        <w:t>。</w:t>
      </w:r>
    </w:p>
    <w:p>
      <w:pPr>
        <w:spacing w:line="560" w:lineRule="exact"/>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 xml:space="preserve">第三部分 </w:t>
      </w:r>
      <w:r>
        <w:rPr>
          <w:rFonts w:hint="eastAsia" w:ascii="黑体" w:hAnsi="黑体" w:eastAsia="黑体" w:cs="黑体"/>
          <w:b w:val="0"/>
          <w:bCs w:val="0"/>
          <w:color w:val="auto"/>
          <w:sz w:val="32"/>
          <w:szCs w:val="32"/>
        </w:rPr>
        <w:t>兴国县城市社区管理委员会</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sz w:val="32"/>
          <w:szCs w:val="32"/>
        </w:rPr>
        <w:t>部门预算表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一、《收支预算总表》</w:t>
      </w:r>
    </w:p>
    <w:p>
      <w:pPr>
        <w:pStyle w:val="2"/>
        <w:rPr>
          <w:rFonts w:hint="eastAsia" w:eastAsia="仿宋"/>
          <w:color w:val="FF0000"/>
          <w:lang w:eastAsia="zh-CN"/>
        </w:rPr>
      </w:pPr>
      <w:r>
        <w:drawing>
          <wp:inline distT="0" distB="0" distL="114300" distR="114300">
            <wp:extent cx="5783580" cy="6696075"/>
            <wp:effectExtent l="0" t="0" r="762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783580" cy="6696075"/>
                    </a:xfrm>
                    <a:prstGeom prst="rect">
                      <a:avLst/>
                    </a:prstGeom>
                    <a:noFill/>
                    <a:ln>
                      <a:noFill/>
                    </a:ln>
                  </pic:spPr>
                </pic:pic>
              </a:graphicData>
            </a:graphic>
          </wp:inline>
        </w:drawing>
      </w:r>
    </w:p>
    <w:p>
      <w:pPr>
        <w:pStyle w:val="2"/>
        <w:numPr>
          <w:ilvl w:val="0"/>
          <w:numId w:val="1"/>
        </w:numPr>
        <w:rPr>
          <w:rFonts w:hint="eastAsia" w:ascii="仿宋" w:hAnsi="仿宋" w:eastAsia="仿宋" w:cs="仿宋"/>
          <w:sz w:val="32"/>
          <w:szCs w:val="32"/>
        </w:rPr>
      </w:pPr>
      <w:r>
        <w:rPr>
          <w:rFonts w:hint="eastAsia" w:ascii="仿宋" w:hAnsi="仿宋" w:eastAsia="仿宋" w:cs="仿宋"/>
          <w:sz w:val="32"/>
          <w:szCs w:val="32"/>
        </w:rPr>
        <w:t>《部门收入总表》</w:t>
      </w:r>
    </w:p>
    <w:p>
      <w:pPr>
        <w:pStyle w:val="2"/>
        <w:numPr>
          <w:ilvl w:val="0"/>
          <w:numId w:val="0"/>
        </w:numPr>
        <w:rPr>
          <w:rFonts w:hint="eastAsia" w:eastAsia="仿宋"/>
          <w:color w:val="FF0000"/>
          <w:lang w:eastAsia="zh-CN"/>
        </w:rPr>
      </w:pPr>
      <w:bookmarkStart w:id="0" w:name="_GoBack"/>
      <w:r>
        <w:drawing>
          <wp:inline distT="0" distB="0" distL="114300" distR="114300">
            <wp:extent cx="5539740" cy="5285105"/>
            <wp:effectExtent l="0" t="0" r="3810" b="1079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5539740" cy="5285105"/>
                    </a:xfrm>
                    <a:prstGeom prst="rect">
                      <a:avLst/>
                    </a:prstGeom>
                    <a:noFill/>
                    <a:ln>
                      <a:noFill/>
                    </a:ln>
                  </pic:spPr>
                </pic:pic>
              </a:graphicData>
            </a:graphic>
          </wp:inline>
        </w:drawing>
      </w:r>
      <w:bookmarkEnd w:id="0"/>
    </w:p>
    <w:p>
      <w:pPr>
        <w:pStyle w:val="2"/>
        <w:numPr>
          <w:ilvl w:val="0"/>
          <w:numId w:val="0"/>
        </w:numPr>
        <w:rPr>
          <w:rFonts w:ascii="仿宋" w:hAnsi="仿宋" w:eastAsia="仿宋" w:cs="仿宋"/>
          <w:sz w:val="32"/>
          <w:szCs w:val="32"/>
        </w:rPr>
      </w:pPr>
    </w:p>
    <w:p>
      <w:pPr>
        <w:pStyle w:val="2"/>
        <w:numPr>
          <w:ilvl w:val="0"/>
          <w:numId w:val="0"/>
        </w:numPr>
        <w:rPr>
          <w:rFonts w:ascii="仿宋" w:hAnsi="仿宋" w:eastAsia="仿宋" w:cs="仿宋"/>
          <w:sz w:val="32"/>
          <w:szCs w:val="32"/>
        </w:r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《部门支出总表》</w:t>
      </w:r>
    </w:p>
    <w:p>
      <w:pPr>
        <w:pStyle w:val="2"/>
      </w:pPr>
      <w:r>
        <w:drawing>
          <wp:inline distT="0" distB="0" distL="114300" distR="114300">
            <wp:extent cx="5536565" cy="2661920"/>
            <wp:effectExtent l="0" t="0" r="6985" b="508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a:stretch>
                      <a:fillRect/>
                    </a:stretch>
                  </pic:blipFill>
                  <pic:spPr>
                    <a:xfrm>
                      <a:off x="0" y="0"/>
                      <a:ext cx="5536565" cy="2661920"/>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《财政拨款收支总表》</w:t>
      </w:r>
    </w:p>
    <w:p>
      <w:pPr>
        <w:pStyle w:val="2"/>
        <w:rPr>
          <w:rFonts w:hint="eastAsia" w:eastAsia="仿宋"/>
          <w:color w:val="FF0000"/>
          <w:lang w:eastAsia="zh-CN"/>
        </w:rPr>
      </w:pPr>
      <w:r>
        <w:drawing>
          <wp:inline distT="0" distB="0" distL="114300" distR="114300">
            <wp:extent cx="5542280" cy="4081145"/>
            <wp:effectExtent l="0" t="0" r="1270" b="1460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8"/>
                    <a:stretch>
                      <a:fillRect/>
                    </a:stretch>
                  </pic:blipFill>
                  <pic:spPr>
                    <a:xfrm>
                      <a:off x="0" y="0"/>
                      <a:ext cx="5542280" cy="4081145"/>
                    </a:xfrm>
                    <a:prstGeom prst="rect">
                      <a:avLst/>
                    </a:prstGeom>
                    <a:noFill/>
                    <a:ln>
                      <a:noFill/>
                    </a:ln>
                  </pic:spPr>
                </pic:pic>
              </a:graphicData>
            </a:graphic>
          </wp:inline>
        </w:drawing>
      </w:r>
    </w:p>
    <w:p>
      <w:pPr>
        <w:pStyle w:val="2"/>
      </w:pPr>
    </w:p>
    <w:p>
      <w:pPr>
        <w:pStyle w:val="2"/>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《一般公共预算支出表》</w:t>
      </w:r>
    </w:p>
    <w:p>
      <w:pPr>
        <w:pStyle w:val="2"/>
      </w:pPr>
      <w:r>
        <w:drawing>
          <wp:inline distT="0" distB="0" distL="114300" distR="114300">
            <wp:extent cx="5537835" cy="2618740"/>
            <wp:effectExtent l="0" t="0" r="5715" b="1016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9"/>
                    <a:stretch>
                      <a:fillRect/>
                    </a:stretch>
                  </pic:blipFill>
                  <pic:spPr>
                    <a:xfrm>
                      <a:off x="0" y="0"/>
                      <a:ext cx="5537835" cy="2618740"/>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《一般公共预算基本支出表》</w:t>
      </w:r>
    </w:p>
    <w:p>
      <w:pPr>
        <w:pStyle w:val="2"/>
      </w:pPr>
      <w:r>
        <w:drawing>
          <wp:inline distT="0" distB="0" distL="114300" distR="114300">
            <wp:extent cx="5535295" cy="3169920"/>
            <wp:effectExtent l="0" t="0" r="8255" b="1143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0"/>
                    <a:stretch>
                      <a:fillRect/>
                    </a:stretch>
                  </pic:blipFill>
                  <pic:spPr>
                    <a:xfrm>
                      <a:off x="0" y="0"/>
                      <a:ext cx="5535295" cy="3169920"/>
                    </a:xfrm>
                    <a:prstGeom prst="rect">
                      <a:avLst/>
                    </a:prstGeom>
                    <a:noFill/>
                    <a:ln>
                      <a:noFill/>
                    </a:ln>
                  </pic:spPr>
                </pic:pic>
              </a:graphicData>
            </a:graphic>
          </wp:inline>
        </w:drawing>
      </w:r>
    </w:p>
    <w:p>
      <w:pPr>
        <w:pStyle w:val="2"/>
      </w:pPr>
    </w:p>
    <w:p>
      <w:pPr>
        <w:pStyle w:val="2"/>
      </w:pPr>
    </w:p>
    <w:p>
      <w:pPr>
        <w:pStyle w:val="2"/>
      </w:pPr>
    </w:p>
    <w:p>
      <w:pPr>
        <w:pStyle w:val="2"/>
      </w:pPr>
    </w:p>
    <w:p>
      <w:pPr>
        <w:pStyle w:val="2"/>
        <w:rPr>
          <w:rFonts w:hint="eastAsia"/>
          <w:lang w:eastAsia="zh-CN"/>
        </w:rPr>
      </w:pP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《一般公共预算“三公”经费支出表》</w:t>
      </w:r>
    </w:p>
    <w:p>
      <w:pPr>
        <w:pStyle w:val="2"/>
      </w:pPr>
      <w:r>
        <w:drawing>
          <wp:inline distT="0" distB="0" distL="114300" distR="114300">
            <wp:extent cx="5542280" cy="1649730"/>
            <wp:effectExtent l="0" t="0" r="1270" b="762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1"/>
                    <a:stretch>
                      <a:fillRect/>
                    </a:stretch>
                  </pic:blipFill>
                  <pic:spPr>
                    <a:xfrm>
                      <a:off x="0" y="0"/>
                      <a:ext cx="5542280" cy="1649730"/>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《政府性基金预算支出表》</w:t>
      </w:r>
    </w:p>
    <w:p>
      <w:pPr>
        <w:pStyle w:val="2"/>
      </w:pPr>
      <w:r>
        <w:drawing>
          <wp:inline distT="0" distB="0" distL="114300" distR="114300">
            <wp:extent cx="5541010" cy="1019810"/>
            <wp:effectExtent l="0" t="0" r="2540" b="889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2"/>
                    <a:stretch>
                      <a:fillRect/>
                    </a:stretch>
                  </pic:blipFill>
                  <pic:spPr>
                    <a:xfrm>
                      <a:off x="0" y="0"/>
                      <a:ext cx="5541010" cy="1019810"/>
                    </a:xfrm>
                    <a:prstGeom prst="rect">
                      <a:avLst/>
                    </a:prstGeom>
                    <a:noFill/>
                    <a:ln>
                      <a:noFill/>
                    </a:ln>
                  </pic:spPr>
                </pic:pic>
              </a:graphicData>
            </a:graphic>
          </wp:inline>
        </w:drawing>
      </w:r>
    </w:p>
    <w:p>
      <w:pPr>
        <w:pStyle w:val="2"/>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九、《国有资本经营预算支出表》</w:t>
      </w:r>
    </w:p>
    <w:p>
      <w:pPr>
        <w:pStyle w:val="2"/>
        <w:rPr>
          <w:rFonts w:hint="eastAsia"/>
        </w:rPr>
      </w:pPr>
    </w:p>
    <w:p>
      <w:pPr>
        <w:pStyle w:val="2"/>
      </w:pPr>
      <w:r>
        <w:drawing>
          <wp:inline distT="0" distB="0" distL="114300" distR="114300">
            <wp:extent cx="5544185" cy="1276350"/>
            <wp:effectExtent l="0" t="0" r="18415"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13"/>
                    <a:stretch>
                      <a:fillRect/>
                    </a:stretch>
                  </pic:blipFill>
                  <pic:spPr>
                    <a:xfrm>
                      <a:off x="0" y="0"/>
                      <a:ext cx="5544185" cy="127635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rPr>
          <w:rFonts w:hint="eastAsia"/>
          <w:lang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p>
      <w:pPr>
        <w:pStyle w:val="2"/>
        <w:rPr>
          <w:rFonts w:hint="eastAsia" w:eastAsia="仿宋"/>
          <w:color w:val="FF0000"/>
          <w:lang w:eastAsia="zh-CN"/>
        </w:rPr>
      </w:pPr>
      <w:r>
        <w:drawing>
          <wp:inline distT="0" distB="0" distL="114300" distR="114300">
            <wp:extent cx="5540375" cy="7247255"/>
            <wp:effectExtent l="0" t="0" r="3175" b="1079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4"/>
                    <a:stretch>
                      <a:fillRect/>
                    </a:stretch>
                  </pic:blipFill>
                  <pic:spPr>
                    <a:xfrm>
                      <a:off x="0" y="0"/>
                      <a:ext cx="5540375" cy="7247255"/>
                    </a:xfrm>
                    <a:prstGeom prst="rect">
                      <a:avLst/>
                    </a:prstGeom>
                    <a:noFill/>
                    <a:ln>
                      <a:noFill/>
                    </a:ln>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numPr>
          <w:ilvl w:val="0"/>
          <w:numId w:val="0"/>
        </w:numPr>
        <w:spacing w:line="560" w:lineRule="exact"/>
        <w:ind w:leftChars="0"/>
      </w:pPr>
      <w:r>
        <w:rPr>
          <w:rFonts w:hint="eastAsia" w:ascii="仿宋" w:hAnsi="仿宋" w:eastAsia="仿宋" w:cs="仿宋"/>
          <w:sz w:val="32"/>
          <w:szCs w:val="32"/>
          <w:lang w:val="en-US" w:eastAsia="zh-CN"/>
        </w:rPr>
        <w:t>十一、</w:t>
      </w:r>
      <w:r>
        <w:rPr>
          <w:rFonts w:hint="eastAsia" w:ascii="仿宋" w:hAnsi="仿宋" w:eastAsia="仿宋" w:cs="仿宋"/>
          <w:sz w:val="32"/>
          <w:szCs w:val="32"/>
        </w:rPr>
        <w:t>《项目支出绩效目标表》</w:t>
      </w:r>
    </w:p>
    <w:p>
      <w:pPr>
        <w:pStyle w:val="2"/>
      </w:pPr>
      <w:r>
        <w:drawing>
          <wp:inline distT="0" distB="0" distL="114300" distR="114300">
            <wp:extent cx="5994400" cy="6762750"/>
            <wp:effectExtent l="0" t="0" r="6350" b="0"/>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5"/>
                    <a:stretch>
                      <a:fillRect/>
                    </a:stretch>
                  </pic:blipFill>
                  <pic:spPr>
                    <a:xfrm>
                      <a:off x="0" y="0"/>
                      <a:ext cx="5994400" cy="6762750"/>
                    </a:xfrm>
                    <a:prstGeom prst="rect">
                      <a:avLst/>
                    </a:prstGeom>
                    <a:noFill/>
                    <a:ln>
                      <a:noFill/>
                    </a:ln>
                  </pic:spPr>
                </pic:pic>
              </a:graphicData>
            </a:graphic>
          </wp:inline>
        </w:drawing>
      </w:r>
    </w:p>
    <w:p>
      <w:pPr>
        <w:pStyle w:val="2"/>
        <w:rPr>
          <w:rFonts w:hint="eastAsia"/>
          <w:lang w:eastAsia="zh-CN"/>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ascii="仿宋" w:hAnsi="仿宋" w:eastAsia="仿宋" w:cs="仿宋"/>
          <w:sz w:val="32"/>
          <w:szCs w:val="32"/>
        </w:rPr>
      </w:pPr>
      <w:r>
        <w:rPr>
          <w:rFonts w:hint="eastAsia" w:ascii="楷体" w:hAnsi="楷体" w:eastAsia="楷体" w:cs="楷体"/>
          <w:b/>
          <w:bCs/>
          <w:sz w:val="32"/>
          <w:szCs w:val="32"/>
        </w:rPr>
        <w:t>二、支出科目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（一）一般公共服务支出：主要用于保障机关事业单位正常运转，支持各 机关单位履行职能的基本支出。 </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（二）社会保障和就业支出：机关事业单位人员养老保险、疾病保险、生育保险、工伤保险、伤残保险等支出。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（三）医疗卫生支出：单位人员基本医疗保险费及公务员医疗补助等支出。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（四）住房保障支出：反映对行政事业单位在职职工缴纳的住房公积金。 </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w:t>
      </w:r>
      <w:r>
        <w:rPr>
          <w:rFonts w:hint="eastAsia" w:ascii="仿宋" w:hAnsi="仿宋" w:eastAsia="仿宋" w:cs="仿宋"/>
          <w:sz w:val="32"/>
          <w:szCs w:val="32"/>
          <w:lang w:eastAsia="zh-CN"/>
        </w:rPr>
        <w:t>五</w:t>
      </w:r>
      <w:r>
        <w:rPr>
          <w:rFonts w:hint="eastAsia" w:ascii="仿宋" w:hAnsi="仿宋" w:eastAsia="仿宋" w:cs="仿宋"/>
          <w:sz w:val="32"/>
          <w:szCs w:val="32"/>
        </w:rPr>
        <w:t>）死亡抚恤：反映单位遗属人员生活补助。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03603A-5F37-4B9E-B892-ED7662F0C9A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69B77355-62B4-45EB-A772-719985D102E1}"/>
  </w:font>
  <w:font w:name="仿宋">
    <w:panose1 w:val="02010609060101010101"/>
    <w:charset w:val="86"/>
    <w:family w:val="auto"/>
    <w:pitch w:val="default"/>
    <w:sig w:usb0="800002BF" w:usb1="38CF7CFA" w:usb2="00000016" w:usb3="00000000" w:csb0="00040001" w:csb1="00000000"/>
    <w:embedRegular r:id="rId3" w:fontKey="{3D8A2B9A-408A-4FBE-B6EC-20C8E26BAA33}"/>
  </w:font>
  <w:font w:name="楷体">
    <w:panose1 w:val="02010609060101010101"/>
    <w:charset w:val="86"/>
    <w:family w:val="auto"/>
    <w:pitch w:val="default"/>
    <w:sig w:usb0="800002BF" w:usb1="38CF7CFA" w:usb2="00000016" w:usb3="00000000" w:csb0="00040001" w:csb1="00000000"/>
    <w:embedRegular r:id="rId4" w:fontKey="{F792FD70-3DE6-4D90-A4DA-544248773032}"/>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1F37E0F"/>
    <w:rsid w:val="04EE7A30"/>
    <w:rsid w:val="0A2973BB"/>
    <w:rsid w:val="0B5273C3"/>
    <w:rsid w:val="0C174BC2"/>
    <w:rsid w:val="23E77AD2"/>
    <w:rsid w:val="31F449E0"/>
    <w:rsid w:val="326D79FF"/>
    <w:rsid w:val="34E675F6"/>
    <w:rsid w:val="3A4013F4"/>
    <w:rsid w:val="3ACE4EB5"/>
    <w:rsid w:val="3CDB07AE"/>
    <w:rsid w:val="3F3B4A90"/>
    <w:rsid w:val="3F5F2902"/>
    <w:rsid w:val="3FFE2FA6"/>
    <w:rsid w:val="417E43C1"/>
    <w:rsid w:val="445E02C8"/>
    <w:rsid w:val="45432DDC"/>
    <w:rsid w:val="4B173EBC"/>
    <w:rsid w:val="4F6953AF"/>
    <w:rsid w:val="53B70A8F"/>
    <w:rsid w:val="54506EB5"/>
    <w:rsid w:val="5455279C"/>
    <w:rsid w:val="5CB70498"/>
    <w:rsid w:val="5D867E6A"/>
    <w:rsid w:val="5F463DDB"/>
    <w:rsid w:val="63236FCD"/>
    <w:rsid w:val="64863815"/>
    <w:rsid w:val="652E761C"/>
    <w:rsid w:val="6EC27C7B"/>
    <w:rsid w:val="6EEA3674"/>
    <w:rsid w:val="71724DA6"/>
    <w:rsid w:val="76FD2AF3"/>
    <w:rsid w:val="7A9B479F"/>
    <w:rsid w:val="7F5B7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3601</Words>
  <Characters>3951</Characters>
  <Lines>0</Lines>
  <Paragraphs>0</Paragraphs>
  <TotalTime>16</TotalTime>
  <ScaleCrop>false</ScaleCrop>
  <LinksUpToDate>false</LinksUpToDate>
  <CharactersWithSpaces>4033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2024-05-29T08:39:31Z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7B781DA91B2E4DA98B6F174388ED5278_13</vt:lpwstr>
  </property>
</Properties>
</file>