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BF6E4">
      <w:pPr>
        <w:rPr>
          <w:rFonts w:ascii="仿宋" w:hAnsi="仿宋" w:eastAsia="仿宋" w:cs="仿宋"/>
          <w:b/>
          <w:bCs/>
          <w:sz w:val="32"/>
          <w:szCs w:val="32"/>
        </w:rPr>
      </w:pPr>
    </w:p>
    <w:p w14:paraId="7CD4773D">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rPr>
        <w:t xml:space="preserve">  </w:t>
      </w:r>
      <w:bookmarkStart w:id="0" w:name="_GoBack"/>
      <w:r>
        <w:rPr>
          <w:rFonts w:hint="eastAsia" w:ascii="方正小标宋简体" w:hAnsi="方正小标宋简体" w:eastAsia="方正小标宋简体" w:cs="方正小标宋简体"/>
          <w:bCs/>
          <w:color w:val="000000" w:themeColor="text1"/>
          <w:sz w:val="44"/>
          <w:szCs w:val="44"/>
        </w:rPr>
        <w:t>政法委2023年单位预算编制说明</w:t>
      </w:r>
      <w:bookmarkEnd w:id="0"/>
    </w:p>
    <w:p w14:paraId="5F14513F">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14:paraId="30E8FD41">
      <w:pPr>
        <w:spacing w:line="560" w:lineRule="exact"/>
        <w:jc w:val="center"/>
        <w:rPr>
          <w:rFonts w:ascii="黑体" w:hAnsi="黑体" w:eastAsia="黑体" w:cs="黑体"/>
          <w:sz w:val="32"/>
          <w:szCs w:val="32"/>
        </w:rPr>
      </w:pPr>
    </w:p>
    <w:p w14:paraId="1768A2FB">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兴国县政法委单位概况</w:t>
      </w:r>
    </w:p>
    <w:p w14:paraId="78511D7B">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Cs/>
          <w:color w:val="000000" w:themeColor="text1"/>
          <w:sz w:val="32"/>
          <w:szCs w:val="32"/>
        </w:rPr>
        <w:t>单位</w:t>
      </w:r>
      <w:r>
        <w:rPr>
          <w:rFonts w:hint="eastAsia" w:ascii="仿宋" w:hAnsi="仿宋" w:eastAsia="仿宋" w:cs="仿宋"/>
          <w:sz w:val="32"/>
          <w:szCs w:val="32"/>
        </w:rPr>
        <w:t>主要职责</w:t>
      </w:r>
    </w:p>
    <w:p w14:paraId="41D4C92D">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bCs/>
          <w:color w:val="000000" w:themeColor="text1"/>
          <w:sz w:val="32"/>
          <w:szCs w:val="32"/>
        </w:rPr>
        <w:t>单位</w:t>
      </w:r>
      <w:r>
        <w:rPr>
          <w:rFonts w:hint="eastAsia" w:ascii="仿宋" w:hAnsi="仿宋" w:eastAsia="仿宋" w:cs="仿宋"/>
          <w:sz w:val="32"/>
          <w:szCs w:val="32"/>
        </w:rPr>
        <w:t>基本情况</w:t>
      </w:r>
    </w:p>
    <w:p w14:paraId="6B747D35">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兴国县政法委预算情况说明</w:t>
      </w:r>
    </w:p>
    <w:p w14:paraId="7BFE19BE">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w:t>
      </w:r>
      <w:r>
        <w:rPr>
          <w:rFonts w:hint="eastAsia" w:ascii="仿宋" w:hAnsi="仿宋" w:eastAsia="仿宋" w:cs="仿宋"/>
          <w:bCs/>
          <w:color w:val="000000" w:themeColor="text1"/>
          <w:sz w:val="32"/>
          <w:szCs w:val="32"/>
        </w:rPr>
        <w:t>单位</w:t>
      </w:r>
      <w:r>
        <w:rPr>
          <w:rFonts w:hint="eastAsia" w:ascii="仿宋" w:hAnsi="仿宋" w:eastAsia="仿宋" w:cs="仿宋"/>
          <w:sz w:val="32"/>
          <w:szCs w:val="32"/>
        </w:rPr>
        <w:t>预算收支情况说明</w:t>
      </w:r>
    </w:p>
    <w:p w14:paraId="4337BA2F">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14:paraId="218641FA">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兴国县政法委2023年</w:t>
      </w:r>
      <w:r>
        <w:rPr>
          <w:rFonts w:hint="eastAsia" w:ascii="仿宋" w:hAnsi="仿宋" w:eastAsia="仿宋" w:cs="仿宋"/>
          <w:bCs/>
          <w:color w:val="000000" w:themeColor="text1"/>
          <w:sz w:val="32"/>
          <w:szCs w:val="32"/>
        </w:rPr>
        <w:t>单位</w:t>
      </w:r>
      <w:r>
        <w:rPr>
          <w:rFonts w:hint="eastAsia" w:ascii="仿宋" w:hAnsi="仿宋" w:eastAsia="仿宋" w:cs="仿宋"/>
          <w:b/>
          <w:bCs/>
          <w:sz w:val="32"/>
          <w:szCs w:val="32"/>
        </w:rPr>
        <w:t>预算表</w:t>
      </w:r>
    </w:p>
    <w:p w14:paraId="01322BD9">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14:paraId="616FBCD3">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二、《单位收入总表》</w:t>
      </w:r>
    </w:p>
    <w:p w14:paraId="33DE5DEE">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三、《单位支出总表》</w:t>
      </w:r>
    </w:p>
    <w:p w14:paraId="23100AC3">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14:paraId="15C26458">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14:paraId="57426198">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14:paraId="1F84B3E0">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14:paraId="6433BFEE">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14:paraId="48A5AADB">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14:paraId="40D65FEB">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十、《项目支出绩效目标表》</w:t>
      </w:r>
    </w:p>
    <w:p w14:paraId="6A306098">
      <w:pPr>
        <w:spacing w:line="560" w:lineRule="exact"/>
        <w:ind w:left="635" w:leftChars="284" w:hanging="39" w:hangingChars="12"/>
        <w:rPr>
          <w:rFonts w:ascii="仿宋" w:hAnsi="仿宋" w:eastAsia="仿宋" w:cs="仿宋"/>
          <w:b/>
          <w:bCs/>
          <w:sz w:val="32"/>
          <w:szCs w:val="32"/>
        </w:rPr>
      </w:pPr>
      <w:r>
        <w:rPr>
          <w:rFonts w:hint="eastAsia" w:ascii="仿宋" w:hAnsi="仿宋" w:eastAsia="仿宋" w:cs="仿宋"/>
          <w:b/>
          <w:bCs/>
          <w:sz w:val="32"/>
          <w:szCs w:val="32"/>
        </w:rPr>
        <w:t>第四部分 名词解释</w:t>
      </w:r>
    </w:p>
    <w:p w14:paraId="363C34AE">
      <w:pPr>
        <w:spacing w:line="560" w:lineRule="exact"/>
        <w:jc w:val="center"/>
        <w:rPr>
          <w:rFonts w:ascii="仿宋" w:hAnsi="仿宋" w:eastAsia="仿宋" w:cs="仿宋"/>
          <w:b/>
          <w:bCs/>
          <w:sz w:val="32"/>
          <w:szCs w:val="32"/>
        </w:rPr>
      </w:pPr>
    </w:p>
    <w:p w14:paraId="5662647F">
      <w:pPr>
        <w:spacing w:line="560" w:lineRule="exact"/>
        <w:rPr>
          <w:rFonts w:ascii="仿宋" w:hAnsi="仿宋" w:eastAsia="仿宋" w:cs="仿宋"/>
          <w:b/>
          <w:bCs/>
          <w:sz w:val="32"/>
          <w:szCs w:val="32"/>
        </w:rPr>
      </w:pPr>
    </w:p>
    <w:p w14:paraId="6A73792A">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兴国县政法委单位概况</w:t>
      </w:r>
    </w:p>
    <w:p w14:paraId="12E79C64">
      <w:pPr>
        <w:spacing w:line="560" w:lineRule="exact"/>
        <w:jc w:val="center"/>
        <w:rPr>
          <w:rFonts w:ascii="仿宋" w:hAnsi="仿宋" w:eastAsia="仿宋" w:cs="仿宋"/>
          <w:b/>
          <w:bCs/>
          <w:sz w:val="32"/>
          <w:szCs w:val="32"/>
        </w:rPr>
      </w:pPr>
    </w:p>
    <w:p w14:paraId="2F4BA18E">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14:paraId="237DD606">
      <w:pPr>
        <w:autoSpaceDE w:val="0"/>
        <w:autoSpaceDN w:val="0"/>
        <w:adjustRightInd w:val="0"/>
        <w:spacing w:line="500" w:lineRule="exact"/>
        <w:ind w:firstLine="600"/>
        <w:rPr>
          <w:rFonts w:ascii="仿宋" w:hAnsi="仿宋" w:eastAsia="仿宋" w:cs="??_GB2312"/>
          <w:kern w:val="0"/>
          <w:sz w:val="32"/>
          <w:szCs w:val="32"/>
        </w:rPr>
      </w:pPr>
      <w:r>
        <w:rPr>
          <w:rFonts w:hint="eastAsia" w:ascii="仿宋" w:hAnsi="仿宋" w:eastAsia="仿宋"/>
          <w:sz w:val="32"/>
          <w:szCs w:val="32"/>
        </w:rPr>
        <w:t>中共兴国县委政法委员会是县委主管政法工作的工作机关，主要职责是：</w:t>
      </w:r>
      <w:r>
        <w:rPr>
          <w:rFonts w:hint="eastAsia" w:ascii="仿宋" w:hAnsi="仿宋" w:eastAsia="仿宋" w:cs="仿宋"/>
          <w:kern w:val="0"/>
          <w:sz w:val="32"/>
          <w:szCs w:val="32"/>
          <w:lang w:val="zh-CN"/>
        </w:rPr>
        <w:t>（一）认真贯彻落实党中央、省委、市委、县委决定，对全县政法工作研究提出全局性部署，推进平安兴国、法治兴国建设，推动政法领域全面深化改革，加强过硬队伍建设，深化智能化建设，严格执法、公正司法，坚决维护国家政治安全、确保社会大局稳定、促进社会公平正义、保障人民安居乐业。</w:t>
      </w:r>
      <w:r>
        <w:rPr>
          <w:rFonts w:hint="eastAsia" w:ascii="仿宋" w:hAnsi="仿宋" w:eastAsia="仿宋" w:cs="宋体"/>
          <w:kern w:val="0"/>
          <w:sz w:val="32"/>
          <w:szCs w:val="32"/>
          <w:lang w:val="zh-CN"/>
        </w:rPr>
        <w:t>（二）组织开展全县政法领域重大实践和理论问题调查研究，提出重大决策部署和改革措施的意见和建议，协助县委决策和统筹推进政法改革等各项工作。（三）了解掌握和分析研判全县社会稳定形势、政法工作情况动态，创新完善多部门参与的平安建设工作协调机制，协调推动预防、化解影响社会稳定的矛盾和风险，协调应对和妥善处置重大突发事件，协调指导政法单位和相关部门做好反邪教、反暴恐工作。（四）加强对全县政法工作的督查，统筹协调社会治安综合治理、维护社会稳定、反邪教、反暴恐等有关国家法律法规和政策的实施工作。（五）指导和推动政法单位党的建设和政法队伍建设，协助县委和县委干部主管部门加强政法单位领导班子和干部队伍建设，协助县委和县纪检监察机关做好监督检查、审查调查工作，派员列席县政法单位党委（党组）民主生活会。管理县法学会。（六）将安全生产工作纳入年度社会治安综合治理（平安建设）目标管理考核；将安全生产管理纳入各地社会治安综合治理（平安建设）网格化管理体系，发现、劝导、报告非法违法生产经营活动、重大安全隐患；牵头组织铁路沿线安全隐患整治。（七）完成县</w:t>
      </w:r>
      <w:r>
        <w:rPr>
          <w:rFonts w:hint="eastAsia" w:ascii="仿宋" w:hAnsi="仿宋" w:eastAsia="仿宋" w:cs="宋体"/>
          <w:color w:val="000000"/>
          <w:kern w:val="0"/>
          <w:sz w:val="32"/>
          <w:szCs w:val="32"/>
          <w:lang w:val="zh-CN"/>
        </w:rPr>
        <w:t>委、县政府交办的其它工作任</w:t>
      </w:r>
      <w:r>
        <w:rPr>
          <w:rFonts w:hint="eastAsia" w:ascii="仿宋" w:hAnsi="仿宋" w:eastAsia="仿宋" w:cs="宋体"/>
          <w:kern w:val="0"/>
          <w:sz w:val="32"/>
          <w:szCs w:val="32"/>
          <w:lang w:val="zh-CN"/>
        </w:rPr>
        <w:t>务。</w:t>
      </w:r>
    </w:p>
    <w:p w14:paraId="3F6E1E1C">
      <w:pPr>
        <w:numPr>
          <w:ilvl w:val="0"/>
          <w:numId w:val="1"/>
        </w:num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单位基本情况</w:t>
      </w:r>
    </w:p>
    <w:p w14:paraId="5E45AD21">
      <w:pPr>
        <w:ind w:firstLine="640" w:firstLineChars="200"/>
        <w:rPr>
          <w:rFonts w:ascii="仿宋" w:hAnsi="仿宋" w:eastAsia="仿宋"/>
          <w:sz w:val="32"/>
          <w:szCs w:val="32"/>
        </w:rPr>
      </w:pPr>
      <w:r>
        <w:rPr>
          <w:rFonts w:hint="eastAsia" w:ascii="仿宋" w:hAnsi="仿宋" w:eastAsia="仿宋" w:cs="仿宋"/>
          <w:sz w:val="32"/>
          <w:szCs w:val="32"/>
        </w:rPr>
        <w:t>2023年政法委</w:t>
      </w:r>
      <w:r>
        <w:rPr>
          <w:rFonts w:hint="eastAsia" w:ascii="仿宋" w:hAnsi="仿宋" w:eastAsia="仿宋"/>
          <w:sz w:val="32"/>
          <w:szCs w:val="32"/>
        </w:rPr>
        <w:t>单位共设处室</w:t>
      </w:r>
      <w:r>
        <w:rPr>
          <w:rFonts w:hint="eastAsia" w:ascii="仿宋" w:hAnsi="仿宋" w:eastAsia="仿宋" w:cs="Times New Roman"/>
          <w:kern w:val="0"/>
          <w:sz w:val="32"/>
          <w:szCs w:val="32"/>
        </w:rPr>
        <w:t>5</w:t>
      </w:r>
      <w:r>
        <w:rPr>
          <w:rFonts w:ascii="仿宋" w:hAnsi="仿宋" w:eastAsia="仿宋"/>
          <w:sz w:val="32"/>
          <w:szCs w:val="32"/>
        </w:rPr>
        <w:t>个，包括</w:t>
      </w:r>
      <w:r>
        <w:rPr>
          <w:rFonts w:hint="eastAsia" w:ascii="仿宋" w:hAnsi="仿宋" w:eastAsia="仿宋"/>
          <w:sz w:val="32"/>
          <w:szCs w:val="32"/>
        </w:rPr>
        <w:t>：办公室、</w:t>
      </w:r>
      <w:r>
        <w:rPr>
          <w:rFonts w:hint="eastAsia" w:ascii="仿宋" w:hAnsi="仿宋" w:eastAsia="仿宋" w:cs="宋体"/>
          <w:sz w:val="32"/>
          <w:szCs w:val="32"/>
        </w:rPr>
        <w:t>维稳指导室、基层社会治理室、政法队伍建设指导室、矛盾纠纷排查调处办公室</w:t>
      </w:r>
      <w:r>
        <w:rPr>
          <w:rFonts w:hint="eastAsia" w:ascii="仿宋" w:hAnsi="仿宋" w:eastAsia="仿宋"/>
          <w:sz w:val="32"/>
          <w:szCs w:val="32"/>
        </w:rPr>
        <w:t>。</w:t>
      </w:r>
    </w:p>
    <w:p w14:paraId="34A9D42A">
      <w:pPr>
        <w:snapToGrid w:val="0"/>
        <w:spacing w:line="600" w:lineRule="exact"/>
        <w:ind w:firstLine="640" w:firstLineChars="200"/>
        <w:rPr>
          <w:rFonts w:ascii="仿宋" w:hAnsi="仿宋" w:eastAsia="仿宋" w:cs="仿宋"/>
          <w:sz w:val="32"/>
          <w:szCs w:val="32"/>
        </w:rPr>
      </w:pPr>
      <w:r>
        <w:rPr>
          <w:rFonts w:hint="eastAsia" w:ascii="仿宋" w:hAnsi="仿宋" w:eastAsia="仿宋"/>
          <w:sz w:val="32"/>
          <w:szCs w:val="32"/>
        </w:rPr>
        <w:t>编制人数小计26个，其中：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rPr>
        <w:t>13</w:t>
      </w:r>
      <w:r>
        <w:rPr>
          <w:rFonts w:ascii="仿宋" w:hAnsi="仿宋" w:eastAsia="仿宋"/>
          <w:sz w:val="32"/>
          <w:szCs w:val="32"/>
        </w:rPr>
        <w:t>人,参照公务员管理的事业编制人数</w:t>
      </w:r>
      <w:r>
        <w:rPr>
          <w:rFonts w:hint="eastAsia" w:ascii="仿宋" w:hAnsi="仿宋" w:eastAsia="仿宋"/>
          <w:sz w:val="32"/>
          <w:szCs w:val="32"/>
        </w:rPr>
        <w:t>0</w:t>
      </w:r>
      <w:r>
        <w:rPr>
          <w:rFonts w:ascii="仿宋" w:hAnsi="仿宋" w:eastAsia="仿宋"/>
          <w:sz w:val="32"/>
          <w:szCs w:val="32"/>
        </w:rPr>
        <w:t>人,全部补助事业编制人数</w:t>
      </w:r>
      <w:r>
        <w:rPr>
          <w:rFonts w:hint="eastAsia" w:ascii="仿宋" w:hAnsi="仿宋" w:eastAsia="仿宋"/>
          <w:sz w:val="32"/>
          <w:szCs w:val="32"/>
        </w:rPr>
        <w:t>13</w:t>
      </w:r>
      <w:r>
        <w:rPr>
          <w:rFonts w:ascii="仿宋" w:hAnsi="仿宋" w:eastAsia="仿宋"/>
          <w:sz w:val="32"/>
          <w:szCs w:val="32"/>
        </w:rPr>
        <w:t>人,自收自支编制人数</w:t>
      </w:r>
      <w:r>
        <w:rPr>
          <w:rFonts w:hint="eastAsia" w:ascii="仿宋" w:hAnsi="仿宋" w:eastAsia="仿宋"/>
          <w:sz w:val="32"/>
          <w:szCs w:val="32"/>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rPr>
        <w:t>23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rPr>
        <w:t>23</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rPr>
        <w:t>13</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rPr>
        <w:t>0</w:t>
      </w:r>
      <w:r>
        <w:rPr>
          <w:rFonts w:ascii="仿宋" w:hAnsi="仿宋" w:eastAsia="仿宋"/>
          <w:sz w:val="32"/>
          <w:szCs w:val="32"/>
        </w:rPr>
        <w:t>人,全部补助事业在职人数</w:t>
      </w:r>
      <w:r>
        <w:rPr>
          <w:rFonts w:hint="eastAsia" w:ascii="仿宋" w:hAnsi="仿宋" w:eastAsia="仿宋" w:cs="Times New Roman"/>
          <w:kern w:val="0"/>
          <w:sz w:val="32"/>
          <w:szCs w:val="32"/>
        </w:rPr>
        <w:t>13</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rPr>
        <w:t>0</w:t>
      </w:r>
      <w:r>
        <w:rPr>
          <w:rFonts w:ascii="仿宋" w:hAnsi="仿宋" w:eastAsia="仿宋"/>
          <w:sz w:val="32"/>
          <w:szCs w:val="32"/>
        </w:rPr>
        <w:t>人,退休人数小计</w:t>
      </w:r>
      <w:r>
        <w:rPr>
          <w:rFonts w:hint="eastAsia" w:ascii="仿宋" w:hAnsi="仿宋" w:eastAsia="仿宋" w:cs="Times New Roman"/>
          <w:kern w:val="0"/>
          <w:sz w:val="32"/>
          <w:szCs w:val="32"/>
        </w:rPr>
        <w:t>3</w:t>
      </w:r>
      <w:r>
        <w:rPr>
          <w:rFonts w:ascii="仿宋" w:hAnsi="仿宋" w:eastAsia="仿宋"/>
          <w:sz w:val="32"/>
          <w:szCs w:val="32"/>
        </w:rPr>
        <w:t>人,退职人员</w:t>
      </w:r>
      <w:r>
        <w:rPr>
          <w:rFonts w:hint="eastAsia" w:ascii="仿宋" w:hAnsi="仿宋" w:eastAsia="仿宋" w:cs="Times New Roman"/>
          <w:kern w:val="0"/>
          <w:sz w:val="32"/>
          <w:szCs w:val="32"/>
        </w:rPr>
        <w:t>0</w:t>
      </w:r>
      <w:r>
        <w:rPr>
          <w:rFonts w:ascii="仿宋" w:hAnsi="仿宋" w:eastAsia="仿宋"/>
          <w:sz w:val="32"/>
          <w:szCs w:val="32"/>
        </w:rPr>
        <w:t>人,遗属人数</w:t>
      </w:r>
      <w:r>
        <w:rPr>
          <w:rFonts w:hint="eastAsia" w:ascii="仿宋" w:hAnsi="仿宋" w:eastAsia="仿宋" w:cs="Times New Roman"/>
          <w:kern w:val="0"/>
          <w:sz w:val="32"/>
          <w:szCs w:val="32"/>
        </w:rPr>
        <w:t>1</w:t>
      </w:r>
      <w:r>
        <w:rPr>
          <w:rFonts w:ascii="仿宋" w:hAnsi="仿宋" w:eastAsia="仿宋"/>
          <w:sz w:val="32"/>
          <w:szCs w:val="32"/>
        </w:rPr>
        <w:t>人。</w:t>
      </w:r>
      <w:r>
        <w:fldChar w:fldCharType="end"/>
      </w:r>
    </w:p>
    <w:p w14:paraId="1DA4BCC6">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兴国县政法委单位预算情况说明</w:t>
      </w:r>
    </w:p>
    <w:p w14:paraId="4638B560">
      <w:pPr>
        <w:spacing w:line="560" w:lineRule="exact"/>
        <w:jc w:val="center"/>
        <w:rPr>
          <w:rFonts w:ascii="仿宋" w:hAnsi="仿宋" w:eastAsia="仿宋" w:cs="仿宋"/>
          <w:b/>
          <w:bCs/>
          <w:sz w:val="32"/>
          <w:szCs w:val="32"/>
        </w:rPr>
      </w:pPr>
    </w:p>
    <w:p w14:paraId="74177247">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一、2023年单位预算收支情况说明</w:t>
      </w:r>
    </w:p>
    <w:p w14:paraId="5A8173EA">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14:paraId="223A76A9">
      <w:pPr>
        <w:spacing w:line="560" w:lineRule="exact"/>
        <w:ind w:firstLine="630"/>
        <w:jc w:val="left"/>
        <w:rPr>
          <w:rFonts w:ascii="仿宋" w:hAnsi="仿宋" w:eastAsia="仿宋"/>
          <w:b/>
          <w:bCs/>
          <w:sz w:val="30"/>
          <w:szCs w:val="30"/>
        </w:rPr>
      </w:pPr>
      <w:r>
        <w:rPr>
          <w:rFonts w:hint="eastAsia" w:ascii="仿宋" w:hAnsi="仿宋" w:eastAsia="仿宋"/>
          <w:sz w:val="30"/>
          <w:szCs w:val="30"/>
        </w:rPr>
        <w:t>2023年度本单位</w:t>
      </w:r>
      <w:r>
        <w:rPr>
          <w:rFonts w:hint="eastAsia" w:ascii="仿宋" w:hAnsi="仿宋" w:eastAsia="仿宋" w:cs="仿宋"/>
          <w:sz w:val="32"/>
          <w:szCs w:val="32"/>
        </w:rPr>
        <w:t>预算总额</w:t>
      </w:r>
      <w:r>
        <w:rPr>
          <w:rFonts w:hint="eastAsia" w:ascii="仿宋" w:hAnsi="仿宋" w:eastAsia="仿宋"/>
          <w:sz w:val="30"/>
          <w:szCs w:val="30"/>
        </w:rPr>
        <w:t>1404.87万元，较上年减少1173.60万元，减少45.51%，主要原因是：本年度没有结转资金及项目资金减少</w:t>
      </w:r>
      <w:r>
        <w:rPr>
          <w:rFonts w:hint="eastAsia" w:ascii="仿宋" w:hAnsi="仿宋" w:eastAsia="仿宋"/>
          <w:b/>
          <w:bCs/>
          <w:sz w:val="30"/>
          <w:szCs w:val="30"/>
        </w:rPr>
        <w:t>。</w:t>
      </w:r>
    </w:p>
    <w:p w14:paraId="302F69B1">
      <w:pPr>
        <w:spacing w:line="600" w:lineRule="exact"/>
        <w:ind w:firstLine="420" w:firstLineChars="200"/>
        <w:rPr>
          <w:rFonts w:ascii="仿宋" w:hAnsi="仿宋" w:eastAsia="仿宋" w:cs="仿宋"/>
          <w:sz w:val="32"/>
          <w:szCs w:val="32"/>
        </w:rPr>
      </w:pPr>
      <w:r>
        <w:rPr>
          <w:rFonts w:hint="eastAsia" w:eastAsia="仿宋"/>
        </w:rPr>
        <w:t xml:space="preserve">    </w:t>
      </w:r>
      <w:r>
        <w:rPr>
          <w:rFonts w:hint="eastAsia" w:ascii="仿宋" w:hAnsi="仿宋" w:eastAsia="仿宋" w:cs="仿宋"/>
          <w:spacing w:val="11"/>
          <w:sz w:val="30"/>
          <w:szCs w:val="30"/>
        </w:rPr>
        <w:t>其中：财政拨款收入</w:t>
      </w:r>
      <w:r>
        <w:rPr>
          <w:rFonts w:hint="eastAsia" w:ascii="仿宋" w:hAnsi="仿宋" w:eastAsia="仿宋" w:cs="仿宋"/>
          <w:sz w:val="32"/>
          <w:szCs w:val="32"/>
        </w:rPr>
        <w:t>1104.87</w:t>
      </w:r>
      <w:r>
        <w:rPr>
          <w:rFonts w:hint="eastAsia" w:ascii="仿宋" w:hAnsi="仿宋" w:eastAsia="仿宋" w:cs="仿宋"/>
          <w:spacing w:val="11"/>
          <w:sz w:val="30"/>
          <w:szCs w:val="30"/>
        </w:rPr>
        <w:t>万元,较</w:t>
      </w:r>
      <w:r>
        <w:rPr>
          <w:rFonts w:hint="eastAsia" w:ascii="仿宋" w:hAnsi="仿宋" w:eastAsia="仿宋" w:cs="仿宋"/>
          <w:spacing w:val="23"/>
          <w:sz w:val="30"/>
          <w:szCs w:val="30"/>
        </w:rPr>
        <w:t>上年预算安排增加143.89万元;政府性基金预算收入收入</w:t>
      </w:r>
      <w:r>
        <w:rPr>
          <w:rFonts w:hint="eastAsia" w:ascii="仿宋" w:hAnsi="仿宋" w:eastAsia="仿宋" w:cs="仿宋"/>
          <w:sz w:val="32"/>
          <w:szCs w:val="32"/>
        </w:rPr>
        <w:t>0</w:t>
      </w:r>
      <w:r>
        <w:rPr>
          <w:rFonts w:hint="eastAsia" w:ascii="仿宋" w:hAnsi="仿宋" w:eastAsia="仿宋" w:cs="仿宋"/>
          <w:spacing w:val="28"/>
          <w:sz w:val="30"/>
          <w:szCs w:val="30"/>
        </w:rPr>
        <w:t>万元,较年预算安排</w:t>
      </w:r>
      <w:r>
        <w:rPr>
          <w:rFonts w:hint="eastAsia" w:ascii="仿宋" w:hAnsi="仿宋" w:eastAsia="仿宋" w:cs="仿宋"/>
          <w:spacing w:val="23"/>
          <w:sz w:val="30"/>
          <w:szCs w:val="30"/>
        </w:rPr>
        <w:t>增加（减少）</w:t>
      </w:r>
      <w:r>
        <w:rPr>
          <w:rFonts w:hint="eastAsia" w:ascii="仿宋" w:hAnsi="仿宋" w:eastAsia="仿宋" w:cs="仿宋"/>
          <w:spacing w:val="-89"/>
          <w:sz w:val="30"/>
          <w:szCs w:val="30"/>
        </w:rPr>
        <w:t>0</w:t>
      </w:r>
      <w:r>
        <w:rPr>
          <w:rFonts w:hint="eastAsia" w:ascii="仿宋" w:hAnsi="仿宋" w:eastAsia="仿宋" w:cs="仿宋"/>
          <w:spacing w:val="28"/>
          <w:sz w:val="30"/>
          <w:szCs w:val="30"/>
        </w:rPr>
        <w:t>万元;</w:t>
      </w:r>
      <w:r>
        <w:rPr>
          <w:rFonts w:hint="eastAsia" w:ascii="仿宋" w:hAnsi="仿宋" w:eastAsia="仿宋" w:cs="仿宋"/>
          <w:spacing w:val="23"/>
          <w:sz w:val="30"/>
          <w:szCs w:val="30"/>
        </w:rPr>
        <w:t>教育收费资金收入</w:t>
      </w:r>
      <w:r>
        <w:rPr>
          <w:rFonts w:hint="eastAsia" w:ascii="仿宋" w:hAnsi="仿宋" w:eastAsia="仿宋" w:cs="仿宋"/>
          <w:sz w:val="32"/>
          <w:szCs w:val="32"/>
        </w:rPr>
        <w:t>0</w:t>
      </w:r>
      <w:r>
        <w:rPr>
          <w:rFonts w:hint="eastAsia" w:ascii="仿宋" w:hAnsi="仿宋" w:eastAsia="仿宋" w:cs="仿宋"/>
          <w:spacing w:val="28"/>
          <w:sz w:val="30"/>
          <w:szCs w:val="30"/>
        </w:rPr>
        <w:t>万元,较年预算安排</w:t>
      </w:r>
      <w:r>
        <w:rPr>
          <w:rFonts w:hint="eastAsia" w:ascii="仿宋" w:hAnsi="仿宋" w:eastAsia="仿宋" w:cs="仿宋"/>
          <w:spacing w:val="23"/>
          <w:sz w:val="30"/>
          <w:szCs w:val="30"/>
        </w:rPr>
        <w:t>增加（减少）</w:t>
      </w:r>
      <w:r>
        <w:rPr>
          <w:rFonts w:hint="eastAsia" w:ascii="仿宋" w:hAnsi="仿宋" w:eastAsia="仿宋" w:cs="仿宋"/>
          <w:spacing w:val="-89"/>
          <w:sz w:val="30"/>
          <w:szCs w:val="30"/>
        </w:rPr>
        <w:t>0</w:t>
      </w:r>
      <w:r>
        <w:rPr>
          <w:rFonts w:hint="eastAsia" w:ascii="仿宋" w:hAnsi="仿宋" w:eastAsia="仿宋" w:cs="仿宋"/>
          <w:spacing w:val="28"/>
          <w:sz w:val="30"/>
          <w:szCs w:val="30"/>
        </w:rPr>
        <w:t>万元;事业收入</w:t>
      </w:r>
      <w:r>
        <w:rPr>
          <w:rFonts w:hint="eastAsia" w:ascii="仿宋" w:hAnsi="仿宋" w:eastAsia="仿宋" w:cs="仿宋"/>
          <w:sz w:val="32"/>
          <w:szCs w:val="32"/>
        </w:rPr>
        <w:t>0</w:t>
      </w:r>
      <w:r>
        <w:rPr>
          <w:rFonts w:hint="eastAsia" w:ascii="仿宋" w:hAnsi="仿宋" w:eastAsia="仿宋" w:cs="仿宋"/>
          <w:spacing w:val="7"/>
          <w:sz w:val="30"/>
          <w:szCs w:val="30"/>
        </w:rPr>
        <w:t>万元,较上年预算安排增加（减少）</w:t>
      </w:r>
      <w:r>
        <w:rPr>
          <w:rFonts w:hint="eastAsia" w:ascii="仿宋" w:hAnsi="仿宋" w:eastAsia="仿宋" w:cs="仿宋"/>
          <w:sz w:val="32"/>
          <w:szCs w:val="32"/>
        </w:rPr>
        <w:t>0</w:t>
      </w:r>
      <w:r>
        <w:rPr>
          <w:rFonts w:hint="eastAsia" w:ascii="仿宋" w:hAnsi="仿宋" w:eastAsia="仿宋" w:cs="仿宋"/>
          <w:spacing w:val="7"/>
          <w:sz w:val="30"/>
          <w:szCs w:val="30"/>
        </w:rPr>
        <w:t>万元;上级补助</w:t>
      </w:r>
      <w:r>
        <w:rPr>
          <w:rFonts w:hint="eastAsia" w:ascii="仿宋" w:hAnsi="仿宋" w:eastAsia="仿宋" w:cs="仿宋"/>
          <w:spacing w:val="8"/>
          <w:sz w:val="30"/>
          <w:szCs w:val="30"/>
        </w:rPr>
        <w:t>收入0万元,较上年预算安排增加（减少）0万元；</w:t>
      </w:r>
      <w:r>
        <w:rPr>
          <w:rFonts w:hint="eastAsia" w:ascii="仿宋" w:hAnsi="仿宋" w:eastAsia="仿宋" w:cs="仿宋"/>
          <w:spacing w:val="18"/>
          <w:sz w:val="30"/>
          <w:szCs w:val="30"/>
        </w:rPr>
        <w:t>其他收入</w:t>
      </w:r>
      <w:r>
        <w:rPr>
          <w:rFonts w:hint="eastAsia" w:ascii="仿宋" w:hAnsi="仿宋" w:eastAsia="仿宋" w:cs="仿宋"/>
          <w:sz w:val="32"/>
          <w:szCs w:val="32"/>
        </w:rPr>
        <w:t>300</w:t>
      </w:r>
      <w:r>
        <w:rPr>
          <w:rFonts w:hint="eastAsia" w:ascii="仿宋" w:hAnsi="仿宋" w:eastAsia="仿宋" w:cs="仿宋"/>
          <w:spacing w:val="18"/>
          <w:sz w:val="30"/>
          <w:szCs w:val="30"/>
        </w:rPr>
        <w:t>万元，较上年预算安排减少563.52</w:t>
      </w:r>
      <w:r>
        <w:rPr>
          <w:rFonts w:hint="eastAsia" w:ascii="仿宋" w:hAnsi="仿宋" w:eastAsia="仿宋" w:cs="仿宋"/>
          <w:spacing w:val="7"/>
          <w:sz w:val="30"/>
          <w:szCs w:val="30"/>
        </w:rPr>
        <w:t>万元</w:t>
      </w:r>
      <w:r>
        <w:rPr>
          <w:rFonts w:hint="eastAsia" w:ascii="仿宋" w:hAnsi="仿宋" w:eastAsia="仿宋" w:cs="仿宋"/>
          <w:spacing w:val="4"/>
          <w:sz w:val="30"/>
          <w:szCs w:val="30"/>
        </w:rPr>
        <w:t>。</w:t>
      </w:r>
      <w:r>
        <w:rPr>
          <w:rFonts w:hint="eastAsia" w:ascii="仿宋" w:hAnsi="仿宋" w:eastAsia="仿宋"/>
          <w:sz w:val="30"/>
          <w:szCs w:val="30"/>
        </w:rPr>
        <w:t>财政拨款结余结转0万元，比上年减少753.97万元。</w:t>
      </w:r>
    </w:p>
    <w:p w14:paraId="2E1D09E2">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14:paraId="24B5FEE4">
      <w:pPr>
        <w:spacing w:line="560" w:lineRule="exact"/>
        <w:ind w:firstLine="630"/>
        <w:jc w:val="left"/>
        <w:rPr>
          <w:rFonts w:ascii="仿宋" w:hAnsi="仿宋" w:eastAsia="仿宋"/>
          <w:b/>
          <w:bCs/>
          <w:sz w:val="30"/>
          <w:szCs w:val="30"/>
        </w:rPr>
      </w:pPr>
      <w:r>
        <w:rPr>
          <w:rFonts w:hint="eastAsia" w:ascii="仿宋" w:hAnsi="仿宋" w:eastAsia="仿宋"/>
          <w:sz w:val="30"/>
          <w:szCs w:val="30"/>
        </w:rPr>
        <w:t>2023年度本单位</w:t>
      </w:r>
      <w:r>
        <w:rPr>
          <w:rFonts w:hint="eastAsia" w:ascii="仿宋" w:hAnsi="仿宋" w:eastAsia="仿宋" w:cs="仿宋"/>
          <w:sz w:val="32"/>
          <w:szCs w:val="32"/>
        </w:rPr>
        <w:t>预算支出总额</w:t>
      </w:r>
      <w:r>
        <w:rPr>
          <w:rFonts w:hint="eastAsia" w:ascii="仿宋" w:hAnsi="仿宋" w:eastAsia="仿宋"/>
          <w:sz w:val="30"/>
          <w:szCs w:val="30"/>
        </w:rPr>
        <w:t>1404.87万元。较上年预算安排减少1173.60万元，减少45.51%，主要原因是：本年度没有结转资金及项目资金减少</w:t>
      </w:r>
      <w:r>
        <w:rPr>
          <w:rFonts w:hint="eastAsia" w:ascii="仿宋" w:hAnsi="仿宋" w:eastAsia="仿宋"/>
          <w:b/>
          <w:bCs/>
          <w:sz w:val="30"/>
          <w:szCs w:val="30"/>
        </w:rPr>
        <w:t>。</w:t>
      </w:r>
    </w:p>
    <w:p w14:paraId="4FBEAC93">
      <w:pPr>
        <w:spacing w:line="600" w:lineRule="exact"/>
        <w:ind w:firstLine="643" w:firstLineChars="200"/>
        <w:rPr>
          <w:rFonts w:ascii="仿宋" w:hAnsi="仿宋" w:eastAsia="仿宋" w:cs="仿宋"/>
          <w:sz w:val="30"/>
          <w:szCs w:val="30"/>
        </w:rPr>
      </w:pPr>
      <w:r>
        <w:rPr>
          <w:rFonts w:hint="eastAsia" w:ascii="仿宋" w:hAnsi="仿宋" w:eastAsia="仿宋" w:cs="仿宋"/>
          <w:b/>
          <w:bCs/>
          <w:sz w:val="32"/>
          <w:szCs w:val="32"/>
        </w:rPr>
        <w:t>按支出项目类别及经济分类科目划分：</w:t>
      </w:r>
      <w:r>
        <w:rPr>
          <w:rFonts w:hint="eastAsia" w:ascii="仿宋" w:hAnsi="仿宋" w:eastAsia="仿宋" w:cs="仿宋"/>
          <w:sz w:val="32"/>
          <w:szCs w:val="32"/>
        </w:rPr>
        <w:t>基本支出341.14万元，</w:t>
      </w:r>
      <w:r>
        <w:rPr>
          <w:rFonts w:hint="eastAsia" w:ascii="仿宋" w:hAnsi="仿宋" w:eastAsia="仿宋" w:cs="仿宋"/>
          <w:spacing w:val="-131"/>
          <w:sz w:val="30"/>
          <w:szCs w:val="30"/>
        </w:rPr>
        <w:t xml:space="preserve"> </w:t>
      </w:r>
      <w:r>
        <w:rPr>
          <w:rFonts w:hint="eastAsia" w:ascii="仿宋" w:hAnsi="仿宋" w:eastAsia="仿宋" w:cs="仿宋"/>
          <w:sz w:val="32"/>
          <w:szCs w:val="32"/>
        </w:rPr>
        <w:t>较上年预算安排增118.25元，</w:t>
      </w:r>
      <w:r>
        <w:rPr>
          <w:rFonts w:hint="eastAsia" w:ascii="仿宋" w:hAnsi="仿宋" w:eastAsia="仿宋" w:cs="仿宋"/>
          <w:sz w:val="30"/>
          <w:szCs w:val="30"/>
        </w:rPr>
        <w:t>其中：工资福利支出</w:t>
      </w:r>
      <w:r>
        <w:rPr>
          <w:rFonts w:hint="eastAsia" w:ascii="仿宋" w:hAnsi="仿宋" w:eastAsia="仿宋" w:cs="仿宋"/>
          <w:sz w:val="32"/>
          <w:szCs w:val="32"/>
        </w:rPr>
        <w:t>309.71</w:t>
      </w:r>
      <w:r>
        <w:rPr>
          <w:rFonts w:hint="eastAsia" w:ascii="仿宋" w:hAnsi="仿宋" w:eastAsia="仿宋" w:cs="仿宋"/>
          <w:sz w:val="30"/>
          <w:szCs w:val="30"/>
        </w:rPr>
        <w:t>万元，商品和服务支出</w:t>
      </w:r>
      <w:r>
        <w:rPr>
          <w:rFonts w:hint="eastAsia" w:ascii="仿宋" w:hAnsi="仿宋" w:eastAsia="仿宋" w:cs="仿宋"/>
          <w:sz w:val="32"/>
          <w:szCs w:val="32"/>
        </w:rPr>
        <w:t>29.98</w:t>
      </w:r>
      <w:r>
        <w:rPr>
          <w:rFonts w:hint="eastAsia" w:ascii="仿宋" w:hAnsi="仿宋" w:eastAsia="仿宋" w:cs="仿宋"/>
          <w:sz w:val="30"/>
          <w:szCs w:val="30"/>
        </w:rPr>
        <w:t>万元，对个人和家庭的补助1.45万元，资本性支出</w:t>
      </w:r>
      <w:r>
        <w:rPr>
          <w:rFonts w:hint="eastAsia" w:ascii="仿宋" w:hAnsi="仿宋" w:eastAsia="仿宋" w:cs="仿宋"/>
          <w:sz w:val="32"/>
          <w:szCs w:val="32"/>
        </w:rPr>
        <w:t>0</w:t>
      </w:r>
      <w:r>
        <w:rPr>
          <w:rFonts w:hint="eastAsia" w:ascii="仿宋" w:hAnsi="仿宋" w:eastAsia="仿宋" w:cs="仿宋"/>
          <w:sz w:val="30"/>
          <w:szCs w:val="30"/>
        </w:rPr>
        <w:t>万元。项目支出</w:t>
      </w:r>
      <w:r>
        <w:rPr>
          <w:rFonts w:hint="eastAsia" w:ascii="仿宋" w:hAnsi="仿宋" w:eastAsia="仿宋" w:cs="仿宋"/>
          <w:sz w:val="32"/>
          <w:szCs w:val="32"/>
        </w:rPr>
        <w:t>1063.73</w:t>
      </w:r>
      <w:r>
        <w:rPr>
          <w:rFonts w:hint="eastAsia" w:ascii="仿宋" w:hAnsi="仿宋" w:eastAsia="仿宋" w:cs="仿宋"/>
          <w:sz w:val="30"/>
          <w:szCs w:val="30"/>
        </w:rPr>
        <w:t>万元，</w:t>
      </w:r>
      <w:r>
        <w:rPr>
          <w:rFonts w:hint="eastAsia" w:ascii="仿宋" w:hAnsi="仿宋" w:eastAsia="仿宋" w:cs="仿宋"/>
          <w:sz w:val="32"/>
          <w:szCs w:val="32"/>
        </w:rPr>
        <w:t>较上年预算安排减少1291.85万元，</w:t>
      </w:r>
      <w:r>
        <w:rPr>
          <w:rFonts w:hint="eastAsia" w:ascii="仿宋" w:hAnsi="仿宋" w:eastAsia="仿宋" w:cs="仿宋"/>
          <w:sz w:val="30"/>
          <w:szCs w:val="30"/>
        </w:rPr>
        <w:t>其中：工资福利支出</w:t>
      </w:r>
      <w:r>
        <w:rPr>
          <w:rFonts w:hint="eastAsia" w:ascii="仿宋" w:hAnsi="仿宋" w:eastAsia="仿宋" w:cs="仿宋"/>
          <w:sz w:val="32"/>
          <w:szCs w:val="32"/>
        </w:rPr>
        <w:t>0</w:t>
      </w:r>
      <w:r>
        <w:rPr>
          <w:rFonts w:hint="eastAsia" w:ascii="仿宋" w:hAnsi="仿宋" w:eastAsia="仿宋" w:cs="仿宋"/>
          <w:sz w:val="30"/>
          <w:szCs w:val="30"/>
        </w:rPr>
        <w:t>万元，商品和服务支出</w:t>
      </w:r>
      <w:r>
        <w:rPr>
          <w:rFonts w:hint="eastAsia" w:ascii="仿宋" w:hAnsi="仿宋" w:eastAsia="仿宋" w:cs="仿宋"/>
          <w:sz w:val="32"/>
          <w:szCs w:val="32"/>
        </w:rPr>
        <w:t>0.28</w:t>
      </w:r>
      <w:r>
        <w:rPr>
          <w:rFonts w:hint="eastAsia" w:ascii="仿宋" w:hAnsi="仿宋" w:eastAsia="仿宋" w:cs="仿宋"/>
          <w:sz w:val="30"/>
          <w:szCs w:val="30"/>
        </w:rPr>
        <w:t>万元，对个人和家庭的补助</w:t>
      </w:r>
      <w:r>
        <w:rPr>
          <w:rFonts w:hint="eastAsia" w:ascii="仿宋" w:hAnsi="仿宋" w:eastAsia="仿宋" w:cs="仿宋"/>
          <w:sz w:val="32"/>
          <w:szCs w:val="32"/>
        </w:rPr>
        <w:t>0</w:t>
      </w:r>
      <w:r>
        <w:rPr>
          <w:rFonts w:hint="eastAsia" w:ascii="仿宋" w:hAnsi="仿宋" w:eastAsia="仿宋" w:cs="仿宋"/>
          <w:sz w:val="30"/>
          <w:szCs w:val="30"/>
        </w:rPr>
        <w:t>万元，资本性支出0万元，其他相关支出1063.45万元。</w:t>
      </w:r>
    </w:p>
    <w:p w14:paraId="5E311BA4">
      <w:pPr>
        <w:spacing w:line="600" w:lineRule="exact"/>
        <w:ind w:firstLine="643" w:firstLineChars="200"/>
        <w:rPr>
          <w:rFonts w:ascii="仿宋" w:hAnsi="仿宋" w:eastAsia="仿宋" w:cs="仿宋"/>
          <w:spacing w:val="17"/>
          <w:sz w:val="30"/>
          <w:szCs w:val="30"/>
        </w:rPr>
      </w:pPr>
      <w:r>
        <w:rPr>
          <w:rFonts w:hint="eastAsia" w:ascii="仿宋" w:hAnsi="仿宋" w:eastAsia="仿宋" w:cs="仿宋"/>
          <w:b/>
          <w:bCs/>
          <w:color w:val="000000"/>
          <w:sz w:val="32"/>
          <w:szCs w:val="32"/>
        </w:rPr>
        <w:t>按支出功能分类科目划分：</w:t>
      </w:r>
      <w:r>
        <w:rPr>
          <w:rFonts w:hint="eastAsia" w:ascii="仿宋" w:hAnsi="仿宋" w:eastAsia="仿宋" w:cs="仿宋"/>
          <w:color w:val="000000"/>
          <w:sz w:val="32"/>
          <w:szCs w:val="32"/>
        </w:rPr>
        <w:t>一般公共服务支出1322.55万元，</w:t>
      </w:r>
      <w:r>
        <w:rPr>
          <w:rFonts w:hint="eastAsia" w:ascii="仿宋" w:hAnsi="仿宋" w:eastAsia="仿宋" w:cs="仿宋"/>
          <w:spacing w:val="12"/>
          <w:sz w:val="30"/>
          <w:szCs w:val="30"/>
        </w:rPr>
        <w:t>较</w:t>
      </w:r>
      <w:r>
        <w:rPr>
          <w:rFonts w:hint="eastAsia" w:ascii="仿宋" w:hAnsi="仿宋" w:eastAsia="仿宋" w:cs="仿宋"/>
          <w:spacing w:val="5"/>
          <w:sz w:val="30"/>
          <w:szCs w:val="30"/>
        </w:rPr>
        <w:t>上年预算安排减少1199.98万元;社会保障和就业支出</w:t>
      </w:r>
      <w:r>
        <w:rPr>
          <w:rFonts w:hint="eastAsia" w:ascii="仿宋" w:hAnsi="仿宋" w:eastAsia="仿宋" w:cs="仿宋"/>
          <w:color w:val="000000"/>
          <w:sz w:val="32"/>
          <w:szCs w:val="32"/>
        </w:rPr>
        <w:t>35.81</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上年预算安排增加13.95万元;卫生健康支出</w:t>
      </w:r>
      <w:r>
        <w:rPr>
          <w:rFonts w:hint="eastAsia" w:ascii="仿宋" w:hAnsi="仿宋" w:eastAsia="仿宋" w:cs="仿宋"/>
          <w:color w:val="000000"/>
          <w:sz w:val="32"/>
          <w:szCs w:val="32"/>
        </w:rPr>
        <w:t>20.53</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元,较上年预算安排增加5.54万元;住房保障支出</w:t>
      </w:r>
      <w:r>
        <w:rPr>
          <w:rFonts w:hint="eastAsia" w:ascii="仿宋" w:hAnsi="仿宋" w:eastAsia="仿宋" w:cs="仿宋"/>
          <w:sz w:val="32"/>
          <w:szCs w:val="32"/>
          <w:u w:val="single"/>
        </w:rPr>
        <w:t xml:space="preserve">    </w:t>
      </w:r>
      <w:r>
        <w:rPr>
          <w:rFonts w:hint="eastAsia" w:ascii="仿宋" w:hAnsi="仿宋" w:eastAsia="仿宋" w:cs="仿宋"/>
          <w:color w:val="000000"/>
          <w:sz w:val="32"/>
          <w:szCs w:val="32"/>
        </w:rPr>
        <w:t>25.98</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元,较上年预算安排增加6.89万元;其他支出</w:t>
      </w:r>
      <w:r>
        <w:rPr>
          <w:rFonts w:hint="eastAsia" w:ascii="仿宋" w:hAnsi="仿宋" w:eastAsia="仿宋" w:cs="仿宋"/>
          <w:sz w:val="32"/>
          <w:szCs w:val="32"/>
        </w:rPr>
        <w:t xml:space="preserve"> 0  </w:t>
      </w:r>
      <w:r>
        <w:rPr>
          <w:rFonts w:hint="eastAsia" w:ascii="仿宋" w:hAnsi="仿宋" w:eastAsia="仿宋" w:cs="仿宋"/>
          <w:sz w:val="32"/>
          <w:szCs w:val="32"/>
          <w:u w:val="single"/>
        </w:rPr>
        <w:t xml:space="preserve"> </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元,较上年预算安排增加（减少）0万元。</w:t>
      </w:r>
    </w:p>
    <w:p w14:paraId="731334A6">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14:paraId="3C039890">
      <w:pPr>
        <w:pStyle w:val="2"/>
        <w:ind w:firstLine="600" w:firstLineChars="200"/>
        <w:rPr>
          <w:rFonts w:ascii="仿宋" w:hAnsi="仿宋" w:eastAsia="仿宋" w:cs="仿宋"/>
          <w:sz w:val="30"/>
          <w:szCs w:val="30"/>
        </w:rPr>
      </w:pPr>
      <w:r>
        <w:rPr>
          <w:rFonts w:hint="eastAsia" w:ascii="仿宋" w:hAnsi="仿宋" w:eastAsia="仿宋"/>
          <w:sz w:val="30"/>
          <w:szCs w:val="30"/>
        </w:rPr>
        <w:t>2023年本单位</w:t>
      </w:r>
      <w:r>
        <w:rPr>
          <w:rFonts w:hint="eastAsia" w:ascii="仿宋" w:hAnsi="仿宋" w:eastAsia="仿宋" w:cs="仿宋"/>
        </w:rPr>
        <w:t>财政拨款支出预算数</w:t>
      </w:r>
      <w:r>
        <w:rPr>
          <w:rFonts w:hint="eastAsia" w:ascii="仿宋" w:hAnsi="仿宋" w:eastAsia="仿宋"/>
          <w:sz w:val="30"/>
          <w:szCs w:val="30"/>
        </w:rPr>
        <w:t>1</w:t>
      </w:r>
      <w:r>
        <w:rPr>
          <w:rFonts w:hint="eastAsia" w:ascii="仿宋" w:hAnsi="仿宋" w:eastAsia="仿宋"/>
          <w:sz w:val="30"/>
          <w:szCs w:val="30"/>
          <w:lang w:val="en-US"/>
        </w:rPr>
        <w:t>1</w:t>
      </w:r>
      <w:r>
        <w:rPr>
          <w:rFonts w:hint="eastAsia" w:ascii="仿宋" w:hAnsi="仿宋" w:eastAsia="仿宋"/>
          <w:sz w:val="30"/>
          <w:szCs w:val="30"/>
        </w:rPr>
        <w:t>04.87万元</w:t>
      </w:r>
      <w:r>
        <w:rPr>
          <w:rFonts w:hint="eastAsia" w:ascii="仿宋" w:hAnsi="仿宋" w:eastAsia="仿宋" w:cs="仿宋"/>
        </w:rPr>
        <w:t>，</w:t>
      </w:r>
      <w:r>
        <w:rPr>
          <w:rFonts w:hint="eastAsia" w:ascii="仿宋" w:hAnsi="仿宋" w:eastAsia="仿宋" w:cs="仿宋"/>
          <w:sz w:val="30"/>
          <w:szCs w:val="30"/>
        </w:rPr>
        <w:t>占本年支出预算额的</w:t>
      </w:r>
      <w:r>
        <w:rPr>
          <w:rFonts w:hint="eastAsia" w:ascii="仿宋" w:hAnsi="仿宋" w:eastAsia="仿宋" w:cs="仿宋"/>
          <w:lang w:val="en-US"/>
        </w:rPr>
        <w:t>78.64</w:t>
      </w:r>
      <w:r>
        <w:rPr>
          <w:rFonts w:hint="eastAsia" w:ascii="仿宋" w:hAnsi="仿宋" w:eastAsia="仿宋" w:cs="仿宋"/>
          <w:sz w:val="30"/>
          <w:szCs w:val="30"/>
        </w:rPr>
        <w:t>%，</w:t>
      </w:r>
      <w:r>
        <w:rPr>
          <w:rFonts w:hint="eastAsia" w:ascii="仿宋" w:hAnsi="仿宋" w:eastAsia="仿宋" w:cs="仿宋"/>
        </w:rPr>
        <w:t>，较上年预算安排减少</w:t>
      </w:r>
      <w:r>
        <w:rPr>
          <w:rFonts w:hint="eastAsia" w:ascii="仿宋" w:hAnsi="仿宋" w:eastAsia="仿宋"/>
          <w:sz w:val="30"/>
          <w:szCs w:val="30"/>
          <w:lang w:val="en-US"/>
        </w:rPr>
        <w:t>610.08</w:t>
      </w:r>
      <w:r>
        <w:rPr>
          <w:rFonts w:hint="eastAsia" w:ascii="仿宋" w:hAnsi="仿宋" w:eastAsia="仿宋" w:cs="仿宋"/>
        </w:rPr>
        <w:t>万元，</w:t>
      </w:r>
      <w:r>
        <w:rPr>
          <w:rFonts w:hint="eastAsia" w:ascii="仿宋" w:hAnsi="仿宋" w:eastAsia="仿宋"/>
          <w:sz w:val="30"/>
          <w:szCs w:val="30"/>
        </w:rPr>
        <w:t>减少</w:t>
      </w:r>
      <w:r>
        <w:rPr>
          <w:rFonts w:hint="eastAsia" w:ascii="仿宋" w:hAnsi="仿宋" w:eastAsia="仿宋"/>
          <w:sz w:val="30"/>
          <w:szCs w:val="30"/>
          <w:lang w:val="en-US"/>
        </w:rPr>
        <w:t>55.21</w:t>
      </w:r>
      <w:r>
        <w:rPr>
          <w:rFonts w:hint="eastAsia" w:ascii="仿宋" w:hAnsi="仿宋" w:eastAsia="仿宋"/>
          <w:sz w:val="30"/>
          <w:szCs w:val="30"/>
        </w:rPr>
        <w:t>%，主要原因是：本年度没有结转资金及项目资金减少</w:t>
      </w:r>
      <w:r>
        <w:rPr>
          <w:rFonts w:hint="eastAsia" w:ascii="仿宋" w:hAnsi="仿宋" w:eastAsia="仿宋"/>
          <w:b/>
          <w:bCs/>
          <w:sz w:val="30"/>
          <w:szCs w:val="30"/>
        </w:rPr>
        <w:t>。</w:t>
      </w:r>
      <w:r>
        <w:rPr>
          <w:rFonts w:hint="eastAsia" w:ascii="仿宋" w:hAnsi="仿宋" w:eastAsia="仿宋" w:cs="仿宋"/>
          <w:sz w:val="30"/>
          <w:szCs w:val="30"/>
        </w:rPr>
        <w:t>具体为：</w:t>
      </w:r>
    </w:p>
    <w:p w14:paraId="3B9915BD">
      <w:pPr>
        <w:spacing w:line="600" w:lineRule="exact"/>
        <w:ind w:firstLine="643" w:firstLineChars="200"/>
        <w:rPr>
          <w:rFonts w:ascii="仿宋" w:hAnsi="仿宋" w:eastAsia="仿宋" w:cs="仿宋"/>
          <w:sz w:val="30"/>
          <w:szCs w:val="30"/>
        </w:rPr>
      </w:pPr>
      <w:r>
        <w:rPr>
          <w:rFonts w:hint="eastAsia" w:ascii="仿宋" w:hAnsi="仿宋" w:eastAsia="仿宋" w:cs="仿宋"/>
          <w:b/>
          <w:bCs/>
          <w:sz w:val="32"/>
          <w:szCs w:val="32"/>
        </w:rPr>
        <w:t>按支出项目类别及经济分类科目划分：</w:t>
      </w:r>
      <w:r>
        <w:rPr>
          <w:rFonts w:hint="eastAsia" w:ascii="仿宋" w:hAnsi="仿宋" w:eastAsia="仿宋" w:cs="仿宋"/>
          <w:sz w:val="32"/>
          <w:szCs w:val="32"/>
        </w:rPr>
        <w:t>基本支出341.14万元，</w:t>
      </w:r>
      <w:r>
        <w:rPr>
          <w:rFonts w:hint="eastAsia" w:ascii="仿宋" w:hAnsi="仿宋" w:eastAsia="仿宋" w:cs="仿宋"/>
          <w:spacing w:val="-131"/>
          <w:sz w:val="30"/>
          <w:szCs w:val="30"/>
        </w:rPr>
        <w:t xml:space="preserve"> </w:t>
      </w:r>
      <w:r>
        <w:rPr>
          <w:rFonts w:hint="eastAsia" w:ascii="仿宋" w:hAnsi="仿宋" w:eastAsia="仿宋" w:cs="仿宋"/>
          <w:sz w:val="32"/>
          <w:szCs w:val="32"/>
        </w:rPr>
        <w:t>较上年预算安排增118.25元，</w:t>
      </w:r>
      <w:r>
        <w:rPr>
          <w:rFonts w:hint="eastAsia" w:ascii="仿宋" w:hAnsi="仿宋" w:eastAsia="仿宋" w:cs="仿宋"/>
          <w:sz w:val="30"/>
          <w:szCs w:val="30"/>
        </w:rPr>
        <w:t>其中：工资福利支出</w:t>
      </w:r>
      <w:r>
        <w:rPr>
          <w:rFonts w:hint="eastAsia" w:ascii="仿宋" w:hAnsi="仿宋" w:eastAsia="仿宋" w:cs="仿宋"/>
          <w:sz w:val="32"/>
          <w:szCs w:val="32"/>
        </w:rPr>
        <w:t>309.7</w:t>
      </w:r>
      <w:r>
        <w:rPr>
          <w:rFonts w:hint="eastAsia" w:ascii="仿宋" w:hAnsi="仿宋" w:eastAsia="仿宋" w:cs="仿宋"/>
          <w:sz w:val="30"/>
          <w:szCs w:val="30"/>
        </w:rPr>
        <w:t>万元，商品和服务支出</w:t>
      </w:r>
      <w:r>
        <w:rPr>
          <w:rFonts w:hint="eastAsia" w:ascii="仿宋" w:hAnsi="仿宋" w:eastAsia="仿宋" w:cs="仿宋"/>
          <w:sz w:val="32"/>
          <w:szCs w:val="32"/>
        </w:rPr>
        <w:t>29.98</w:t>
      </w:r>
      <w:r>
        <w:rPr>
          <w:rFonts w:hint="eastAsia" w:ascii="仿宋" w:hAnsi="仿宋" w:eastAsia="仿宋" w:cs="仿宋"/>
          <w:sz w:val="30"/>
          <w:szCs w:val="30"/>
        </w:rPr>
        <w:t>万元，对个人和家庭的补助1.45万元，资本性支出</w:t>
      </w:r>
      <w:r>
        <w:rPr>
          <w:rFonts w:hint="eastAsia" w:ascii="仿宋" w:hAnsi="仿宋" w:eastAsia="仿宋" w:cs="仿宋"/>
          <w:sz w:val="32"/>
          <w:szCs w:val="32"/>
        </w:rPr>
        <w:t>0</w:t>
      </w:r>
      <w:r>
        <w:rPr>
          <w:rFonts w:hint="eastAsia" w:ascii="仿宋" w:hAnsi="仿宋" w:eastAsia="仿宋" w:cs="仿宋"/>
          <w:sz w:val="30"/>
          <w:szCs w:val="30"/>
        </w:rPr>
        <w:t>万元。项目支出</w:t>
      </w:r>
      <w:r>
        <w:rPr>
          <w:rFonts w:hint="eastAsia" w:ascii="仿宋" w:hAnsi="仿宋" w:eastAsia="仿宋" w:cs="仿宋"/>
          <w:sz w:val="32"/>
          <w:szCs w:val="32"/>
        </w:rPr>
        <w:t>763.73</w:t>
      </w:r>
      <w:r>
        <w:rPr>
          <w:rFonts w:hint="eastAsia" w:ascii="仿宋" w:hAnsi="仿宋" w:eastAsia="仿宋" w:cs="仿宋"/>
          <w:sz w:val="30"/>
          <w:szCs w:val="30"/>
        </w:rPr>
        <w:t>万元，</w:t>
      </w:r>
      <w:r>
        <w:rPr>
          <w:rFonts w:hint="eastAsia" w:ascii="仿宋" w:hAnsi="仿宋" w:eastAsia="仿宋" w:cs="仿宋"/>
          <w:sz w:val="32"/>
          <w:szCs w:val="32"/>
        </w:rPr>
        <w:t>较上年预算安排减少728.33万元，</w:t>
      </w:r>
      <w:r>
        <w:rPr>
          <w:rFonts w:hint="eastAsia" w:ascii="仿宋" w:hAnsi="仿宋" w:eastAsia="仿宋" w:cs="仿宋"/>
          <w:sz w:val="30"/>
          <w:szCs w:val="30"/>
        </w:rPr>
        <w:t>其中：工资福利支出</w:t>
      </w:r>
      <w:r>
        <w:rPr>
          <w:rFonts w:hint="eastAsia" w:ascii="仿宋" w:hAnsi="仿宋" w:eastAsia="仿宋" w:cs="仿宋"/>
          <w:sz w:val="32"/>
          <w:szCs w:val="32"/>
        </w:rPr>
        <w:t>0</w:t>
      </w:r>
      <w:r>
        <w:rPr>
          <w:rFonts w:hint="eastAsia" w:ascii="仿宋" w:hAnsi="仿宋" w:eastAsia="仿宋" w:cs="仿宋"/>
          <w:sz w:val="30"/>
          <w:szCs w:val="30"/>
        </w:rPr>
        <w:t>元，商品和服务支出</w:t>
      </w:r>
      <w:r>
        <w:rPr>
          <w:rFonts w:hint="eastAsia" w:ascii="仿宋" w:hAnsi="仿宋" w:eastAsia="仿宋" w:cs="仿宋"/>
          <w:sz w:val="32"/>
          <w:szCs w:val="32"/>
        </w:rPr>
        <w:t>0.28</w:t>
      </w:r>
      <w:r>
        <w:rPr>
          <w:rFonts w:hint="eastAsia" w:ascii="仿宋" w:hAnsi="仿宋" w:eastAsia="仿宋" w:cs="仿宋"/>
          <w:sz w:val="30"/>
          <w:szCs w:val="30"/>
        </w:rPr>
        <w:t>万元，对个人和家庭的补助</w:t>
      </w:r>
      <w:r>
        <w:rPr>
          <w:rFonts w:hint="eastAsia" w:ascii="仿宋" w:hAnsi="仿宋" w:eastAsia="仿宋" w:cs="仿宋"/>
          <w:sz w:val="32"/>
          <w:szCs w:val="32"/>
        </w:rPr>
        <w:t>0</w:t>
      </w:r>
      <w:r>
        <w:rPr>
          <w:rFonts w:hint="eastAsia" w:ascii="仿宋" w:hAnsi="仿宋" w:eastAsia="仿宋" w:cs="仿宋"/>
          <w:sz w:val="30"/>
          <w:szCs w:val="30"/>
        </w:rPr>
        <w:t>万元，资本性支出0万元，其他相关支出763.45万元。</w:t>
      </w:r>
    </w:p>
    <w:p w14:paraId="424D40FD">
      <w:pPr>
        <w:spacing w:line="600" w:lineRule="exact"/>
        <w:ind w:firstLine="643" w:firstLineChars="200"/>
        <w:rPr>
          <w:rFonts w:ascii="仿宋" w:hAnsi="仿宋" w:eastAsia="仿宋" w:cs="仿宋"/>
          <w:spacing w:val="17"/>
          <w:sz w:val="30"/>
          <w:szCs w:val="30"/>
        </w:rPr>
      </w:pPr>
      <w:r>
        <w:rPr>
          <w:rFonts w:hint="eastAsia" w:ascii="仿宋" w:hAnsi="仿宋" w:eastAsia="仿宋" w:cs="仿宋"/>
          <w:b/>
          <w:bCs/>
          <w:color w:val="000000"/>
          <w:sz w:val="32"/>
          <w:szCs w:val="32"/>
        </w:rPr>
        <w:t>按支出功能分类科目划分：</w:t>
      </w:r>
      <w:r>
        <w:rPr>
          <w:rFonts w:hint="eastAsia" w:ascii="仿宋" w:hAnsi="仿宋" w:eastAsia="仿宋" w:cs="仿宋"/>
          <w:color w:val="000000"/>
          <w:sz w:val="32"/>
          <w:szCs w:val="32"/>
        </w:rPr>
        <w:t>一般公共服务支出1022.55万元，</w:t>
      </w:r>
      <w:r>
        <w:rPr>
          <w:rFonts w:hint="eastAsia" w:ascii="仿宋" w:hAnsi="仿宋" w:eastAsia="仿宋" w:cs="仿宋"/>
          <w:spacing w:val="12"/>
          <w:sz w:val="30"/>
          <w:szCs w:val="30"/>
        </w:rPr>
        <w:t>较</w:t>
      </w:r>
      <w:r>
        <w:rPr>
          <w:rFonts w:hint="eastAsia" w:ascii="仿宋" w:hAnsi="仿宋" w:eastAsia="仿宋" w:cs="仿宋"/>
          <w:spacing w:val="5"/>
          <w:sz w:val="30"/>
          <w:szCs w:val="30"/>
        </w:rPr>
        <w:t>上年预算安排减少636.46万元;社会保障和就业支出</w:t>
      </w:r>
      <w:r>
        <w:rPr>
          <w:rFonts w:hint="eastAsia" w:ascii="仿宋" w:hAnsi="仿宋" w:eastAsia="仿宋" w:cs="仿宋"/>
          <w:color w:val="000000"/>
          <w:sz w:val="32"/>
          <w:szCs w:val="32"/>
        </w:rPr>
        <w:t>35.81</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上年预算安排增加13.95万元;卫生健康支出</w:t>
      </w:r>
      <w:r>
        <w:rPr>
          <w:rFonts w:hint="eastAsia" w:ascii="仿宋" w:hAnsi="仿宋" w:eastAsia="仿宋" w:cs="仿宋"/>
          <w:color w:val="000000"/>
          <w:sz w:val="32"/>
          <w:szCs w:val="32"/>
        </w:rPr>
        <w:t>20.53</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元,较上年预算安排增加5.54万元;住房保障支出</w:t>
      </w:r>
      <w:r>
        <w:rPr>
          <w:rFonts w:hint="eastAsia" w:ascii="仿宋" w:hAnsi="仿宋" w:eastAsia="仿宋" w:cs="仿宋"/>
          <w:sz w:val="32"/>
          <w:szCs w:val="32"/>
          <w:u w:val="single"/>
        </w:rPr>
        <w:t xml:space="preserve">    </w:t>
      </w:r>
      <w:r>
        <w:rPr>
          <w:rFonts w:hint="eastAsia" w:ascii="仿宋" w:hAnsi="仿宋" w:eastAsia="仿宋" w:cs="仿宋"/>
          <w:color w:val="000000"/>
          <w:sz w:val="32"/>
          <w:szCs w:val="32"/>
        </w:rPr>
        <w:t>25.98</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元,较上年预算安排增加6.89万元;其他支出</w:t>
      </w:r>
      <w:r>
        <w:rPr>
          <w:rFonts w:hint="eastAsia" w:ascii="仿宋" w:hAnsi="仿宋" w:eastAsia="仿宋" w:cs="仿宋"/>
          <w:sz w:val="32"/>
          <w:szCs w:val="32"/>
        </w:rPr>
        <w:t xml:space="preserve"> 0  </w:t>
      </w:r>
      <w:r>
        <w:rPr>
          <w:rFonts w:hint="eastAsia" w:ascii="仿宋" w:hAnsi="仿宋" w:eastAsia="仿宋" w:cs="仿宋"/>
          <w:sz w:val="32"/>
          <w:szCs w:val="32"/>
          <w:u w:val="single"/>
        </w:rPr>
        <w:t xml:space="preserve"> </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元,较上年预算安排增加（减少）0万元。</w:t>
      </w:r>
    </w:p>
    <w:p w14:paraId="411AD5A3">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14:paraId="27B242EA">
      <w:pPr>
        <w:spacing w:line="560" w:lineRule="exact"/>
        <w:ind w:firstLine="960" w:firstLineChars="300"/>
        <w:rPr>
          <w:rFonts w:ascii="仿宋" w:hAnsi="仿宋" w:eastAsia="仿宋" w:cs="仿宋"/>
          <w:sz w:val="32"/>
          <w:szCs w:val="32"/>
        </w:rPr>
      </w:pPr>
      <w:r>
        <w:rPr>
          <w:rFonts w:hint="eastAsia" w:ascii="仿宋" w:hAnsi="仿宋" w:eastAsia="仿宋" w:cs="仿宋"/>
          <w:sz w:val="32"/>
          <w:szCs w:val="32"/>
        </w:rPr>
        <w:t>无政府性基金预算拨款安排的支出。</w:t>
      </w:r>
    </w:p>
    <w:p w14:paraId="3FF77C2D">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14:paraId="0B46F03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2023年单位机关运行费预算92.98万元，比2022年减少26.8万元，减少22.37％。减少主要原因是：过紧日子，压缩支出。</w:t>
      </w:r>
    </w:p>
    <w:p w14:paraId="5EE8DB1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78404807">
      <w:pPr>
        <w:spacing w:line="560" w:lineRule="exact"/>
        <w:ind w:firstLine="640" w:firstLineChars="200"/>
        <w:rPr>
          <w:rFonts w:ascii="仿宋" w:hAnsi="仿宋" w:eastAsia="仿宋" w:cs="仿宋"/>
          <w:sz w:val="32"/>
          <w:szCs w:val="32"/>
        </w:rPr>
      </w:pPr>
    </w:p>
    <w:p w14:paraId="3B6BF4DB">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14:paraId="3DE6ECA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2023年部门或单位所属各单位政府采购总额10万元，其中：政府采购货物预算10万元、政府采购工程预算0万元、政府采购服务预算0万元。</w:t>
      </w:r>
    </w:p>
    <w:p w14:paraId="26332CBB">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14:paraId="68B88EF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截至2023年12月31日、部门共有车辆</w:t>
      </w:r>
      <w:r>
        <w:rPr>
          <w:rFonts w:hint="eastAsia" w:ascii="仿宋" w:hAnsi="仿宋" w:eastAsia="仿宋" w:cs="仿宋"/>
          <w:sz w:val="32"/>
          <w:szCs w:val="32"/>
          <w:u w:val="single"/>
        </w:rPr>
        <w:t xml:space="preserve"> 0</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0</w:t>
      </w:r>
      <w:r>
        <w:rPr>
          <w:rFonts w:hint="eastAsia" w:ascii="仿宋" w:hAnsi="仿宋" w:eastAsia="仿宋" w:cs="仿宋"/>
          <w:sz w:val="32"/>
          <w:szCs w:val="32"/>
        </w:rPr>
        <w:t>辆。</w:t>
      </w:r>
    </w:p>
    <w:p w14:paraId="2E807D88">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2023年部门或单位预算安排购置车辆</w:t>
      </w:r>
      <w:r>
        <w:rPr>
          <w:rFonts w:hint="eastAsia" w:ascii="仿宋" w:hAnsi="仿宋" w:eastAsia="仿宋" w:cs="仿宋"/>
          <w:sz w:val="32"/>
          <w:szCs w:val="32"/>
          <w:u w:val="single"/>
        </w:rPr>
        <w:t xml:space="preserve"> 0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0</w:t>
      </w:r>
      <w:r>
        <w:rPr>
          <w:rFonts w:hint="eastAsia" w:ascii="仿宋" w:hAnsi="仿宋" w:eastAsia="仿宋" w:cs="仿宋"/>
          <w:sz w:val="32"/>
          <w:szCs w:val="32"/>
        </w:rPr>
        <w:t>。</w:t>
      </w:r>
    </w:p>
    <w:p w14:paraId="6E34540B">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14:paraId="6EB6C9B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2023年实行绩效目标管理的项目16个，涉及资金1067.73万元：</w:t>
      </w:r>
    </w:p>
    <w:p w14:paraId="28D7C44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项目名称：精神障碍患者有奖监护资金和社会心理健康服务协会工作经费。</w:t>
      </w:r>
    </w:p>
    <w:p w14:paraId="390D027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1.项目概述：一级患者1357人，二级患者939人，三级以上患者296人。</w:t>
      </w:r>
    </w:p>
    <w:p w14:paraId="4837EC7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2.立项依据：根据兴国县社会治安综合治理委员会《关于调整严重精神障碍患者以奖代补标准的通知》(兴综治委【2018】20号)文件</w:t>
      </w:r>
    </w:p>
    <w:p w14:paraId="780AA54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3.实施主体：兴国县委政法委</w:t>
      </w:r>
    </w:p>
    <w:p w14:paraId="39B66C5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4.实施周期：一年</w:t>
      </w:r>
    </w:p>
    <w:p w14:paraId="6AB1F57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5.年度预算安排：376.81万元。</w:t>
      </w:r>
    </w:p>
    <w:p w14:paraId="2AD8EE8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6.年度绩效目标：完成预算任务的100%。</w:t>
      </w:r>
    </w:p>
    <w:p w14:paraId="271217B4">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（九）国有资本经营预算支出情况</w:t>
      </w:r>
    </w:p>
    <w:p w14:paraId="64D4459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无使用国有资本经营预算拨款安排支出。</w:t>
      </w:r>
    </w:p>
    <w:p w14:paraId="1FB2AB04">
      <w:pPr>
        <w:spacing w:line="560" w:lineRule="exact"/>
        <w:ind w:left="10" w:leftChars="5" w:firstLine="643" w:firstLineChars="200"/>
        <w:rPr>
          <w:rFonts w:ascii="仿宋" w:hAnsi="仿宋" w:eastAsia="仿宋" w:cs="仿宋"/>
          <w:sz w:val="32"/>
          <w:szCs w:val="32"/>
        </w:rPr>
      </w:pPr>
      <w:r>
        <w:rPr>
          <w:rFonts w:hint="eastAsia" w:ascii="楷体" w:hAnsi="楷体" w:eastAsia="楷体" w:cs="楷体"/>
          <w:b/>
          <w:bCs/>
          <w:sz w:val="32"/>
          <w:szCs w:val="32"/>
        </w:rPr>
        <w:t>二、2023年“三公”经费预算情况说明</w:t>
      </w:r>
    </w:p>
    <w:p w14:paraId="4A15EEE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2023年兴国县政法委部门“三公”经费一般公共预算安排15万元。其中：</w:t>
      </w:r>
    </w:p>
    <w:p w14:paraId="3386F87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因公出国（境）费0万元，比上年增（减）0万元，主要原因是：无变化。</w:t>
      </w:r>
    </w:p>
    <w:p w14:paraId="75BA61D4">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公务接待费15万元，比上年增（减）0万元，主要原因</w:t>
      </w:r>
    </w:p>
    <w:p w14:paraId="04956E60">
      <w:pPr>
        <w:spacing w:line="560" w:lineRule="exact"/>
        <w:rPr>
          <w:rFonts w:ascii="仿宋" w:hAnsi="仿宋" w:eastAsia="仿宋" w:cs="仿宋"/>
          <w:sz w:val="32"/>
          <w:szCs w:val="32"/>
        </w:rPr>
      </w:pPr>
      <w:r>
        <w:rPr>
          <w:rFonts w:hint="eastAsia" w:ascii="仿宋" w:hAnsi="仿宋" w:eastAsia="仿宋" w:cs="仿宋"/>
          <w:sz w:val="32"/>
          <w:szCs w:val="32"/>
        </w:rPr>
        <w:t>是：无变化。</w:t>
      </w:r>
    </w:p>
    <w:p w14:paraId="534A0B2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公务用车运行维护费0万元，比上年增（减）0万元，</w:t>
      </w:r>
    </w:p>
    <w:p w14:paraId="212A06D0">
      <w:pPr>
        <w:spacing w:line="560" w:lineRule="exact"/>
        <w:rPr>
          <w:rFonts w:ascii="仿宋" w:hAnsi="仿宋" w:eastAsia="仿宋" w:cs="仿宋"/>
          <w:sz w:val="32"/>
          <w:szCs w:val="32"/>
        </w:rPr>
      </w:pPr>
      <w:r>
        <w:rPr>
          <w:rFonts w:hint="eastAsia" w:ascii="仿宋" w:hAnsi="仿宋" w:eastAsia="仿宋" w:cs="仿宋"/>
          <w:sz w:val="32"/>
          <w:szCs w:val="32"/>
        </w:rPr>
        <w:t>主要原因是：无变化。</w:t>
      </w:r>
    </w:p>
    <w:p w14:paraId="499475E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14:paraId="4D54524F">
      <w:pPr>
        <w:spacing w:line="560" w:lineRule="exact"/>
        <w:rPr>
          <w:rFonts w:ascii="仿宋" w:hAnsi="仿宋" w:eastAsia="仿宋" w:cs="仿宋"/>
          <w:sz w:val="32"/>
          <w:szCs w:val="32"/>
        </w:rPr>
      </w:pPr>
      <w:r>
        <w:rPr>
          <w:rFonts w:hint="eastAsia" w:ascii="仿宋" w:hAnsi="仿宋" w:eastAsia="仿宋" w:cs="仿宋"/>
          <w:sz w:val="32"/>
          <w:szCs w:val="32"/>
        </w:rPr>
        <w:t>原因是：无变化。</w:t>
      </w:r>
    </w:p>
    <w:p w14:paraId="5F27CF68">
      <w:pPr>
        <w:spacing w:line="560" w:lineRule="exact"/>
        <w:ind w:firstLine="640" w:firstLineChars="200"/>
        <w:rPr>
          <w:rFonts w:ascii="仿宋" w:hAnsi="仿宋" w:eastAsia="仿宋" w:cs="仿宋"/>
          <w:sz w:val="32"/>
          <w:szCs w:val="32"/>
        </w:rPr>
      </w:pPr>
    </w:p>
    <w:p w14:paraId="67D7804B">
      <w:pPr>
        <w:numPr>
          <w:ilvl w:val="0"/>
          <w:numId w:val="2"/>
        </w:numPr>
        <w:spacing w:line="560" w:lineRule="exact"/>
        <w:ind w:firstLine="1760" w:firstLineChars="550"/>
        <w:rPr>
          <w:rFonts w:ascii="黑体" w:hAnsi="黑体" w:eastAsia="黑体" w:cs="黑体"/>
          <w:sz w:val="32"/>
          <w:szCs w:val="32"/>
        </w:rPr>
      </w:pPr>
      <w:r>
        <w:rPr>
          <w:rFonts w:hint="eastAsia" w:ascii="黑体" w:hAnsi="黑体" w:eastAsia="黑体" w:cs="黑体"/>
          <w:sz w:val="32"/>
          <w:szCs w:val="32"/>
        </w:rPr>
        <w:t>兴国县政法委单位预算表</w:t>
      </w:r>
    </w:p>
    <w:p w14:paraId="2BB67666">
      <w:pPr>
        <w:spacing w:line="560" w:lineRule="exact"/>
        <w:rPr>
          <w:rFonts w:ascii="黑体" w:hAnsi="黑体" w:eastAsia="黑体" w:cs="黑体"/>
          <w:sz w:val="32"/>
          <w:szCs w:val="32"/>
        </w:rPr>
      </w:pPr>
    </w:p>
    <w:p w14:paraId="34DAAF56">
      <w:pPr>
        <w:rPr>
          <w:rFonts w:ascii="黑体" w:hAnsi="黑体" w:eastAsia="黑体" w:cs="黑体"/>
          <w:sz w:val="32"/>
          <w:szCs w:val="32"/>
        </w:rPr>
      </w:pPr>
      <w:r>
        <w:rPr>
          <w:rFonts w:hint="eastAsia" w:ascii="黑体" w:hAnsi="黑体" w:eastAsia="黑体" w:cs="黑体"/>
          <w:sz w:val="32"/>
          <w:szCs w:val="32"/>
        </w:rPr>
        <w:drawing>
          <wp:inline distT="0" distB="0" distL="114300" distR="114300">
            <wp:extent cx="5398135" cy="6518275"/>
            <wp:effectExtent l="19050" t="0" r="0" b="0"/>
            <wp:docPr id="2" name="图片 2" descr="1673861313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3861313468"/>
                    <pic:cNvPicPr>
                      <a:picLocks noChangeAspect="1"/>
                    </pic:cNvPicPr>
                  </pic:nvPicPr>
                  <pic:blipFill>
                    <a:blip r:embed="rId4" cstate="print"/>
                    <a:stretch>
                      <a:fillRect/>
                    </a:stretch>
                  </pic:blipFill>
                  <pic:spPr>
                    <a:xfrm>
                      <a:off x="0" y="0"/>
                      <a:ext cx="5399881" cy="6520511"/>
                    </a:xfrm>
                    <a:prstGeom prst="rect">
                      <a:avLst/>
                    </a:prstGeom>
                  </pic:spPr>
                </pic:pic>
              </a:graphicData>
            </a:graphic>
          </wp:inline>
        </w:drawing>
      </w:r>
    </w:p>
    <w:p w14:paraId="507F35A7">
      <w:pPr>
        <w:spacing w:line="560" w:lineRule="exact"/>
        <w:rPr>
          <w:rFonts w:ascii="黑体" w:hAnsi="黑体" w:eastAsia="黑体" w:cs="黑体"/>
          <w:sz w:val="32"/>
          <w:szCs w:val="32"/>
        </w:rPr>
      </w:pPr>
    </w:p>
    <w:p w14:paraId="1D019536">
      <w:pPr>
        <w:spacing w:line="560" w:lineRule="exact"/>
        <w:jc w:val="center"/>
        <w:rPr>
          <w:rFonts w:ascii="黑体" w:hAnsi="黑体" w:eastAsia="黑体" w:cs="黑体"/>
          <w:sz w:val="32"/>
          <w:szCs w:val="32"/>
        </w:rPr>
      </w:pPr>
    </w:p>
    <w:p w14:paraId="7A4AB6A7">
      <w:pPr>
        <w:spacing w:line="560" w:lineRule="exact"/>
        <w:jc w:val="center"/>
        <w:rPr>
          <w:rFonts w:ascii="黑体" w:hAnsi="黑体" w:eastAsia="黑体" w:cs="黑体"/>
          <w:sz w:val="32"/>
          <w:szCs w:val="32"/>
        </w:rPr>
      </w:pPr>
    </w:p>
    <w:p w14:paraId="274A8F7A">
      <w:pPr>
        <w:spacing w:line="560" w:lineRule="exact"/>
        <w:jc w:val="center"/>
        <w:rPr>
          <w:rFonts w:ascii="黑体" w:hAnsi="黑体" w:eastAsia="黑体" w:cs="黑体"/>
          <w:sz w:val="32"/>
          <w:szCs w:val="32"/>
        </w:rPr>
        <w:sectPr>
          <w:pgSz w:w="11906" w:h="16838"/>
          <w:pgMar w:top="1440" w:right="1800" w:bottom="1440" w:left="1800" w:header="851" w:footer="992" w:gutter="0"/>
          <w:cols w:space="425" w:num="1"/>
          <w:docGrid w:type="lines" w:linePitch="312" w:charSpace="0"/>
        </w:sectPr>
      </w:pPr>
    </w:p>
    <w:p w14:paraId="44EBA59F">
      <w:pPr>
        <w:jc w:val="center"/>
        <w:rPr>
          <w:rFonts w:ascii="黑体" w:hAnsi="黑体" w:eastAsia="黑体" w:cs="黑体"/>
          <w:sz w:val="32"/>
          <w:szCs w:val="32"/>
        </w:rPr>
        <w:sectPr>
          <w:pgSz w:w="16838" w:h="11906" w:orient="landscape"/>
          <w:pgMar w:top="1800" w:right="1440" w:bottom="1800" w:left="1440" w:header="851" w:footer="992" w:gutter="0"/>
          <w:cols w:space="425" w:num="1"/>
          <w:docGrid w:type="lines" w:linePitch="312" w:charSpace="0"/>
        </w:sectPr>
      </w:pPr>
      <w:r>
        <w:rPr>
          <w:rFonts w:hint="eastAsia" w:ascii="黑体" w:hAnsi="黑体" w:eastAsia="黑体" w:cs="黑体"/>
          <w:sz w:val="32"/>
          <w:szCs w:val="32"/>
        </w:rPr>
        <w:drawing>
          <wp:inline distT="0" distB="0" distL="114300" distR="114300">
            <wp:extent cx="7791450" cy="4614545"/>
            <wp:effectExtent l="19050" t="0" r="0" b="0"/>
            <wp:docPr id="3" name="图片 3" descr="167386140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3861401177"/>
                    <pic:cNvPicPr>
                      <a:picLocks noChangeAspect="1"/>
                    </pic:cNvPicPr>
                  </pic:nvPicPr>
                  <pic:blipFill>
                    <a:blip r:embed="rId5" cstate="print"/>
                    <a:stretch>
                      <a:fillRect/>
                    </a:stretch>
                  </pic:blipFill>
                  <pic:spPr>
                    <a:xfrm>
                      <a:off x="0" y="0"/>
                      <a:ext cx="7797800" cy="4618735"/>
                    </a:xfrm>
                    <a:prstGeom prst="rect">
                      <a:avLst/>
                    </a:prstGeom>
                  </pic:spPr>
                </pic:pic>
              </a:graphicData>
            </a:graphic>
          </wp:inline>
        </w:drawing>
      </w:r>
    </w:p>
    <w:p w14:paraId="5BD5FDE4">
      <w:pPr>
        <w:spacing w:line="560" w:lineRule="exact"/>
        <w:jc w:val="center"/>
        <w:rPr>
          <w:rFonts w:ascii="黑体" w:hAnsi="黑体" w:eastAsia="黑体" w:cs="黑体"/>
          <w:sz w:val="32"/>
          <w:szCs w:val="32"/>
        </w:rPr>
      </w:pPr>
    </w:p>
    <w:p w14:paraId="2F407C45">
      <w:pPr>
        <w:spacing w:line="560" w:lineRule="exact"/>
        <w:rPr>
          <w:rFonts w:ascii="黑体" w:hAnsi="黑体" w:eastAsia="黑体" w:cs="黑体"/>
          <w:sz w:val="32"/>
          <w:szCs w:val="32"/>
        </w:rPr>
      </w:pPr>
    </w:p>
    <w:p w14:paraId="5D4FF045">
      <w:pPr>
        <w:jc w:val="center"/>
        <w:rPr>
          <w:rFonts w:ascii="黑体" w:hAnsi="黑体" w:eastAsia="黑体" w:cs="黑体"/>
          <w:sz w:val="32"/>
          <w:szCs w:val="32"/>
        </w:rPr>
        <w:sectPr>
          <w:pgSz w:w="16838" w:h="11906" w:orient="landscape"/>
          <w:pgMar w:top="1800" w:right="1440" w:bottom="1800" w:left="1440" w:header="851" w:footer="992" w:gutter="0"/>
          <w:cols w:space="425" w:num="1"/>
          <w:docGrid w:type="lines" w:linePitch="312" w:charSpace="0"/>
        </w:sectPr>
      </w:pPr>
      <w:r>
        <w:rPr>
          <w:rFonts w:hint="eastAsia" w:ascii="黑体" w:hAnsi="黑体" w:eastAsia="黑体" w:cs="黑体"/>
          <w:sz w:val="32"/>
          <w:szCs w:val="32"/>
        </w:rPr>
        <w:drawing>
          <wp:inline distT="0" distB="0" distL="114300" distR="114300">
            <wp:extent cx="7452995" cy="4364355"/>
            <wp:effectExtent l="19050" t="0" r="0" b="0"/>
            <wp:docPr id="4" name="图片 4" descr="167386157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3861570804"/>
                    <pic:cNvPicPr>
                      <a:picLocks noChangeAspect="1"/>
                    </pic:cNvPicPr>
                  </pic:nvPicPr>
                  <pic:blipFill>
                    <a:blip r:embed="rId6" cstate="print"/>
                    <a:stretch>
                      <a:fillRect/>
                    </a:stretch>
                  </pic:blipFill>
                  <pic:spPr>
                    <a:xfrm>
                      <a:off x="0" y="0"/>
                      <a:ext cx="7453264" cy="4364990"/>
                    </a:xfrm>
                    <a:prstGeom prst="rect">
                      <a:avLst/>
                    </a:prstGeom>
                  </pic:spPr>
                </pic:pic>
              </a:graphicData>
            </a:graphic>
          </wp:inline>
        </w:drawing>
      </w:r>
    </w:p>
    <w:p w14:paraId="708709CC">
      <w:pPr>
        <w:rPr>
          <w:rFonts w:ascii="黑体" w:hAnsi="黑体" w:eastAsia="黑体" w:cs="黑体"/>
          <w:sz w:val="32"/>
          <w:szCs w:val="32"/>
        </w:rPr>
      </w:pPr>
      <w:r>
        <w:rPr>
          <w:rFonts w:hint="eastAsia" w:ascii="黑体" w:hAnsi="黑体" w:eastAsia="黑体" w:cs="黑体"/>
          <w:sz w:val="32"/>
          <w:szCs w:val="32"/>
        </w:rPr>
        <w:drawing>
          <wp:inline distT="0" distB="0" distL="114300" distR="114300">
            <wp:extent cx="8728075" cy="4977130"/>
            <wp:effectExtent l="19050" t="0" r="0" b="0"/>
            <wp:docPr id="7" name="图片 7" descr="1673861820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73861820404"/>
                    <pic:cNvPicPr>
                      <a:picLocks noChangeAspect="1"/>
                    </pic:cNvPicPr>
                  </pic:nvPicPr>
                  <pic:blipFill>
                    <a:blip r:embed="rId7" cstate="print"/>
                    <a:stretch>
                      <a:fillRect/>
                    </a:stretch>
                  </pic:blipFill>
                  <pic:spPr>
                    <a:xfrm>
                      <a:off x="0" y="0"/>
                      <a:ext cx="8735384" cy="4981575"/>
                    </a:xfrm>
                    <a:prstGeom prst="rect">
                      <a:avLst/>
                    </a:prstGeom>
                  </pic:spPr>
                </pic:pic>
              </a:graphicData>
            </a:graphic>
          </wp:inline>
        </w:drawing>
      </w:r>
    </w:p>
    <w:p w14:paraId="4CC92777">
      <w:pPr>
        <w:jc w:val="center"/>
        <w:rPr>
          <w:rFonts w:ascii="黑体" w:hAnsi="黑体" w:eastAsia="黑体" w:cs="黑体"/>
          <w:sz w:val="32"/>
          <w:szCs w:val="32"/>
        </w:rPr>
      </w:pPr>
      <w:r>
        <w:rPr>
          <w:rFonts w:hint="eastAsia" w:ascii="黑体" w:hAnsi="黑体" w:eastAsia="黑体" w:cs="黑体"/>
          <w:sz w:val="32"/>
          <w:szCs w:val="32"/>
        </w:rPr>
        <w:drawing>
          <wp:inline distT="0" distB="0" distL="114300" distR="114300">
            <wp:extent cx="8028940" cy="4403725"/>
            <wp:effectExtent l="19050" t="0" r="0" b="0"/>
            <wp:docPr id="8" name="图片 8" descr="1673861924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73861924770"/>
                    <pic:cNvPicPr>
                      <a:picLocks noChangeAspect="1"/>
                    </pic:cNvPicPr>
                  </pic:nvPicPr>
                  <pic:blipFill>
                    <a:blip r:embed="rId8" cstate="print"/>
                    <a:stretch>
                      <a:fillRect/>
                    </a:stretch>
                  </pic:blipFill>
                  <pic:spPr>
                    <a:xfrm>
                      <a:off x="0" y="0"/>
                      <a:ext cx="8037705" cy="4408805"/>
                    </a:xfrm>
                    <a:prstGeom prst="rect">
                      <a:avLst/>
                    </a:prstGeom>
                  </pic:spPr>
                </pic:pic>
              </a:graphicData>
            </a:graphic>
          </wp:inline>
        </w:drawing>
      </w:r>
      <w:r>
        <w:rPr>
          <w:rFonts w:hint="eastAsia" w:ascii="黑体" w:hAnsi="黑体" w:eastAsia="黑体" w:cs="黑体"/>
          <w:sz w:val="32"/>
          <w:szCs w:val="32"/>
        </w:rPr>
        <w:drawing>
          <wp:inline distT="0" distB="0" distL="114300" distR="114300">
            <wp:extent cx="8181975" cy="4216400"/>
            <wp:effectExtent l="19050" t="0" r="9477" b="0"/>
            <wp:docPr id="17" name="图片 17" descr="1673862979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73862979155"/>
                    <pic:cNvPicPr>
                      <a:picLocks noChangeAspect="1"/>
                    </pic:cNvPicPr>
                  </pic:nvPicPr>
                  <pic:blipFill>
                    <a:blip r:embed="rId9" cstate="print"/>
                    <a:stretch>
                      <a:fillRect/>
                    </a:stretch>
                  </pic:blipFill>
                  <pic:spPr>
                    <a:xfrm>
                      <a:off x="0" y="0"/>
                      <a:ext cx="8183925" cy="4217670"/>
                    </a:xfrm>
                    <a:prstGeom prst="rect">
                      <a:avLst/>
                    </a:prstGeom>
                  </pic:spPr>
                </pic:pic>
              </a:graphicData>
            </a:graphic>
          </wp:inline>
        </w:drawing>
      </w:r>
    </w:p>
    <w:p w14:paraId="42AD8B0A">
      <w:pPr>
        <w:spacing w:line="560" w:lineRule="exact"/>
        <w:jc w:val="center"/>
        <w:rPr>
          <w:rFonts w:ascii="黑体" w:hAnsi="黑体" w:eastAsia="黑体" w:cs="黑体"/>
          <w:sz w:val="32"/>
          <w:szCs w:val="32"/>
        </w:rPr>
      </w:pPr>
    </w:p>
    <w:p w14:paraId="156567EA">
      <w:pPr>
        <w:spacing w:line="560" w:lineRule="exact"/>
        <w:rPr>
          <w:rFonts w:ascii="黑体" w:hAnsi="黑体" w:eastAsia="黑体" w:cs="黑体"/>
          <w:sz w:val="32"/>
          <w:szCs w:val="32"/>
        </w:rPr>
      </w:pPr>
    </w:p>
    <w:p w14:paraId="517A8E0C">
      <w:pPr>
        <w:spacing w:line="560" w:lineRule="exact"/>
        <w:jc w:val="center"/>
        <w:rPr>
          <w:rFonts w:ascii="黑体" w:hAnsi="黑体" w:eastAsia="黑体" w:cs="黑体"/>
          <w:sz w:val="32"/>
          <w:szCs w:val="32"/>
        </w:rPr>
        <w:sectPr>
          <w:pgSz w:w="16838" w:h="11906" w:orient="landscape"/>
          <w:pgMar w:top="1800" w:right="1440" w:bottom="1800" w:left="1440" w:header="851" w:footer="992" w:gutter="0"/>
          <w:cols w:space="425" w:num="1"/>
          <w:docGrid w:type="lines" w:linePitch="312" w:charSpace="0"/>
        </w:sectPr>
      </w:pPr>
    </w:p>
    <w:p w14:paraId="7F93B75D">
      <w:pPr>
        <w:spacing w:line="560" w:lineRule="exact"/>
        <w:jc w:val="center"/>
        <w:rPr>
          <w:rFonts w:ascii="黑体" w:hAnsi="黑体" w:eastAsia="黑体" w:cs="黑体"/>
          <w:sz w:val="32"/>
          <w:szCs w:val="32"/>
        </w:rPr>
      </w:pPr>
    </w:p>
    <w:p w14:paraId="1E0F0789">
      <w:pPr>
        <w:spacing w:line="560" w:lineRule="exact"/>
        <w:jc w:val="center"/>
        <w:rPr>
          <w:rFonts w:ascii="黑体" w:hAnsi="黑体" w:eastAsia="黑体" w:cs="黑体"/>
          <w:sz w:val="32"/>
          <w:szCs w:val="32"/>
        </w:rPr>
      </w:pPr>
    </w:p>
    <w:p w14:paraId="7D47CDF6">
      <w:pPr>
        <w:spacing w:line="560" w:lineRule="exact"/>
        <w:jc w:val="center"/>
        <w:rPr>
          <w:rFonts w:ascii="黑体" w:hAnsi="黑体" w:eastAsia="黑体" w:cs="黑体"/>
          <w:sz w:val="32"/>
          <w:szCs w:val="32"/>
        </w:rPr>
      </w:pPr>
    </w:p>
    <w:p w14:paraId="13F93E0A">
      <w:pPr>
        <w:jc w:val="center"/>
        <w:rPr>
          <w:rFonts w:ascii="黑体" w:hAnsi="黑体" w:eastAsia="黑体" w:cs="黑体"/>
          <w:sz w:val="32"/>
          <w:szCs w:val="32"/>
        </w:rPr>
      </w:pPr>
      <w:r>
        <w:rPr>
          <w:rFonts w:hint="eastAsia" w:ascii="黑体" w:hAnsi="黑体" w:eastAsia="黑体" w:cs="黑体"/>
          <w:sz w:val="32"/>
          <w:szCs w:val="32"/>
        </w:rPr>
        <w:drawing>
          <wp:inline distT="0" distB="0" distL="114300" distR="114300">
            <wp:extent cx="8850630" cy="3053715"/>
            <wp:effectExtent l="19050" t="0" r="7546" b="0"/>
            <wp:docPr id="13" name="图片 13" descr="1673862133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73862133997(1)"/>
                    <pic:cNvPicPr>
                      <a:picLocks noChangeAspect="1"/>
                    </pic:cNvPicPr>
                  </pic:nvPicPr>
                  <pic:blipFill>
                    <a:blip r:embed="rId10" cstate="print"/>
                    <a:stretch>
                      <a:fillRect/>
                    </a:stretch>
                  </pic:blipFill>
                  <pic:spPr>
                    <a:xfrm>
                      <a:off x="0" y="0"/>
                      <a:ext cx="8859520" cy="3056793"/>
                    </a:xfrm>
                    <a:prstGeom prst="rect">
                      <a:avLst/>
                    </a:prstGeom>
                  </pic:spPr>
                </pic:pic>
              </a:graphicData>
            </a:graphic>
          </wp:inline>
        </w:drawing>
      </w:r>
    </w:p>
    <w:p w14:paraId="62047BC9">
      <w:pPr>
        <w:jc w:val="center"/>
        <w:rPr>
          <w:rFonts w:ascii="黑体" w:hAnsi="黑体" w:eastAsia="黑体" w:cs="黑体"/>
          <w:sz w:val="32"/>
          <w:szCs w:val="32"/>
        </w:rPr>
      </w:pPr>
    </w:p>
    <w:p w14:paraId="2FDFF5B1">
      <w:pPr>
        <w:jc w:val="center"/>
        <w:rPr>
          <w:rFonts w:ascii="黑体" w:hAnsi="黑体" w:eastAsia="黑体" w:cs="黑体"/>
          <w:sz w:val="32"/>
          <w:szCs w:val="32"/>
        </w:rPr>
      </w:pPr>
    </w:p>
    <w:p w14:paraId="2904DCBC">
      <w:pPr>
        <w:jc w:val="center"/>
        <w:rPr>
          <w:rFonts w:ascii="黑体" w:hAnsi="黑体" w:eastAsia="黑体" w:cs="黑体"/>
          <w:sz w:val="32"/>
          <w:szCs w:val="32"/>
        </w:rPr>
        <w:sectPr>
          <w:pgSz w:w="16838" w:h="11906" w:orient="landscape"/>
          <w:pgMar w:top="1800" w:right="1440" w:bottom="1800" w:left="1440" w:header="851" w:footer="992" w:gutter="0"/>
          <w:cols w:space="425" w:num="1"/>
          <w:docGrid w:type="lines" w:linePitch="312" w:charSpace="0"/>
        </w:sectPr>
      </w:pPr>
    </w:p>
    <w:p w14:paraId="4DB8108B">
      <w:pPr>
        <w:rPr>
          <w:rFonts w:ascii="黑体" w:hAnsi="黑体" w:eastAsia="黑体" w:cs="黑体"/>
          <w:sz w:val="32"/>
          <w:szCs w:val="32"/>
        </w:rPr>
      </w:pPr>
      <w:r>
        <w:rPr>
          <w:rFonts w:hint="eastAsia" w:ascii="黑体" w:hAnsi="黑体" w:eastAsia="黑体" w:cs="黑体"/>
          <w:sz w:val="32"/>
          <w:szCs w:val="32"/>
        </w:rPr>
        <w:drawing>
          <wp:inline distT="0" distB="0" distL="114300" distR="114300">
            <wp:extent cx="7848600" cy="2581275"/>
            <wp:effectExtent l="0" t="0" r="0" b="9525"/>
            <wp:docPr id="1" name="图片 1" descr="a21a948cb65303970ba02c60c29d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21a948cb65303970ba02c60c29d419"/>
                    <pic:cNvPicPr>
                      <a:picLocks noChangeAspect="1"/>
                    </pic:cNvPicPr>
                  </pic:nvPicPr>
                  <pic:blipFill>
                    <a:blip r:embed="rId11" cstate="print"/>
                    <a:stretch>
                      <a:fillRect/>
                    </a:stretch>
                  </pic:blipFill>
                  <pic:spPr>
                    <a:xfrm>
                      <a:off x="0" y="0"/>
                      <a:ext cx="7848600" cy="2581275"/>
                    </a:xfrm>
                    <a:prstGeom prst="rect">
                      <a:avLst/>
                    </a:prstGeom>
                  </pic:spPr>
                </pic:pic>
              </a:graphicData>
            </a:graphic>
          </wp:inline>
        </w:drawing>
      </w:r>
      <w:r>
        <w:rPr>
          <w:rFonts w:ascii="黑体" w:hAnsi="黑体" w:eastAsia="黑体" w:cs="黑体"/>
          <w:sz w:val="32"/>
          <w:szCs w:val="32"/>
        </w:rPr>
        <w:br w:type="page"/>
      </w:r>
    </w:p>
    <w:p w14:paraId="02A43570">
      <w:pPr>
        <w:pStyle w:val="2"/>
        <w:rPr>
          <w:rFonts w:ascii="黑体" w:hAnsi="黑体" w:eastAsia="黑体" w:cs="黑体"/>
        </w:rPr>
      </w:pPr>
      <w:r>
        <w:rPr>
          <w:rFonts w:hint="eastAsia" w:ascii="黑体" w:hAnsi="黑体" w:eastAsia="黑体" w:cs="黑体"/>
          <w:lang w:val="en-US" w:bidi="ar-SA"/>
        </w:rPr>
        <w:drawing>
          <wp:inline distT="0" distB="0" distL="114300" distR="114300">
            <wp:extent cx="7343775" cy="3019425"/>
            <wp:effectExtent l="0" t="0" r="9525" b="9525"/>
            <wp:docPr id="5" name="图片 5" descr="1acff141e6821ff5072bb459fafb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acff141e6821ff5072bb459fafb918"/>
                    <pic:cNvPicPr>
                      <a:picLocks noChangeAspect="1"/>
                    </pic:cNvPicPr>
                  </pic:nvPicPr>
                  <pic:blipFill>
                    <a:blip r:embed="rId12" cstate="print"/>
                    <a:stretch>
                      <a:fillRect/>
                    </a:stretch>
                  </pic:blipFill>
                  <pic:spPr>
                    <a:xfrm>
                      <a:off x="0" y="0"/>
                      <a:ext cx="7343775" cy="3019425"/>
                    </a:xfrm>
                    <a:prstGeom prst="rect">
                      <a:avLst/>
                    </a:prstGeom>
                  </pic:spPr>
                </pic:pic>
              </a:graphicData>
            </a:graphic>
          </wp:inline>
        </w:drawing>
      </w:r>
    </w:p>
    <w:p w14:paraId="34335FC2">
      <w:pPr>
        <w:pStyle w:val="2"/>
        <w:rPr>
          <w:rFonts w:ascii="黑体" w:hAnsi="黑体" w:eastAsia="黑体" w:cs="黑体"/>
        </w:rPr>
      </w:pPr>
    </w:p>
    <w:p w14:paraId="14EC1A92">
      <w:pPr>
        <w:pStyle w:val="2"/>
        <w:rPr>
          <w:rFonts w:ascii="黑体" w:hAnsi="黑体" w:eastAsia="黑体" w:cs="黑体"/>
        </w:rPr>
        <w:sectPr>
          <w:pgSz w:w="16838" w:h="11906" w:orient="landscape"/>
          <w:pgMar w:top="1800" w:right="1440" w:bottom="1800" w:left="1440" w:header="851" w:footer="992" w:gutter="0"/>
          <w:cols w:space="425" w:num="1"/>
          <w:docGrid w:type="lines" w:linePitch="312" w:charSpace="0"/>
        </w:sectPr>
      </w:pPr>
    </w:p>
    <w:p w14:paraId="2EC3E2F6">
      <w:pPr>
        <w:jc w:val="center"/>
        <w:rPr>
          <w:rFonts w:ascii="黑体" w:hAnsi="黑体" w:eastAsia="黑体" w:cs="黑体"/>
          <w:sz w:val="32"/>
          <w:szCs w:val="32"/>
        </w:rPr>
      </w:pPr>
      <w:r>
        <w:rPr>
          <w:rFonts w:hint="eastAsia" w:ascii="黑体" w:hAnsi="黑体" w:eastAsia="黑体" w:cs="黑体"/>
          <w:sz w:val="32"/>
          <w:szCs w:val="32"/>
        </w:rPr>
        <w:drawing>
          <wp:inline distT="0" distB="0" distL="114300" distR="114300">
            <wp:extent cx="4641850" cy="7539355"/>
            <wp:effectExtent l="19050" t="0" r="6134" b="0"/>
            <wp:docPr id="16" name="图片 16" descr="167386241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73862412863"/>
                    <pic:cNvPicPr>
                      <a:picLocks noChangeAspect="1"/>
                    </pic:cNvPicPr>
                  </pic:nvPicPr>
                  <pic:blipFill>
                    <a:blip r:embed="rId13" cstate="print"/>
                    <a:stretch>
                      <a:fillRect/>
                    </a:stretch>
                  </pic:blipFill>
                  <pic:spPr>
                    <a:xfrm>
                      <a:off x="0" y="0"/>
                      <a:ext cx="4641215" cy="7538104"/>
                    </a:xfrm>
                    <a:prstGeom prst="rect">
                      <a:avLst/>
                    </a:prstGeom>
                  </pic:spPr>
                </pic:pic>
              </a:graphicData>
            </a:graphic>
          </wp:inline>
        </w:drawing>
      </w:r>
    </w:p>
    <w:p w14:paraId="6F1370D0">
      <w:pPr>
        <w:spacing w:line="560" w:lineRule="exact"/>
        <w:jc w:val="center"/>
        <w:rPr>
          <w:rFonts w:ascii="黑体" w:hAnsi="黑体" w:eastAsia="黑体" w:cs="黑体"/>
          <w:sz w:val="32"/>
          <w:szCs w:val="32"/>
        </w:rPr>
      </w:pPr>
    </w:p>
    <w:p w14:paraId="7251FD9D">
      <w:pPr>
        <w:spacing w:line="560" w:lineRule="exact"/>
        <w:jc w:val="center"/>
        <w:rPr>
          <w:rFonts w:ascii="黑体" w:hAnsi="黑体" w:eastAsia="黑体" w:cs="黑体"/>
          <w:sz w:val="32"/>
          <w:szCs w:val="32"/>
        </w:rPr>
      </w:pPr>
    </w:p>
    <w:p w14:paraId="3EAC4F0C">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14:paraId="1086AE3D">
      <w:pPr>
        <w:spacing w:line="560" w:lineRule="exact"/>
        <w:ind w:firstLine="604" w:firstLineChars="189"/>
        <w:jc w:val="center"/>
        <w:rPr>
          <w:rFonts w:ascii="仿宋" w:hAnsi="仿宋" w:eastAsia="仿宋" w:cs="仿宋"/>
          <w:sz w:val="32"/>
          <w:szCs w:val="32"/>
        </w:rPr>
      </w:pPr>
    </w:p>
    <w:p w14:paraId="4164461B">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14:paraId="109C8BD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14:paraId="0E0C5D3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2FB9FC4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16ED277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4DDB399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5325B70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43F72D8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14:paraId="39FE2D8D">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14:paraId="69EAB87B">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（八）上年结转和结余：填列2023年全部结转和结余的资金数，包括当年结转结余资金和历年滚存结转结余资金。</w:t>
      </w:r>
    </w:p>
    <w:p w14:paraId="491A411E">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14:paraId="4EFCBFE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14:paraId="4AE7ADA8">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5341F37E">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1BDE651D">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6B3C0F8B">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3CC9AE54">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14:paraId="60D40DC4">
      <w:pPr>
        <w:spacing w:line="560" w:lineRule="exact"/>
        <w:ind w:firstLine="640" w:firstLineChars="200"/>
        <w:rPr>
          <w:rFonts w:ascii="宋体" w:hAnsi="宋体" w:cstheme="minorEastAsia"/>
          <w:b/>
          <w:bCs/>
          <w:color w:val="000000" w:themeColor="text1"/>
          <w:sz w:val="32"/>
          <w:szCs w:val="32"/>
        </w:rPr>
      </w:pPr>
      <w:r>
        <w:rPr>
          <w:rFonts w:hint="eastAsia" w:ascii="仿宋" w:hAnsi="仿宋" w:eastAsia="仿宋" w:cs="仿宋"/>
          <w:sz w:val="32"/>
          <w:szCs w:val="32"/>
        </w:rPr>
        <w:t>（六）死亡抚恤：反映单位遗属人员生活补助。</w:t>
      </w:r>
    </w:p>
    <w:p w14:paraId="40F4191D">
      <w:pPr>
        <w:spacing w:line="560" w:lineRule="exac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1E9B97-AD57-4DE3-98A9-223B9709CBC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2" w:fontKey="{9D48B633-66BE-49EE-9AF6-473032D0DCA8}"/>
  </w:font>
  <w:font w:name="方正小标宋简体">
    <w:panose1 w:val="02000000000000000000"/>
    <w:charset w:val="86"/>
    <w:family w:val="auto"/>
    <w:pitch w:val="default"/>
    <w:sig w:usb0="00000001" w:usb1="08000000" w:usb2="00000000" w:usb3="00000000" w:csb0="00040000" w:csb1="00000000"/>
    <w:embedRegular r:id="rId3" w:fontKey="{BE95A572-8C17-41B0-8CC4-DCCA52E339B6}"/>
  </w:font>
  <w:font w:name="楷体">
    <w:panose1 w:val="02010609060101010101"/>
    <w:charset w:val="86"/>
    <w:family w:val="modern"/>
    <w:pitch w:val="default"/>
    <w:sig w:usb0="800002BF" w:usb1="38CF7CFA" w:usb2="00000016" w:usb3="00000000" w:csb0="00040001" w:csb1="00000000"/>
    <w:embedRegular r:id="rId4" w:fontKey="{ACCB27CD-02B7-424F-89DC-174C755B5EB1}"/>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F78BF6"/>
    <w:multiLevelType w:val="singleLevel"/>
    <w:tmpl w:val="9AF78BF6"/>
    <w:lvl w:ilvl="0" w:tentative="0">
      <w:start w:val="3"/>
      <w:numFmt w:val="chineseCounting"/>
      <w:suff w:val="space"/>
      <w:lvlText w:val="第%1部分"/>
      <w:lvlJc w:val="left"/>
      <w:rPr>
        <w:rFonts w:hint="eastAsia"/>
      </w:rPr>
    </w:lvl>
  </w:abstractNum>
  <w:abstractNum w:abstractNumId="1">
    <w:nsid w:val="2B814A79"/>
    <w:multiLevelType w:val="singleLevel"/>
    <w:tmpl w:val="2B814A79"/>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721B69F2"/>
    <w:rsid w:val="000C7196"/>
    <w:rsid w:val="00117F50"/>
    <w:rsid w:val="002B5E9C"/>
    <w:rsid w:val="002E5803"/>
    <w:rsid w:val="00311E13"/>
    <w:rsid w:val="003370B9"/>
    <w:rsid w:val="003923D4"/>
    <w:rsid w:val="003F0FE4"/>
    <w:rsid w:val="004C065D"/>
    <w:rsid w:val="00514C61"/>
    <w:rsid w:val="005A1486"/>
    <w:rsid w:val="005D5909"/>
    <w:rsid w:val="0066351D"/>
    <w:rsid w:val="00677572"/>
    <w:rsid w:val="006F6E43"/>
    <w:rsid w:val="00752D92"/>
    <w:rsid w:val="007B16CD"/>
    <w:rsid w:val="00826B1A"/>
    <w:rsid w:val="00836B92"/>
    <w:rsid w:val="00983B57"/>
    <w:rsid w:val="00AA5E95"/>
    <w:rsid w:val="00AF1324"/>
    <w:rsid w:val="00B75BD2"/>
    <w:rsid w:val="00C17656"/>
    <w:rsid w:val="00C42326"/>
    <w:rsid w:val="00C66F61"/>
    <w:rsid w:val="00C7014D"/>
    <w:rsid w:val="00CA6A2C"/>
    <w:rsid w:val="00CE1FCB"/>
    <w:rsid w:val="00DF5401"/>
    <w:rsid w:val="00E31A6E"/>
    <w:rsid w:val="00E7170E"/>
    <w:rsid w:val="00E97729"/>
    <w:rsid w:val="00EF20EF"/>
    <w:rsid w:val="00F54563"/>
    <w:rsid w:val="00FF359B"/>
    <w:rsid w:val="010349FD"/>
    <w:rsid w:val="01DC3CDB"/>
    <w:rsid w:val="07F90B71"/>
    <w:rsid w:val="0C395F24"/>
    <w:rsid w:val="0CBD7B78"/>
    <w:rsid w:val="0F0E02BF"/>
    <w:rsid w:val="146671F4"/>
    <w:rsid w:val="1B54459E"/>
    <w:rsid w:val="1CAE6585"/>
    <w:rsid w:val="24ED56A6"/>
    <w:rsid w:val="2C7B4E96"/>
    <w:rsid w:val="31A81E84"/>
    <w:rsid w:val="34FB3BCE"/>
    <w:rsid w:val="3B2F036E"/>
    <w:rsid w:val="3B974891"/>
    <w:rsid w:val="43B411B7"/>
    <w:rsid w:val="48DF23C4"/>
    <w:rsid w:val="495D15B1"/>
    <w:rsid w:val="4ACE0D70"/>
    <w:rsid w:val="4BE0413F"/>
    <w:rsid w:val="50C74449"/>
    <w:rsid w:val="51AC406F"/>
    <w:rsid w:val="51C92E73"/>
    <w:rsid w:val="55360A87"/>
    <w:rsid w:val="5A5657F0"/>
    <w:rsid w:val="637C0F3F"/>
    <w:rsid w:val="650E1B7C"/>
    <w:rsid w:val="6BB90E73"/>
    <w:rsid w:val="6C8D1459"/>
    <w:rsid w:val="6D793476"/>
    <w:rsid w:val="721B69F2"/>
    <w:rsid w:val="7D4230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annotation text"/>
    <w:basedOn w:val="1"/>
    <w:link w:val="15"/>
    <w:qFormat/>
    <w:uiPriority w:val="0"/>
    <w:pPr>
      <w:jc w:val="left"/>
    </w:pPr>
  </w:style>
  <w:style w:type="paragraph" w:styleId="4">
    <w:name w:val="Balloon Text"/>
    <w:basedOn w:val="1"/>
    <w:link w:val="14"/>
    <w:autoRedefine/>
    <w:qFormat/>
    <w:uiPriority w:val="0"/>
    <w:rPr>
      <w:sz w:val="18"/>
      <w:szCs w:val="18"/>
    </w:rPr>
  </w:style>
  <w:style w:type="paragraph" w:styleId="5">
    <w:name w:val="footer"/>
    <w:basedOn w:val="1"/>
    <w:link w:val="13"/>
    <w:autoRedefine/>
    <w:qFormat/>
    <w:uiPriority w:val="0"/>
    <w:pPr>
      <w:tabs>
        <w:tab w:val="center" w:pos="4153"/>
        <w:tab w:val="right" w:pos="8306"/>
      </w:tabs>
      <w:snapToGrid w:val="0"/>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qFormat/>
    <w:uiPriority w:val="0"/>
    <w:rPr>
      <w:b/>
      <w:bCs/>
    </w:rPr>
  </w:style>
  <w:style w:type="paragraph" w:styleId="8">
    <w:name w:val="Body Text First Indent"/>
    <w:basedOn w:val="2"/>
    <w:autoRedefine/>
    <w:qFormat/>
    <w:uiPriority w:val="99"/>
    <w:pPr>
      <w:ind w:firstLine="420" w:firstLineChars="100"/>
    </w:pPr>
  </w:style>
  <w:style w:type="character" w:styleId="11">
    <w:name w:val="annotation reference"/>
    <w:basedOn w:val="10"/>
    <w:qFormat/>
    <w:uiPriority w:val="0"/>
    <w:rPr>
      <w:sz w:val="21"/>
      <w:szCs w:val="21"/>
    </w:rPr>
  </w:style>
  <w:style w:type="character" w:customStyle="1" w:styleId="12">
    <w:name w:val="页眉 Char"/>
    <w:basedOn w:val="10"/>
    <w:link w:val="6"/>
    <w:autoRedefine/>
    <w:qFormat/>
    <w:uiPriority w:val="0"/>
    <w:rPr>
      <w:rFonts w:asciiTheme="minorHAnsi" w:hAnsiTheme="minorHAnsi" w:eastAsiaTheme="minorEastAsia" w:cstheme="minorBidi"/>
      <w:kern w:val="2"/>
      <w:sz w:val="18"/>
      <w:szCs w:val="18"/>
    </w:rPr>
  </w:style>
  <w:style w:type="character" w:customStyle="1" w:styleId="13">
    <w:name w:val="页脚 Char"/>
    <w:basedOn w:val="10"/>
    <w:link w:val="5"/>
    <w:autoRedefine/>
    <w:qFormat/>
    <w:uiPriority w:val="0"/>
    <w:rPr>
      <w:rFonts w:asciiTheme="minorHAnsi" w:hAnsiTheme="minorHAnsi" w:eastAsiaTheme="minorEastAsia" w:cstheme="minorBidi"/>
      <w:kern w:val="2"/>
      <w:sz w:val="18"/>
      <w:szCs w:val="18"/>
    </w:rPr>
  </w:style>
  <w:style w:type="character" w:customStyle="1" w:styleId="14">
    <w:name w:val="批注框文本 Char"/>
    <w:basedOn w:val="10"/>
    <w:link w:val="4"/>
    <w:autoRedefine/>
    <w:qFormat/>
    <w:uiPriority w:val="0"/>
    <w:rPr>
      <w:rFonts w:asciiTheme="minorHAnsi" w:hAnsiTheme="minorHAnsi" w:eastAsiaTheme="minorEastAsia" w:cstheme="minorBidi"/>
      <w:kern w:val="2"/>
      <w:sz w:val="18"/>
      <w:szCs w:val="18"/>
    </w:rPr>
  </w:style>
  <w:style w:type="character" w:customStyle="1" w:styleId="15">
    <w:name w:val="批注文字 Char"/>
    <w:basedOn w:val="10"/>
    <w:link w:val="3"/>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3580</Words>
  <Characters>3925</Characters>
  <Lines>31</Lines>
  <Paragraphs>8</Paragraphs>
  <TotalTime>3</TotalTime>
  <ScaleCrop>false</ScaleCrop>
  <LinksUpToDate>false</LinksUpToDate>
  <CharactersWithSpaces>3964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2024-06-05T03:29:00Z</dcterms:created>
  <dc:creator>Administrator</dc:creator>
  <cp:lastModifiedBy>WPS_1670148425</cp:lastModifiedBy>
  <cp:lastPrinted>2022-03-07T01:35:00Z</cp:lastPrinted>
  <dcterms:modified xsi:type="dcterms:W3CDTF">2024-10-08T08:26:02Z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86967E12B91E4E6AA85D86DEE75E9E98_13</vt:lpwstr>
  </property>
</Properties>
</file>